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45E1B">
      <w:pPr>
        <w:widowControl/>
        <w:numPr>
          <w:ilvl w:val="0"/>
          <w:numId w:val="1"/>
        </w:numPr>
        <w:spacing w:line="360" w:lineRule="auto"/>
        <w:jc w:val="center"/>
        <w:outlineLvl w:val="0"/>
        <w:rPr>
          <w:rFonts w:ascii="宋体" w:hAnsi="宋体" w:eastAsia="宋体" w:cs="宋体"/>
          <w:b/>
          <w:bCs/>
          <w:color w:val="000000"/>
          <w:kern w:val="0"/>
          <w:sz w:val="36"/>
          <w:szCs w:val="36"/>
          <w:lang w:bidi="ar"/>
        </w:rPr>
      </w:pPr>
      <w:r>
        <w:rPr>
          <w:rFonts w:hint="eastAsia" w:ascii="黑体" w:hAnsi="黑体" w:eastAsia="黑体" w:cs="宋体"/>
          <w:b/>
          <w:bCs/>
          <w:color w:val="000000"/>
          <w:kern w:val="0"/>
          <w:sz w:val="36"/>
          <w:szCs w:val="36"/>
          <w:lang w:bidi="ar"/>
        </w:rPr>
        <w:t xml:space="preserve"> </w:t>
      </w:r>
      <w:bookmarkStart w:id="0" w:name="_Toc1173"/>
      <w:bookmarkStart w:id="1" w:name="_Toc23586"/>
      <w:bookmarkStart w:id="2" w:name="_Toc4838"/>
      <w:bookmarkStart w:id="3" w:name="_Toc2989"/>
      <w:bookmarkStart w:id="4" w:name="_Toc15644"/>
      <w:r>
        <w:rPr>
          <w:rFonts w:hint="eastAsia" w:ascii="黑体" w:hAnsi="黑体" w:eastAsia="黑体" w:cs="宋体"/>
          <w:b/>
          <w:bCs/>
          <w:color w:val="000000"/>
          <w:kern w:val="0"/>
          <w:sz w:val="36"/>
          <w:szCs w:val="36"/>
          <w:lang w:bidi="ar"/>
        </w:rPr>
        <w:t>评标办法（综合评估法</w:t>
      </w:r>
      <w:r>
        <w:rPr>
          <w:rFonts w:hint="eastAsia" w:ascii="宋体" w:hAnsi="宋体" w:eastAsia="宋体" w:cs="宋体"/>
          <w:b/>
          <w:bCs/>
          <w:color w:val="000000"/>
          <w:kern w:val="0"/>
          <w:sz w:val="36"/>
          <w:szCs w:val="36"/>
          <w:lang w:bidi="ar"/>
        </w:rPr>
        <w:t>）</w:t>
      </w:r>
      <w:bookmarkEnd w:id="0"/>
      <w:bookmarkEnd w:id="1"/>
      <w:bookmarkEnd w:id="2"/>
      <w:bookmarkEnd w:id="3"/>
      <w:bookmarkEnd w:id="4"/>
    </w:p>
    <w:p w14:paraId="2CFF4BB4">
      <w:pPr>
        <w:widowControl/>
        <w:spacing w:line="360" w:lineRule="auto"/>
        <w:ind w:firstLine="241" w:firstLineChars="100"/>
        <w:outlineLvl w:val="1"/>
      </w:pPr>
      <w:bookmarkStart w:id="5" w:name="_Toc21779"/>
      <w:r>
        <w:rPr>
          <w:rFonts w:hint="eastAsia" w:ascii="宋体" w:hAnsi="宋体" w:eastAsia="宋体" w:cs="宋体"/>
          <w:b/>
          <w:bCs/>
          <w:color w:val="000000"/>
          <w:kern w:val="0"/>
          <w:sz w:val="24"/>
          <w:lang w:bidi="ar"/>
        </w:rPr>
        <w:t>评标办法前附表</w:t>
      </w:r>
      <w:bookmarkEnd w:id="5"/>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934"/>
        <w:gridCol w:w="7607"/>
      </w:tblGrid>
      <w:tr w14:paraId="3984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jc w:val="center"/>
        </w:trPr>
        <w:tc>
          <w:tcPr>
            <w:tcW w:w="1607" w:type="dxa"/>
            <w:gridSpan w:val="2"/>
            <w:noWrap/>
            <w:vAlign w:val="center"/>
          </w:tcPr>
          <w:p w14:paraId="466F2550">
            <w:pPr>
              <w:spacing w:line="380" w:lineRule="exact"/>
              <w:jc w:val="center"/>
              <w:rPr>
                <w:rFonts w:ascii="宋体" w:hAnsi="宋体" w:eastAsia="宋体"/>
                <w:b/>
                <w:bCs/>
                <w:szCs w:val="21"/>
              </w:rPr>
            </w:pPr>
            <w:r>
              <w:rPr>
                <w:rFonts w:hint="eastAsia" w:ascii="宋体" w:hAnsi="宋体" w:eastAsia="宋体" w:cs="宋体"/>
                <w:b/>
                <w:bCs/>
                <w:szCs w:val="21"/>
              </w:rPr>
              <w:t>条款号</w:t>
            </w:r>
          </w:p>
        </w:tc>
        <w:tc>
          <w:tcPr>
            <w:tcW w:w="7607" w:type="dxa"/>
            <w:noWrap/>
            <w:vAlign w:val="center"/>
          </w:tcPr>
          <w:p w14:paraId="02640EA3">
            <w:pPr>
              <w:spacing w:line="380" w:lineRule="exact"/>
              <w:jc w:val="center"/>
              <w:rPr>
                <w:rFonts w:ascii="宋体" w:hAnsi="宋体" w:eastAsia="宋体"/>
                <w:b/>
                <w:bCs/>
                <w:szCs w:val="21"/>
              </w:rPr>
            </w:pPr>
            <w:r>
              <w:rPr>
                <w:rFonts w:hint="eastAsia" w:ascii="宋体" w:hAnsi="宋体" w:eastAsia="宋体" w:cs="宋体"/>
                <w:b/>
                <w:bCs/>
                <w:szCs w:val="21"/>
              </w:rPr>
              <w:t>评审因素与评审标准</w:t>
            </w:r>
          </w:p>
        </w:tc>
      </w:tr>
      <w:tr w14:paraId="6719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jc w:val="center"/>
        </w:trPr>
        <w:tc>
          <w:tcPr>
            <w:tcW w:w="673" w:type="dxa"/>
            <w:noWrap/>
            <w:vAlign w:val="center"/>
          </w:tcPr>
          <w:p w14:paraId="2BC1C2EC">
            <w:pPr>
              <w:spacing w:line="380" w:lineRule="exact"/>
              <w:jc w:val="center"/>
              <w:rPr>
                <w:rFonts w:ascii="宋体" w:hAnsi="宋体" w:eastAsia="宋体"/>
                <w:szCs w:val="21"/>
              </w:rPr>
            </w:pPr>
            <w:r>
              <w:rPr>
                <w:rFonts w:ascii="宋体" w:hAnsi="宋体" w:eastAsia="宋体"/>
                <w:szCs w:val="21"/>
              </w:rPr>
              <w:t>1</w:t>
            </w:r>
          </w:p>
        </w:tc>
        <w:tc>
          <w:tcPr>
            <w:tcW w:w="934" w:type="dxa"/>
            <w:noWrap/>
            <w:vAlign w:val="center"/>
          </w:tcPr>
          <w:p w14:paraId="1D999F8C">
            <w:pPr>
              <w:spacing w:line="380" w:lineRule="exact"/>
              <w:jc w:val="center"/>
              <w:rPr>
                <w:rFonts w:ascii="宋体" w:hAnsi="宋体" w:eastAsia="宋体"/>
                <w:szCs w:val="21"/>
              </w:rPr>
            </w:pPr>
            <w:r>
              <w:rPr>
                <w:rFonts w:hint="eastAsia" w:ascii="宋体" w:hAnsi="宋体" w:eastAsia="宋体" w:cs="宋体"/>
                <w:szCs w:val="21"/>
              </w:rPr>
              <w:t>评标方法</w:t>
            </w:r>
          </w:p>
        </w:tc>
        <w:tc>
          <w:tcPr>
            <w:tcW w:w="7607" w:type="dxa"/>
            <w:noWrap/>
            <w:vAlign w:val="center"/>
          </w:tcPr>
          <w:p w14:paraId="2A7300CC">
            <w:pPr>
              <w:spacing w:line="380" w:lineRule="exact"/>
              <w:ind w:left="139" w:leftChars="66" w:firstLine="420" w:firstLineChars="200"/>
              <w:rPr>
                <w:rFonts w:ascii="宋体" w:hAnsi="宋体" w:eastAsia="宋体"/>
                <w:szCs w:val="21"/>
              </w:rPr>
            </w:pPr>
            <w:r>
              <w:rPr>
                <w:rFonts w:hint="eastAsia" w:ascii="宋体" w:hAnsi="宋体" w:eastAsia="宋体" w:cs="宋体"/>
                <w:szCs w:val="21"/>
              </w:rPr>
              <w:t>综合评分相等时，评标委员会依次按照以下优先顺序推荐中标候选人或确定中标人：</w:t>
            </w:r>
          </w:p>
          <w:p w14:paraId="08B9BF1F">
            <w:pPr>
              <w:spacing w:line="380" w:lineRule="exact"/>
              <w:ind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）评标价低的投标人优先；</w:t>
            </w:r>
          </w:p>
          <w:p w14:paraId="29732854">
            <w:pPr>
              <w:spacing w:line="380" w:lineRule="exact"/>
              <w:ind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2</w:t>
            </w:r>
            <w:r>
              <w:rPr>
                <w:rFonts w:hint="eastAsia" w:ascii="宋体" w:hAnsi="宋体" w:eastAsia="宋体" w:cs="宋体"/>
                <w:szCs w:val="21"/>
              </w:rPr>
              <w:t>）按招标文件规定被认定为广东省信用等级较高的投标人优先（采用如下的优先顺序：承诺使用的</w:t>
            </w:r>
            <w:r>
              <w:rPr>
                <w:rFonts w:hint="eastAsia" w:ascii="宋体" w:hAnsi="宋体" w:eastAsia="宋体"/>
                <w:szCs w:val="21"/>
              </w:rPr>
              <w:t>AA</w:t>
            </w:r>
            <w:r>
              <w:rPr>
                <w:rFonts w:hint="eastAsia" w:ascii="宋体" w:hAnsi="宋体" w:eastAsia="宋体" w:cs="宋体"/>
                <w:szCs w:val="21"/>
              </w:rPr>
              <w:t>级投标人、不承诺使用的</w:t>
            </w:r>
            <w:r>
              <w:rPr>
                <w:rFonts w:hint="eastAsia" w:ascii="宋体" w:hAnsi="宋体" w:eastAsia="宋体"/>
                <w:szCs w:val="21"/>
              </w:rPr>
              <w:t>AA</w:t>
            </w:r>
            <w:r>
              <w:rPr>
                <w:rFonts w:hint="eastAsia" w:ascii="宋体" w:hAnsi="宋体" w:eastAsia="宋体" w:cs="宋体"/>
                <w:szCs w:val="21"/>
              </w:rPr>
              <w:t>级投标人、承诺使用的</w:t>
            </w:r>
            <w:r>
              <w:rPr>
                <w:rFonts w:hint="eastAsia" w:ascii="宋体" w:hAnsi="宋体" w:eastAsia="宋体"/>
                <w:szCs w:val="21"/>
              </w:rPr>
              <w:t>A</w:t>
            </w:r>
            <w:r>
              <w:rPr>
                <w:rFonts w:hint="eastAsia" w:ascii="宋体" w:hAnsi="宋体" w:eastAsia="宋体" w:cs="宋体"/>
                <w:szCs w:val="21"/>
              </w:rPr>
              <w:t>级投标人、不承诺使用的</w:t>
            </w:r>
            <w:r>
              <w:rPr>
                <w:rFonts w:hint="eastAsia" w:ascii="宋体" w:hAnsi="宋体" w:eastAsia="宋体"/>
                <w:szCs w:val="21"/>
              </w:rPr>
              <w:t>A</w:t>
            </w:r>
            <w:r>
              <w:rPr>
                <w:rFonts w:hint="eastAsia" w:ascii="宋体" w:hAnsi="宋体" w:eastAsia="宋体" w:cs="宋体"/>
                <w:szCs w:val="21"/>
              </w:rPr>
              <w:t>级投标人、</w:t>
            </w:r>
            <w:r>
              <w:rPr>
                <w:rFonts w:hint="eastAsia" w:ascii="宋体" w:hAnsi="宋体" w:eastAsia="宋体"/>
                <w:szCs w:val="21"/>
              </w:rPr>
              <w:t>B</w:t>
            </w:r>
            <w:r>
              <w:rPr>
                <w:rFonts w:hint="eastAsia" w:ascii="宋体" w:hAnsi="宋体" w:eastAsia="宋体" w:cs="宋体"/>
                <w:szCs w:val="21"/>
              </w:rPr>
              <w:t>级投标人、未参评且被确定为</w:t>
            </w:r>
            <w:r>
              <w:rPr>
                <w:rFonts w:hint="eastAsia" w:ascii="宋体" w:hAnsi="宋体" w:eastAsia="宋体"/>
                <w:szCs w:val="21"/>
              </w:rPr>
              <w:t>B</w:t>
            </w:r>
            <w:r>
              <w:rPr>
                <w:rFonts w:hint="eastAsia" w:ascii="宋体" w:hAnsi="宋体" w:eastAsia="宋体" w:cs="宋体"/>
                <w:szCs w:val="21"/>
              </w:rPr>
              <w:t>级投标人）；</w:t>
            </w:r>
          </w:p>
          <w:p w14:paraId="6FD77F87">
            <w:pPr>
              <w:spacing w:line="380" w:lineRule="exact"/>
              <w:ind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3</w:t>
            </w:r>
            <w:r>
              <w:rPr>
                <w:rFonts w:hint="eastAsia" w:ascii="宋体" w:hAnsi="宋体" w:eastAsia="宋体" w:cs="宋体"/>
                <w:szCs w:val="21"/>
              </w:rPr>
              <w:t>）商务和技术得分较高的投标人优先；</w:t>
            </w:r>
          </w:p>
          <w:p w14:paraId="4FDB4BD3">
            <w:pPr>
              <w:spacing w:line="380" w:lineRule="exact"/>
              <w:ind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4</w:t>
            </w:r>
            <w:r>
              <w:rPr>
                <w:rFonts w:hint="eastAsia" w:ascii="宋体" w:hAnsi="宋体" w:eastAsia="宋体" w:cs="宋体"/>
                <w:szCs w:val="21"/>
              </w:rPr>
              <w:t>）由评标委员会投票确定。</w:t>
            </w:r>
          </w:p>
        </w:tc>
      </w:tr>
      <w:tr w14:paraId="4699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8" w:hRule="atLeast"/>
          <w:jc w:val="center"/>
        </w:trPr>
        <w:tc>
          <w:tcPr>
            <w:tcW w:w="673" w:type="dxa"/>
            <w:noWrap/>
            <w:vAlign w:val="center"/>
          </w:tcPr>
          <w:p w14:paraId="111847BF">
            <w:pPr>
              <w:spacing w:line="380" w:lineRule="exact"/>
              <w:jc w:val="center"/>
              <w:rPr>
                <w:rFonts w:ascii="宋体" w:hAnsi="宋体" w:eastAsia="宋体"/>
                <w:szCs w:val="21"/>
              </w:rPr>
            </w:pPr>
            <w:r>
              <w:rPr>
                <w:rFonts w:ascii="宋体" w:hAnsi="宋体" w:eastAsia="宋体"/>
                <w:szCs w:val="21"/>
              </w:rPr>
              <w:t>2.1.1</w:t>
            </w:r>
          </w:p>
          <w:p w14:paraId="4E3562CC">
            <w:pPr>
              <w:spacing w:line="380" w:lineRule="exact"/>
              <w:jc w:val="center"/>
              <w:rPr>
                <w:rFonts w:ascii="宋体" w:hAnsi="宋体" w:eastAsia="宋体"/>
                <w:szCs w:val="21"/>
              </w:rPr>
            </w:pPr>
            <w:r>
              <w:rPr>
                <w:rFonts w:ascii="宋体" w:hAnsi="宋体" w:eastAsia="宋体"/>
                <w:szCs w:val="21"/>
              </w:rPr>
              <w:t>2.1.3</w:t>
            </w:r>
          </w:p>
        </w:tc>
        <w:tc>
          <w:tcPr>
            <w:tcW w:w="934" w:type="dxa"/>
            <w:noWrap/>
            <w:vAlign w:val="center"/>
          </w:tcPr>
          <w:p w14:paraId="4A347621">
            <w:pPr>
              <w:spacing w:line="380" w:lineRule="exact"/>
              <w:jc w:val="center"/>
              <w:rPr>
                <w:rFonts w:ascii="宋体" w:hAnsi="宋体" w:eastAsia="宋体"/>
                <w:szCs w:val="21"/>
              </w:rPr>
            </w:pPr>
            <w:r>
              <w:rPr>
                <w:rFonts w:hint="eastAsia" w:ascii="宋体" w:hAnsi="宋体" w:eastAsia="宋体" w:cs="宋体"/>
                <w:szCs w:val="21"/>
              </w:rPr>
              <w:t>形式评审与响应性评审标准</w:t>
            </w:r>
          </w:p>
        </w:tc>
        <w:tc>
          <w:tcPr>
            <w:tcW w:w="7607" w:type="dxa"/>
            <w:noWrap/>
          </w:tcPr>
          <w:p w14:paraId="6E18B830">
            <w:pPr>
              <w:spacing w:line="380" w:lineRule="exact"/>
              <w:ind w:right="92" w:rightChars="44" w:firstLine="422" w:firstLineChars="200"/>
              <w:rPr>
                <w:rFonts w:ascii="宋体" w:hAnsi="宋体" w:eastAsia="宋体"/>
                <w:b/>
                <w:bCs/>
                <w:szCs w:val="21"/>
              </w:rPr>
            </w:pPr>
            <w:r>
              <w:rPr>
                <w:rFonts w:hint="eastAsia" w:ascii="宋体" w:hAnsi="宋体" w:eastAsia="宋体" w:cs="宋体"/>
                <w:b/>
                <w:bCs/>
                <w:szCs w:val="21"/>
              </w:rPr>
              <w:t>第一个信封（商务及技术文件）评审标准：</w:t>
            </w:r>
          </w:p>
          <w:p w14:paraId="6B920BD3">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）投标文件按照招标文件规定的格式、内容填写，字迹清晰可辨：</w:t>
            </w:r>
          </w:p>
          <w:p w14:paraId="22F73014">
            <w:pPr>
              <w:spacing w:line="380" w:lineRule="exact"/>
              <w:ind w:right="92" w:rightChars="44" w:firstLine="630" w:firstLineChars="300"/>
              <w:rPr>
                <w:rFonts w:ascii="宋体" w:hAnsi="宋体" w:eastAsia="宋体"/>
                <w:szCs w:val="21"/>
              </w:rPr>
            </w:pPr>
            <w:r>
              <w:rPr>
                <w:rFonts w:hint="eastAsia" w:ascii="宋体" w:hAnsi="宋体" w:eastAsia="宋体"/>
                <w:szCs w:val="21"/>
              </w:rPr>
              <w:t>a.</w:t>
            </w:r>
            <w:r>
              <w:rPr>
                <w:rFonts w:hint="eastAsia" w:ascii="宋体" w:hAnsi="宋体" w:eastAsia="宋体" w:cs="宋体"/>
                <w:szCs w:val="21"/>
              </w:rPr>
              <w:t>投标函按招标文件规定填报了项目名称、标段号（如有）、补遗书编号（如有）、监理服务期限、工程质量要求及安全目标；</w:t>
            </w:r>
          </w:p>
          <w:p w14:paraId="5DC11CCD">
            <w:pPr>
              <w:spacing w:line="380" w:lineRule="exact"/>
              <w:ind w:right="92" w:rightChars="44" w:firstLine="630" w:firstLineChars="300"/>
              <w:rPr>
                <w:rFonts w:ascii="宋体" w:hAnsi="宋体" w:eastAsia="宋体"/>
                <w:szCs w:val="21"/>
              </w:rPr>
            </w:pPr>
            <w:r>
              <w:rPr>
                <w:rFonts w:hint="eastAsia" w:ascii="宋体" w:hAnsi="宋体" w:eastAsia="宋体"/>
                <w:szCs w:val="21"/>
              </w:rPr>
              <w:t>b.</w:t>
            </w:r>
            <w:r>
              <w:rPr>
                <w:rFonts w:hint="eastAsia" w:ascii="宋体" w:hAnsi="宋体" w:eastAsia="宋体" w:cs="宋体"/>
                <w:szCs w:val="21"/>
              </w:rPr>
              <w:t>投标文件组成齐全完整，内容均按规定填写。</w:t>
            </w:r>
          </w:p>
          <w:p w14:paraId="33C26452">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2</w:t>
            </w:r>
            <w:r>
              <w:rPr>
                <w:rFonts w:hint="eastAsia" w:ascii="宋体" w:hAnsi="宋体" w:eastAsia="宋体" w:cs="宋体"/>
                <w:szCs w:val="21"/>
              </w:rPr>
              <w:t>）投标文件上法定代表人或其委托代理人的签字、投标人的单位章盖章齐全，符合招标文件规定。</w:t>
            </w:r>
            <w:r>
              <w:rPr>
                <w:rFonts w:hint="eastAsia" w:ascii="宋体" w:hAnsi="宋体" w:eastAsia="宋体" w:cs="宋体"/>
                <w:b/>
                <w:szCs w:val="21"/>
              </w:rPr>
              <w:t>【注：</w:t>
            </w:r>
            <w:r>
              <w:rPr>
                <w:rFonts w:hint="eastAsia" w:ascii="宋体" w:hAnsi="宋体" w:eastAsia="宋体" w:cs="宋体"/>
                <w:b/>
              </w:rPr>
              <w:t>签字，可以</w:t>
            </w:r>
            <w:r>
              <w:rPr>
                <w:rFonts w:hint="eastAsia" w:ascii="宋体" w:hAnsi="宋体" w:eastAsia="宋体" w:cs="宋体"/>
                <w:b/>
                <w:szCs w:val="21"/>
              </w:rPr>
              <w:t>加盖个人电子印章，或亲笔签名后扫描上传的任一方式操作。】</w:t>
            </w:r>
          </w:p>
          <w:p w14:paraId="040F20F0">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3</w:t>
            </w:r>
            <w:r>
              <w:rPr>
                <w:rFonts w:hint="eastAsia" w:ascii="宋体" w:hAnsi="宋体" w:eastAsia="宋体" w:cs="宋体"/>
                <w:szCs w:val="21"/>
              </w:rPr>
              <w:t>）投标人按照招标文件的规定提供了投标保证金：</w:t>
            </w:r>
          </w:p>
          <w:p w14:paraId="1A10C84E">
            <w:pPr>
              <w:spacing w:line="380" w:lineRule="exact"/>
              <w:ind w:left="139" w:leftChars="66" w:right="92" w:rightChars="44" w:firstLine="420" w:firstLineChars="200"/>
              <w:rPr>
                <w:rFonts w:ascii="宋体" w:hAnsi="宋体" w:eastAsia="宋体"/>
                <w:szCs w:val="21"/>
              </w:rPr>
            </w:pPr>
            <w:r>
              <w:rPr>
                <w:rFonts w:hint="eastAsia" w:ascii="宋体" w:hAnsi="宋体" w:eastAsia="宋体"/>
                <w:szCs w:val="21"/>
              </w:rPr>
              <w:t>a.</w:t>
            </w:r>
            <w:r>
              <w:rPr>
                <w:rFonts w:hint="eastAsia" w:ascii="宋体" w:hAnsi="宋体" w:eastAsia="宋体" w:cs="宋体"/>
                <w:szCs w:val="21"/>
              </w:rPr>
              <w:t>投标保证金金额符合招标文件规定的金额，且投标保证金有效期不少于投标有效期；</w:t>
            </w:r>
          </w:p>
          <w:p w14:paraId="19E1F2DC">
            <w:pPr>
              <w:spacing w:line="380" w:lineRule="exact"/>
              <w:ind w:left="139" w:leftChars="66" w:right="92" w:rightChars="44" w:firstLine="420" w:firstLineChars="200"/>
              <w:rPr>
                <w:rFonts w:ascii="宋体" w:hAnsi="宋体" w:eastAsia="宋体" w:cs="宋体"/>
                <w:szCs w:val="21"/>
              </w:rPr>
            </w:pPr>
            <w:r>
              <w:rPr>
                <w:rFonts w:hint="eastAsia" w:ascii="宋体" w:hAnsi="宋体" w:eastAsia="宋体"/>
                <w:szCs w:val="21"/>
              </w:rPr>
              <w:t>b.</w:t>
            </w:r>
            <w:r>
              <w:rPr>
                <w:rFonts w:hint="eastAsia" w:ascii="宋体" w:hAnsi="宋体" w:eastAsia="宋体" w:cs="宋体"/>
                <w:szCs w:val="21"/>
              </w:rPr>
              <w:t>若投标保证金采用</w:t>
            </w:r>
            <w:r>
              <w:rPr>
                <w:rFonts w:hint="eastAsia" w:ascii="宋体" w:hAnsi="宋体" w:eastAsia="宋体" w:cs="宋体"/>
                <w:b/>
                <w:bCs/>
                <w:szCs w:val="21"/>
              </w:rPr>
              <w:t>银行转账</w:t>
            </w:r>
            <w:r>
              <w:rPr>
                <w:rFonts w:hint="eastAsia" w:ascii="宋体" w:hAnsi="宋体" w:eastAsia="宋体" w:cs="宋体"/>
                <w:szCs w:val="21"/>
              </w:rPr>
              <w:t>形式提交，投标人应在招标文件规定的投标保证金递交截止时间之前，将投标保证金由投标人的基本账户转入招标人指定账户；</w:t>
            </w:r>
          </w:p>
          <w:p w14:paraId="0A139ECF">
            <w:pPr>
              <w:spacing w:line="380" w:lineRule="exact"/>
              <w:ind w:left="139" w:leftChars="66" w:right="92" w:rightChars="44" w:firstLine="420" w:firstLineChars="200"/>
              <w:rPr>
                <w:rFonts w:ascii="宋体" w:hAnsi="宋体" w:eastAsia="宋体" w:cs="宋体"/>
                <w:szCs w:val="21"/>
              </w:rPr>
            </w:pPr>
            <w:r>
              <w:rPr>
                <w:rFonts w:hint="eastAsia" w:ascii="宋体" w:hAnsi="宋体" w:eastAsia="宋体" w:cs="宋体"/>
                <w:szCs w:val="21"/>
              </w:rPr>
              <w:t>c.若投标保证金采用</w:t>
            </w:r>
            <w:r>
              <w:rPr>
                <w:rFonts w:hint="eastAsia" w:ascii="宋体" w:hAnsi="宋体" w:eastAsia="宋体" w:cs="宋体"/>
                <w:b/>
                <w:bCs/>
                <w:szCs w:val="21"/>
              </w:rPr>
              <w:t>电子保函</w:t>
            </w:r>
            <w:r>
              <w:rPr>
                <w:rFonts w:hint="eastAsia" w:ascii="宋体" w:hAnsi="宋体" w:eastAsia="宋体" w:cs="宋体"/>
                <w:szCs w:val="21"/>
              </w:rPr>
              <w:t>或投标人须知前附表3.4.1项规定的其他形式提交，应满足招标文件要求。</w:t>
            </w:r>
          </w:p>
          <w:p w14:paraId="08735808">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4</w:t>
            </w:r>
            <w:r>
              <w:rPr>
                <w:rFonts w:hint="eastAsia" w:ascii="宋体" w:hAnsi="宋体" w:eastAsia="宋体" w:cs="宋体"/>
                <w:szCs w:val="21"/>
              </w:rPr>
              <w:t>）投标人法定代表人授权委托代理人签署投标文件的，须提交授权委托书，且授权人和被授权人</w:t>
            </w:r>
            <w:r>
              <w:rPr>
                <w:rFonts w:hint="eastAsia" w:ascii="宋体" w:hAnsi="宋体" w:eastAsia="宋体" w:cs="宋体"/>
                <w:b/>
                <w:bCs/>
                <w:szCs w:val="21"/>
              </w:rPr>
              <w:t>均在授权委托书上加盖个人电子印章或亲笔签名后扫描上传</w:t>
            </w:r>
            <w:r>
              <w:rPr>
                <w:rFonts w:hint="eastAsia" w:ascii="宋体" w:hAnsi="宋体" w:eastAsia="宋体" w:cs="宋体"/>
                <w:b/>
                <w:szCs w:val="21"/>
              </w:rPr>
              <w:t>。</w:t>
            </w:r>
          </w:p>
          <w:p w14:paraId="7A3ADCF3">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5</w:t>
            </w:r>
            <w:r>
              <w:rPr>
                <w:rFonts w:hint="eastAsia" w:ascii="宋体" w:hAnsi="宋体" w:eastAsia="宋体" w:cs="宋体"/>
                <w:szCs w:val="21"/>
              </w:rPr>
              <w:t>）投标人法定代表人亲自签署投标文件的，提供了法定代表人身份证明，且法定代表人</w:t>
            </w:r>
            <w:r>
              <w:rPr>
                <w:rFonts w:hint="eastAsia" w:ascii="宋体" w:hAnsi="宋体" w:eastAsia="宋体" w:cs="宋体"/>
                <w:b/>
                <w:bCs/>
                <w:szCs w:val="21"/>
              </w:rPr>
              <w:t>在法定代表人身份证明上加盖个人电子印章或亲笔签名后扫描上传</w:t>
            </w:r>
            <w:r>
              <w:rPr>
                <w:rFonts w:hint="eastAsia" w:ascii="宋体" w:hAnsi="宋体" w:eastAsia="宋体" w:cs="宋体"/>
                <w:b/>
                <w:szCs w:val="21"/>
              </w:rPr>
              <w:t>。</w:t>
            </w:r>
          </w:p>
          <w:p w14:paraId="505DCD8A">
            <w:pPr>
              <w:spacing w:line="380" w:lineRule="exact"/>
              <w:ind w:right="92" w:rightChars="44" w:firstLine="420" w:firstLineChars="200"/>
              <w:rPr>
                <w:rFonts w:ascii="宋体" w:hAnsi="宋体" w:eastAsia="宋体" w:cs="宋体"/>
                <w:szCs w:val="21"/>
              </w:rPr>
            </w:pPr>
            <w:r>
              <w:rPr>
                <w:rFonts w:hint="eastAsia" w:ascii="宋体" w:hAnsi="宋体" w:eastAsia="宋体" w:cs="宋体"/>
                <w:szCs w:val="21"/>
              </w:rPr>
              <w:t>（6）投标人未以联合体形式投标。</w:t>
            </w:r>
          </w:p>
          <w:p w14:paraId="1ABB689D">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7</w:t>
            </w:r>
            <w:r>
              <w:rPr>
                <w:rFonts w:hint="eastAsia" w:ascii="宋体" w:hAnsi="宋体" w:eastAsia="宋体" w:cs="宋体"/>
                <w:szCs w:val="21"/>
              </w:rPr>
              <w:t>）同一投标人未提交两个以上不同的投标文件，但招标文件要求提交备选投标的除外。</w:t>
            </w:r>
          </w:p>
          <w:p w14:paraId="59D3093B">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8</w:t>
            </w:r>
            <w:r>
              <w:rPr>
                <w:rFonts w:hint="eastAsia" w:ascii="宋体" w:hAnsi="宋体" w:eastAsia="宋体" w:cs="宋体"/>
                <w:szCs w:val="21"/>
              </w:rPr>
              <w:t>）投标文件中未出现有关投标报价的内容。</w:t>
            </w:r>
          </w:p>
          <w:p w14:paraId="0A2994F9">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9</w:t>
            </w:r>
            <w:r>
              <w:rPr>
                <w:rFonts w:hint="eastAsia" w:ascii="宋体" w:hAnsi="宋体" w:eastAsia="宋体" w:cs="宋体"/>
                <w:szCs w:val="21"/>
              </w:rPr>
              <w:t>）投标文件载明的招标项目完成期限未超过招标文件规定的时限。</w:t>
            </w:r>
          </w:p>
          <w:p w14:paraId="35A0BDC8">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10</w:t>
            </w:r>
            <w:r>
              <w:rPr>
                <w:rFonts w:hint="eastAsia" w:ascii="宋体" w:hAnsi="宋体" w:eastAsia="宋体" w:cs="宋体"/>
                <w:szCs w:val="21"/>
              </w:rPr>
              <w:t>）投标文件对招标文件的实质性要求和条件作出响应。</w:t>
            </w:r>
          </w:p>
          <w:p w14:paraId="5E2D5492">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11</w:t>
            </w:r>
            <w:r>
              <w:rPr>
                <w:rFonts w:hint="eastAsia" w:ascii="宋体" w:hAnsi="宋体" w:eastAsia="宋体" w:cs="宋体"/>
                <w:szCs w:val="21"/>
              </w:rPr>
              <w:t>）权利义务符合招标文件规定：</w:t>
            </w:r>
          </w:p>
          <w:p w14:paraId="76774988">
            <w:pPr>
              <w:spacing w:line="380" w:lineRule="exact"/>
              <w:ind w:right="92" w:rightChars="44" w:firstLine="210" w:firstLineChars="100"/>
              <w:rPr>
                <w:rFonts w:ascii="宋体" w:hAnsi="宋体" w:eastAsia="宋体"/>
                <w:szCs w:val="21"/>
              </w:rPr>
            </w:pPr>
            <w:r>
              <w:rPr>
                <w:rFonts w:hint="eastAsia" w:ascii="宋体" w:hAnsi="宋体" w:eastAsia="宋体"/>
                <w:szCs w:val="21"/>
              </w:rPr>
              <w:t>a.</w:t>
            </w:r>
            <w:r>
              <w:rPr>
                <w:rFonts w:hint="eastAsia" w:ascii="宋体" w:hAnsi="宋体" w:eastAsia="宋体" w:cs="宋体"/>
                <w:szCs w:val="21"/>
              </w:rPr>
              <w:t>投标人应接受招标文件规定的风险划分原则，未提出新的风险划分办法；</w:t>
            </w:r>
          </w:p>
          <w:p w14:paraId="231D9BE0">
            <w:pPr>
              <w:spacing w:line="380" w:lineRule="exact"/>
              <w:ind w:right="92" w:rightChars="44" w:firstLine="210" w:firstLineChars="100"/>
              <w:rPr>
                <w:rFonts w:ascii="宋体" w:hAnsi="宋体" w:eastAsia="宋体"/>
                <w:szCs w:val="21"/>
              </w:rPr>
            </w:pPr>
            <w:r>
              <w:rPr>
                <w:rFonts w:hint="eastAsia" w:ascii="宋体" w:hAnsi="宋体" w:eastAsia="宋体"/>
                <w:szCs w:val="21"/>
              </w:rPr>
              <w:t>b.</w:t>
            </w:r>
            <w:r>
              <w:rPr>
                <w:rFonts w:hint="eastAsia" w:ascii="宋体" w:hAnsi="宋体" w:eastAsia="宋体" w:cs="宋体"/>
                <w:szCs w:val="21"/>
              </w:rPr>
              <w:t>投标人未增加委托人的责任范围，或减少投标人义务；</w:t>
            </w:r>
          </w:p>
          <w:p w14:paraId="3AE20A61">
            <w:pPr>
              <w:spacing w:line="380" w:lineRule="exact"/>
              <w:ind w:right="92" w:rightChars="44" w:firstLine="210" w:firstLineChars="100"/>
              <w:rPr>
                <w:rFonts w:ascii="宋体" w:hAnsi="宋体" w:eastAsia="宋体"/>
                <w:szCs w:val="21"/>
              </w:rPr>
            </w:pPr>
            <w:r>
              <w:rPr>
                <w:rFonts w:hint="eastAsia" w:ascii="宋体" w:hAnsi="宋体" w:eastAsia="宋体"/>
                <w:szCs w:val="21"/>
              </w:rPr>
              <w:t>c.</w:t>
            </w:r>
            <w:r>
              <w:rPr>
                <w:rFonts w:hint="eastAsia" w:ascii="宋体" w:hAnsi="宋体" w:eastAsia="宋体" w:cs="宋体"/>
                <w:szCs w:val="21"/>
              </w:rPr>
              <w:t>投标人未提出不同的支付办法；</w:t>
            </w:r>
          </w:p>
          <w:p w14:paraId="09B7C544">
            <w:pPr>
              <w:spacing w:line="380" w:lineRule="exact"/>
              <w:ind w:right="92" w:rightChars="44" w:firstLine="210" w:firstLineChars="100"/>
              <w:rPr>
                <w:rFonts w:ascii="宋体" w:hAnsi="宋体" w:eastAsia="宋体"/>
                <w:szCs w:val="21"/>
              </w:rPr>
            </w:pPr>
            <w:r>
              <w:rPr>
                <w:rFonts w:hint="eastAsia" w:ascii="宋体" w:hAnsi="宋体" w:eastAsia="宋体"/>
                <w:szCs w:val="21"/>
              </w:rPr>
              <w:t>d.</w:t>
            </w:r>
            <w:r>
              <w:rPr>
                <w:rFonts w:hint="eastAsia" w:ascii="宋体" w:hAnsi="宋体" w:eastAsia="宋体" w:cs="宋体"/>
                <w:szCs w:val="21"/>
              </w:rPr>
              <w:t>投标人对合同纠纷、事故处理办法未提出异议；</w:t>
            </w:r>
          </w:p>
          <w:p w14:paraId="2149D39C">
            <w:pPr>
              <w:spacing w:line="380" w:lineRule="exact"/>
              <w:ind w:right="92" w:rightChars="44" w:firstLine="210" w:firstLineChars="100"/>
              <w:rPr>
                <w:rFonts w:ascii="宋体" w:hAnsi="宋体" w:eastAsia="宋体"/>
                <w:szCs w:val="21"/>
              </w:rPr>
            </w:pPr>
            <w:r>
              <w:rPr>
                <w:rFonts w:hint="eastAsia" w:ascii="宋体" w:hAnsi="宋体" w:eastAsia="宋体"/>
                <w:szCs w:val="21"/>
              </w:rPr>
              <w:t>e.</w:t>
            </w:r>
            <w:r>
              <w:rPr>
                <w:rFonts w:hint="eastAsia" w:ascii="宋体" w:hAnsi="宋体" w:eastAsia="宋体" w:cs="宋体"/>
                <w:szCs w:val="21"/>
              </w:rPr>
              <w:t>投标人在投标活动中无欺诈行为；</w:t>
            </w:r>
          </w:p>
          <w:p w14:paraId="3E073D72">
            <w:pPr>
              <w:spacing w:line="380" w:lineRule="exact"/>
              <w:ind w:right="92" w:rightChars="44" w:firstLine="210" w:firstLineChars="100"/>
              <w:rPr>
                <w:rFonts w:ascii="宋体" w:hAnsi="宋体" w:eastAsia="宋体"/>
                <w:szCs w:val="21"/>
              </w:rPr>
            </w:pPr>
            <w:r>
              <w:rPr>
                <w:rFonts w:hint="eastAsia" w:ascii="宋体" w:hAnsi="宋体" w:eastAsia="宋体"/>
                <w:szCs w:val="21"/>
              </w:rPr>
              <w:t>f.</w:t>
            </w:r>
            <w:r>
              <w:rPr>
                <w:rFonts w:hint="eastAsia" w:ascii="宋体" w:hAnsi="宋体" w:eastAsia="宋体" w:cs="宋体"/>
                <w:szCs w:val="21"/>
              </w:rPr>
              <w:t>投标人未对合同条款有重要保留。</w:t>
            </w:r>
          </w:p>
          <w:p w14:paraId="04D1E7F0">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ascii="宋体" w:hAnsi="宋体" w:eastAsia="宋体"/>
                <w:szCs w:val="21"/>
              </w:rPr>
              <w:t>2</w:t>
            </w:r>
            <w:r>
              <w:rPr>
                <w:rFonts w:hint="eastAsia" w:ascii="宋体" w:hAnsi="宋体" w:eastAsia="宋体" w:cs="宋体"/>
                <w:szCs w:val="21"/>
              </w:rPr>
              <w:t>）投标文件符合招标文件第二章“投标人须知”第</w:t>
            </w:r>
            <w:r>
              <w:rPr>
                <w:rFonts w:ascii="宋体" w:hAnsi="宋体" w:eastAsia="宋体" w:cs="宋体"/>
                <w:szCs w:val="21"/>
              </w:rPr>
              <w:t>3.7.4项规定。</w:t>
            </w:r>
          </w:p>
          <w:p w14:paraId="24C0F3DF">
            <w:pPr>
              <w:spacing w:line="380" w:lineRule="exact"/>
              <w:ind w:right="92" w:rightChars="44" w:firstLine="422" w:firstLineChars="200"/>
              <w:rPr>
                <w:rFonts w:ascii="宋体" w:hAnsi="宋体" w:eastAsia="宋体"/>
                <w:b/>
                <w:bCs/>
                <w:szCs w:val="21"/>
              </w:rPr>
            </w:pPr>
            <w:r>
              <w:rPr>
                <w:rFonts w:hint="eastAsia" w:ascii="宋体" w:hAnsi="宋体" w:eastAsia="宋体" w:cs="宋体"/>
                <w:b/>
                <w:bCs/>
                <w:szCs w:val="21"/>
              </w:rPr>
              <w:t>第二个信封（报价文件）评审标准：</w:t>
            </w:r>
          </w:p>
          <w:p w14:paraId="6A53BFBF">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）投标文件按照招标文件规定的格式、内容填写，字迹清晰可辨，内容齐全完整：</w:t>
            </w:r>
          </w:p>
          <w:p w14:paraId="4B02A463">
            <w:pPr>
              <w:spacing w:line="380" w:lineRule="exact"/>
              <w:ind w:right="92" w:rightChars="44" w:firstLine="210" w:firstLineChars="100"/>
              <w:rPr>
                <w:rFonts w:ascii="宋体" w:hAnsi="宋体" w:eastAsia="宋体" w:cs="宋体"/>
                <w:szCs w:val="21"/>
              </w:rPr>
            </w:pPr>
            <w:r>
              <w:rPr>
                <w:rFonts w:hint="eastAsia" w:ascii="宋体" w:hAnsi="宋体" w:eastAsia="宋体"/>
                <w:szCs w:val="21"/>
              </w:rPr>
              <w:t>a.</w:t>
            </w:r>
            <w:r>
              <w:rPr>
                <w:rFonts w:hint="eastAsia" w:ascii="宋体" w:hAnsi="宋体" w:eastAsia="宋体" w:cs="宋体"/>
                <w:szCs w:val="21"/>
              </w:rPr>
              <w:t>投标函按招标文件规定填报了项目名称、标段号（如有）、补遗书编号（如有）、投标价（包括大写金额和小写金额）；</w:t>
            </w:r>
          </w:p>
          <w:p w14:paraId="14F3FB4E">
            <w:pPr>
              <w:spacing w:line="380" w:lineRule="exact"/>
              <w:ind w:right="92" w:rightChars="44" w:firstLine="210" w:firstLineChars="100"/>
              <w:rPr>
                <w:rFonts w:ascii="宋体" w:hAnsi="宋体" w:eastAsia="宋体"/>
                <w:szCs w:val="21"/>
              </w:rPr>
            </w:pPr>
            <w:r>
              <w:rPr>
                <w:rFonts w:hint="eastAsia" w:ascii="宋体" w:hAnsi="宋体" w:eastAsia="宋体"/>
                <w:szCs w:val="21"/>
              </w:rPr>
              <w:t>b.</w:t>
            </w:r>
            <w:r>
              <w:rPr>
                <w:rFonts w:ascii="宋体" w:hAnsi="宋体" w:eastAsia="宋体"/>
                <w:szCs w:val="21"/>
              </w:rPr>
              <w:t>已标价报价清单说明文字与招标文件规定一致，未进行实质性修改和删减；</w:t>
            </w:r>
          </w:p>
          <w:p w14:paraId="122F9CAD">
            <w:pPr>
              <w:spacing w:line="380" w:lineRule="exact"/>
              <w:ind w:right="92" w:rightChars="44" w:firstLine="210" w:firstLineChars="100"/>
              <w:rPr>
                <w:rFonts w:ascii="宋体" w:hAnsi="宋体" w:eastAsia="宋体"/>
                <w:szCs w:val="21"/>
              </w:rPr>
            </w:pPr>
            <w:r>
              <w:rPr>
                <w:rFonts w:hint="eastAsia" w:ascii="宋体" w:hAnsi="宋体" w:eastAsia="宋体"/>
                <w:szCs w:val="21"/>
              </w:rPr>
              <w:t>c.</w:t>
            </w:r>
            <w:r>
              <w:rPr>
                <w:rFonts w:ascii="宋体" w:hAnsi="宋体" w:eastAsia="宋体"/>
                <w:szCs w:val="21"/>
              </w:rPr>
              <w:t>投标文件组成齐全完整，内容均按规定填写。</w:t>
            </w:r>
          </w:p>
          <w:p w14:paraId="5A0F8B07">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2</w:t>
            </w:r>
            <w:r>
              <w:rPr>
                <w:rFonts w:ascii="宋体" w:hAnsi="宋体" w:eastAsia="宋体"/>
                <w:szCs w:val="21"/>
              </w:rPr>
              <w:t>）投标文件上法定代表人或其委托代理人的签字、投标人的单位章盖章齐全，符合招标文件规定。</w:t>
            </w:r>
            <w:r>
              <w:rPr>
                <w:rFonts w:hint="eastAsia" w:ascii="宋体" w:hAnsi="宋体" w:eastAsia="宋体" w:cs="宋体"/>
                <w:b/>
                <w:szCs w:val="21"/>
              </w:rPr>
              <w:t>【注：</w:t>
            </w:r>
            <w:r>
              <w:rPr>
                <w:rFonts w:hint="eastAsia" w:ascii="宋体" w:hAnsi="宋体" w:eastAsia="宋体" w:cs="宋体"/>
                <w:b/>
              </w:rPr>
              <w:t>签字，可以以</w:t>
            </w:r>
            <w:r>
              <w:rPr>
                <w:rFonts w:hint="eastAsia" w:ascii="宋体" w:hAnsi="宋体" w:eastAsia="宋体" w:cs="宋体"/>
                <w:b/>
                <w:szCs w:val="21"/>
              </w:rPr>
              <w:t>加盖个人电子印章，或亲笔签名后扫描上传的任一方式操作。】</w:t>
            </w:r>
          </w:p>
          <w:p w14:paraId="04A8D411">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3</w:t>
            </w:r>
            <w:r>
              <w:rPr>
                <w:rFonts w:ascii="宋体" w:hAnsi="宋体" w:eastAsia="宋体"/>
                <w:szCs w:val="21"/>
              </w:rPr>
              <w:t>）投标报价未超过招标文件设定的最高投标限价（如有）。</w:t>
            </w:r>
          </w:p>
          <w:p w14:paraId="4C85002D">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4</w:t>
            </w:r>
            <w:r>
              <w:rPr>
                <w:rFonts w:ascii="宋体" w:hAnsi="宋体" w:eastAsia="宋体"/>
                <w:szCs w:val="21"/>
              </w:rPr>
              <w:t>）投标报价的大写金额能够确定具体数值。</w:t>
            </w:r>
          </w:p>
          <w:p w14:paraId="6CC0430D">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5</w:t>
            </w:r>
            <w:r>
              <w:rPr>
                <w:rFonts w:ascii="宋体" w:hAnsi="宋体" w:eastAsia="宋体"/>
                <w:szCs w:val="21"/>
              </w:rPr>
              <w:t>）同一投标人未提交两个以上不同的投标报价，但招标文件要求提交备选投标的除外。</w:t>
            </w:r>
          </w:p>
          <w:p w14:paraId="029E62A0">
            <w:pPr>
              <w:spacing w:line="380" w:lineRule="exact"/>
              <w:ind w:right="92" w:rightChars="44" w:firstLine="420" w:firstLineChars="200"/>
              <w:rPr>
                <w:rFonts w:ascii="宋体" w:hAnsi="宋体" w:eastAsia="宋体"/>
                <w:szCs w:val="21"/>
              </w:rPr>
            </w:pPr>
            <w:r>
              <w:rPr>
                <w:rFonts w:hint="eastAsia" w:ascii="宋体" w:hAnsi="宋体" w:eastAsia="宋体" w:cs="宋体"/>
                <w:szCs w:val="21"/>
              </w:rPr>
              <w:t>（</w:t>
            </w:r>
            <w:r>
              <w:rPr>
                <w:rFonts w:ascii="宋体" w:hAnsi="宋体" w:eastAsia="宋体"/>
                <w:szCs w:val="21"/>
              </w:rPr>
              <w:t>6</w:t>
            </w:r>
            <w:r>
              <w:rPr>
                <w:rFonts w:hint="eastAsia" w:ascii="宋体" w:hAnsi="宋体" w:eastAsia="宋体" w:cs="宋体"/>
                <w:szCs w:val="21"/>
              </w:rPr>
              <w:t>）投标文件符合招标文件第二章“投标人须知”第</w:t>
            </w:r>
            <w:r>
              <w:rPr>
                <w:rFonts w:ascii="宋体" w:hAnsi="宋体" w:eastAsia="宋体" w:cs="宋体"/>
                <w:szCs w:val="21"/>
              </w:rPr>
              <w:t>3.7.4项规定。</w:t>
            </w:r>
          </w:p>
        </w:tc>
      </w:tr>
      <w:tr w14:paraId="5A6F0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7" w:hRule="atLeast"/>
          <w:jc w:val="center"/>
        </w:trPr>
        <w:tc>
          <w:tcPr>
            <w:tcW w:w="673" w:type="dxa"/>
            <w:noWrap/>
            <w:vAlign w:val="center"/>
          </w:tcPr>
          <w:p w14:paraId="4BA9E745">
            <w:pPr>
              <w:spacing w:line="380" w:lineRule="exact"/>
              <w:jc w:val="center"/>
              <w:rPr>
                <w:rFonts w:ascii="宋体" w:hAnsi="宋体" w:eastAsia="宋体"/>
                <w:szCs w:val="21"/>
              </w:rPr>
            </w:pPr>
            <w:r>
              <w:rPr>
                <w:rFonts w:ascii="宋体" w:hAnsi="宋体" w:eastAsia="宋体"/>
                <w:szCs w:val="21"/>
              </w:rPr>
              <w:t>2.1.2</w:t>
            </w:r>
          </w:p>
        </w:tc>
        <w:tc>
          <w:tcPr>
            <w:tcW w:w="934" w:type="dxa"/>
            <w:noWrap/>
            <w:vAlign w:val="center"/>
          </w:tcPr>
          <w:p w14:paraId="5929CBFA">
            <w:pPr>
              <w:spacing w:line="380" w:lineRule="exact"/>
              <w:jc w:val="center"/>
              <w:rPr>
                <w:rFonts w:ascii="宋体" w:hAnsi="宋体" w:eastAsia="宋体"/>
                <w:szCs w:val="21"/>
              </w:rPr>
            </w:pPr>
            <w:r>
              <w:rPr>
                <w:rFonts w:ascii="宋体" w:hAnsi="宋体" w:eastAsia="宋体"/>
                <w:szCs w:val="21"/>
              </w:rPr>
              <w:t>资格评审标准</w:t>
            </w:r>
          </w:p>
        </w:tc>
        <w:tc>
          <w:tcPr>
            <w:tcW w:w="7607" w:type="dxa"/>
            <w:noWrap/>
          </w:tcPr>
          <w:p w14:paraId="46B9D8E5">
            <w:pPr>
              <w:spacing w:line="380" w:lineRule="exact"/>
              <w:ind w:right="92" w:rightChars="44" w:firstLine="420" w:firstLineChars="200"/>
              <w:rPr>
                <w:rFonts w:ascii="宋体" w:hAnsi="宋体" w:eastAsia="宋体"/>
                <w:szCs w:val="21"/>
              </w:rPr>
            </w:pPr>
            <w:r>
              <w:rPr>
                <w:rFonts w:ascii="宋体" w:hAnsi="宋体" w:eastAsia="宋体"/>
                <w:szCs w:val="21"/>
              </w:rPr>
              <w:t>（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投标人已录入交通运输部“</w:t>
            </w:r>
            <w:r>
              <w:rPr>
                <w:rFonts w:hint="eastAsia" w:ascii="宋体" w:hAnsi="宋体" w:eastAsia="宋体"/>
                <w:szCs w:val="21"/>
              </w:rPr>
              <w:t>全国公路建设市场监督管理系统</w:t>
            </w:r>
            <w:r>
              <w:rPr>
                <w:rFonts w:ascii="宋体" w:hAnsi="宋体" w:eastAsia="宋体"/>
                <w:szCs w:val="21"/>
              </w:rPr>
              <w:t>（</w:t>
            </w:r>
            <w:r>
              <w:rPr>
                <w:rFonts w:hint="eastAsia" w:ascii="宋体" w:hAnsi="宋体" w:eastAsia="宋体" w:cs="宋体"/>
                <w:snapToGrid w:val="0"/>
                <w:color w:val="000000"/>
                <w:kern w:val="0"/>
                <w:szCs w:val="21"/>
                <w:lang w:bidi="ar"/>
              </w:rPr>
              <w:t>https://hwdms.mot.gov.cn/</w:t>
            </w:r>
            <w:r>
              <w:rPr>
                <w:rFonts w:ascii="宋体" w:hAnsi="宋体" w:eastAsia="宋体"/>
                <w:szCs w:val="21"/>
              </w:rPr>
              <w:t>）”中的公路工程施工监理资质企业名录，且投标人名称和资质与该名录中的相应企业名称和资质完全一致</w:t>
            </w:r>
            <w:r>
              <w:rPr>
                <w:rFonts w:hint="eastAsia" w:ascii="宋体" w:hAnsi="宋体" w:eastAsia="宋体"/>
                <w:szCs w:val="21"/>
              </w:rPr>
              <w:t>。</w:t>
            </w:r>
          </w:p>
          <w:p w14:paraId="15BB84D8">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2</w:t>
            </w:r>
            <w:r>
              <w:rPr>
                <w:rFonts w:ascii="宋体" w:hAnsi="宋体" w:eastAsia="宋体"/>
                <w:szCs w:val="21"/>
              </w:rPr>
              <w:t>）投标人的资质等级符合招标文件规定。</w:t>
            </w:r>
          </w:p>
          <w:p w14:paraId="164D7854">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3</w:t>
            </w:r>
            <w:r>
              <w:rPr>
                <w:rFonts w:ascii="宋体" w:hAnsi="宋体" w:eastAsia="宋体"/>
                <w:szCs w:val="21"/>
              </w:rPr>
              <w:t>）投标人的类似工程业绩符合招标文件规定。</w:t>
            </w:r>
          </w:p>
          <w:p w14:paraId="77D5CEAB">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4</w:t>
            </w:r>
            <w:r>
              <w:rPr>
                <w:rFonts w:ascii="宋体" w:hAnsi="宋体" w:eastAsia="宋体"/>
                <w:szCs w:val="21"/>
              </w:rPr>
              <w:t>）投标人的信誉符合招标文件规定。</w:t>
            </w:r>
          </w:p>
          <w:p w14:paraId="56F28990">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5</w:t>
            </w:r>
            <w:r>
              <w:rPr>
                <w:rFonts w:ascii="宋体" w:hAnsi="宋体" w:eastAsia="宋体"/>
                <w:szCs w:val="21"/>
              </w:rPr>
              <w:t>）投标人的总监理工程师或驻地监理工程师（含备选，如有）资格、在岗情况符合招标文件规定</w:t>
            </w:r>
            <w:r>
              <w:rPr>
                <w:rFonts w:hint="eastAsia" w:ascii="宋体" w:hAnsi="宋体" w:eastAsia="宋体"/>
                <w:szCs w:val="21"/>
              </w:rPr>
              <w:t>，并按规定在投标文件中签字确认。</w:t>
            </w:r>
            <w:r>
              <w:rPr>
                <w:rFonts w:hint="eastAsia" w:ascii="宋体" w:hAnsi="宋体" w:eastAsia="宋体"/>
                <w:b/>
                <w:bCs/>
                <w:szCs w:val="21"/>
              </w:rPr>
              <w:t>【注：签字，可以以加盖个人电子印章，或亲笔签名后扫描上传的任一方式操作。】</w:t>
            </w:r>
          </w:p>
          <w:p w14:paraId="4C5C3E9C">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6</w:t>
            </w:r>
            <w:r>
              <w:rPr>
                <w:rFonts w:ascii="宋体" w:hAnsi="宋体" w:eastAsia="宋体"/>
                <w:szCs w:val="21"/>
              </w:rPr>
              <w:t>）投标人的其他要求符合招标文件规定。</w:t>
            </w:r>
          </w:p>
          <w:p w14:paraId="051AF127">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7</w:t>
            </w:r>
            <w:r>
              <w:rPr>
                <w:rFonts w:ascii="宋体" w:hAnsi="宋体" w:eastAsia="宋体"/>
                <w:szCs w:val="21"/>
              </w:rPr>
              <w:t>）投标人不存在第二章“投标人须知”第</w:t>
            </w:r>
            <w:r>
              <w:rPr>
                <w:rFonts w:hint="eastAsia" w:ascii="宋体" w:hAnsi="宋体" w:eastAsia="宋体"/>
                <w:szCs w:val="21"/>
              </w:rPr>
              <w:t>1.4.3</w:t>
            </w:r>
            <w:r>
              <w:rPr>
                <w:rFonts w:ascii="宋体" w:hAnsi="宋体" w:eastAsia="宋体"/>
                <w:szCs w:val="21"/>
              </w:rPr>
              <w:t>项或第</w:t>
            </w:r>
            <w:r>
              <w:rPr>
                <w:rFonts w:hint="eastAsia" w:ascii="宋体" w:hAnsi="宋体" w:eastAsia="宋体"/>
                <w:szCs w:val="21"/>
              </w:rPr>
              <w:t>1.4.4</w:t>
            </w:r>
            <w:r>
              <w:rPr>
                <w:rFonts w:ascii="宋体" w:hAnsi="宋体" w:eastAsia="宋体"/>
                <w:szCs w:val="21"/>
              </w:rPr>
              <w:t>项规定的任何一种情形。</w:t>
            </w:r>
          </w:p>
          <w:p w14:paraId="19C20E51">
            <w:pPr>
              <w:spacing w:line="380" w:lineRule="exact"/>
              <w:ind w:right="92" w:rightChars="44" w:firstLine="420" w:firstLineChars="200"/>
              <w:rPr>
                <w:rFonts w:ascii="宋体" w:hAnsi="宋体" w:eastAsia="宋体"/>
                <w:szCs w:val="21"/>
              </w:rPr>
            </w:pPr>
            <w:r>
              <w:rPr>
                <w:rFonts w:ascii="宋体" w:hAnsi="宋体" w:eastAsia="宋体"/>
                <w:szCs w:val="21"/>
              </w:rPr>
              <w:t>（</w:t>
            </w:r>
            <w:r>
              <w:rPr>
                <w:rFonts w:hint="eastAsia" w:ascii="宋体" w:hAnsi="宋体" w:eastAsia="宋体"/>
                <w:szCs w:val="21"/>
              </w:rPr>
              <w:t>8</w:t>
            </w:r>
            <w:r>
              <w:rPr>
                <w:rFonts w:ascii="宋体" w:hAnsi="宋体" w:eastAsia="宋体"/>
                <w:szCs w:val="21"/>
              </w:rPr>
              <w:t>）投标人符合第二章“投标人须知”第</w:t>
            </w:r>
            <w:r>
              <w:rPr>
                <w:rFonts w:hint="eastAsia" w:ascii="宋体" w:hAnsi="宋体" w:eastAsia="宋体"/>
                <w:szCs w:val="21"/>
              </w:rPr>
              <w:t>1.4.5</w:t>
            </w:r>
            <w:r>
              <w:rPr>
                <w:rFonts w:ascii="宋体" w:hAnsi="宋体" w:eastAsia="宋体"/>
                <w:szCs w:val="21"/>
              </w:rPr>
              <w:t>项规定。</w:t>
            </w:r>
          </w:p>
        </w:tc>
      </w:tr>
    </w:tbl>
    <w:p w14:paraId="08EDA62D"/>
    <w:p w14:paraId="72F2359B"/>
    <w:p w14:paraId="28C88CA6"/>
    <w:p w14:paraId="5615F2D5"/>
    <w:p w14:paraId="460E8CB8"/>
    <w:p w14:paraId="29E7192D"/>
    <w:p w14:paraId="57B96F26"/>
    <w:p w14:paraId="076172FF"/>
    <w:p w14:paraId="135D6840"/>
    <w:p w14:paraId="19A71C9E"/>
    <w:p w14:paraId="037A3ACE"/>
    <w:p w14:paraId="472946C5"/>
    <w:p w14:paraId="278E7519"/>
    <w:p w14:paraId="72FDF2E8"/>
    <w:p w14:paraId="2831BE15"/>
    <w:p w14:paraId="5E45EC9E"/>
    <w:p w14:paraId="11AF25D7"/>
    <w:p w14:paraId="783ACB4B"/>
    <w:p w14:paraId="49FBFB82"/>
    <w:p w14:paraId="108A8E2E"/>
    <w:p w14:paraId="6CEA5EB3"/>
    <w:p w14:paraId="04AB2513"/>
    <w:p w14:paraId="1A62070D"/>
    <w:p w14:paraId="5C0C2E26"/>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4"/>
        <w:gridCol w:w="7087"/>
      </w:tblGrid>
      <w:tr w14:paraId="76B5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8" w:type="dxa"/>
            <w:vAlign w:val="center"/>
          </w:tcPr>
          <w:p w14:paraId="5F7664E2">
            <w:pPr>
              <w:jc w:val="center"/>
              <w:rPr>
                <w:rFonts w:ascii="宋体" w:hAnsi="宋体" w:eastAsia="宋体" w:cs="Times New Roman"/>
                <w:kern w:val="0"/>
                <w:sz w:val="20"/>
              </w:rPr>
            </w:pPr>
            <w:bookmarkStart w:id="6" w:name="_GoBack"/>
            <w:r>
              <w:rPr>
                <w:rFonts w:hint="eastAsia" w:ascii="宋体" w:hAnsi="宋体" w:eastAsia="宋体" w:cs="Times New Roman"/>
                <w:b/>
                <w:kern w:val="0"/>
                <w:szCs w:val="21"/>
              </w:rPr>
              <w:t>条款号</w:t>
            </w:r>
          </w:p>
        </w:tc>
        <w:tc>
          <w:tcPr>
            <w:tcW w:w="1134" w:type="dxa"/>
            <w:vAlign w:val="center"/>
          </w:tcPr>
          <w:p w14:paraId="75C64C26">
            <w:pPr>
              <w:jc w:val="center"/>
              <w:rPr>
                <w:rFonts w:ascii="宋体" w:hAnsi="宋体" w:eastAsia="宋体" w:cs="Times New Roman"/>
                <w:kern w:val="0"/>
                <w:sz w:val="20"/>
              </w:rPr>
            </w:pPr>
            <w:r>
              <w:rPr>
                <w:rFonts w:hint="eastAsia" w:ascii="宋体" w:hAnsi="宋体" w:eastAsia="宋体" w:cs="Times New Roman"/>
                <w:b/>
                <w:kern w:val="0"/>
                <w:szCs w:val="21"/>
              </w:rPr>
              <w:t>条款内容</w:t>
            </w:r>
          </w:p>
        </w:tc>
        <w:tc>
          <w:tcPr>
            <w:tcW w:w="7087" w:type="dxa"/>
            <w:vAlign w:val="center"/>
          </w:tcPr>
          <w:p w14:paraId="609D642F">
            <w:pPr>
              <w:jc w:val="center"/>
              <w:rPr>
                <w:rFonts w:ascii="Times New Roman" w:hAnsi="Times New Roman" w:eastAsia="宋体" w:cs="Times New Roman"/>
                <w:kern w:val="0"/>
                <w:sz w:val="20"/>
              </w:rPr>
            </w:pPr>
            <w:r>
              <w:rPr>
                <w:rFonts w:hint="eastAsia" w:ascii="宋体" w:hAnsi="宋体" w:eastAsia="宋体" w:cs="Times New Roman"/>
                <w:b/>
                <w:kern w:val="0"/>
                <w:szCs w:val="21"/>
              </w:rPr>
              <w:t>编列内容</w:t>
            </w:r>
          </w:p>
        </w:tc>
      </w:tr>
      <w:tr w14:paraId="6725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0AF1D92">
            <w:pPr>
              <w:jc w:val="center"/>
              <w:rPr>
                <w:rFonts w:ascii="Times New Roman" w:hAnsi="Times New Roman" w:eastAsia="宋体" w:cs="Times New Roman"/>
                <w:kern w:val="0"/>
                <w:sz w:val="20"/>
              </w:rPr>
            </w:pPr>
            <w:r>
              <w:rPr>
                <w:rFonts w:hint="eastAsia" w:ascii="宋体" w:hAnsi="宋体" w:eastAsia="宋体" w:cs="Times New Roman"/>
                <w:kern w:val="0"/>
                <w:szCs w:val="21"/>
              </w:rPr>
              <w:t>2</w:t>
            </w:r>
            <w:r>
              <w:rPr>
                <w:rFonts w:ascii="宋体" w:hAnsi="宋体" w:eastAsia="宋体" w:cs="Times New Roman"/>
                <w:kern w:val="0"/>
                <w:szCs w:val="21"/>
              </w:rPr>
              <w:t>.2.1</w:t>
            </w:r>
          </w:p>
        </w:tc>
        <w:tc>
          <w:tcPr>
            <w:tcW w:w="1134" w:type="dxa"/>
            <w:vAlign w:val="center"/>
          </w:tcPr>
          <w:p w14:paraId="6B31A359">
            <w:pPr>
              <w:autoSpaceDE w:val="0"/>
              <w:autoSpaceDN w:val="0"/>
              <w:adjustRightInd w:val="0"/>
              <w:jc w:val="center"/>
              <w:rPr>
                <w:rFonts w:ascii="宋体" w:hAnsi="Times New Roman" w:eastAsia="宋体" w:cs="宋体"/>
                <w:kern w:val="0"/>
                <w:szCs w:val="21"/>
              </w:rPr>
            </w:pPr>
            <w:r>
              <w:rPr>
                <w:rFonts w:hint="eastAsia" w:ascii="宋体" w:hAnsi="Times New Roman" w:eastAsia="宋体" w:cs="宋体"/>
                <w:kern w:val="0"/>
                <w:szCs w:val="21"/>
              </w:rPr>
              <w:t>分值构成</w:t>
            </w:r>
          </w:p>
          <w:p w14:paraId="41CFF382">
            <w:pPr>
              <w:jc w:val="center"/>
              <w:rPr>
                <w:rFonts w:ascii="Times New Roman" w:hAnsi="Times New Roman" w:eastAsia="宋体" w:cs="Times New Roman"/>
                <w:kern w:val="0"/>
                <w:sz w:val="20"/>
              </w:rPr>
            </w:pPr>
            <w:r>
              <w:rPr>
                <w:rFonts w:hint="eastAsia" w:ascii="宋体" w:hAnsi="Times New Roman" w:eastAsia="宋体" w:cs="宋体"/>
                <w:kern w:val="0"/>
                <w:szCs w:val="21"/>
              </w:rPr>
              <w:t>（总分</w:t>
            </w:r>
            <w:r>
              <w:rPr>
                <w:rFonts w:ascii="宋体" w:hAnsi="Times New Roman" w:eastAsia="宋体" w:cs="宋体"/>
                <w:kern w:val="0"/>
                <w:szCs w:val="21"/>
              </w:rPr>
              <w:t>100</w:t>
            </w:r>
            <w:r>
              <w:rPr>
                <w:rFonts w:hint="eastAsia" w:ascii="宋体" w:hAnsi="Times New Roman" w:eastAsia="宋体" w:cs="宋体"/>
                <w:kern w:val="0"/>
                <w:szCs w:val="21"/>
              </w:rPr>
              <w:t>分）</w:t>
            </w:r>
          </w:p>
        </w:tc>
        <w:tc>
          <w:tcPr>
            <w:tcW w:w="7087" w:type="dxa"/>
            <w:vAlign w:val="center"/>
          </w:tcPr>
          <w:p w14:paraId="44BE3FE8">
            <w:pPr>
              <w:autoSpaceDE w:val="0"/>
              <w:autoSpaceDN w:val="0"/>
              <w:adjustRightInd w:val="0"/>
              <w:ind w:firstLine="422" w:firstLineChars="200"/>
              <w:jc w:val="left"/>
              <w:rPr>
                <w:rFonts w:ascii="宋体" w:hAnsi="Times New Roman" w:eastAsia="宋体" w:cs="宋体"/>
                <w:b/>
                <w:kern w:val="0"/>
                <w:szCs w:val="21"/>
              </w:rPr>
            </w:pPr>
            <w:r>
              <w:rPr>
                <w:rFonts w:hint="eastAsia" w:ascii="宋体" w:hAnsi="Times New Roman" w:eastAsia="宋体" w:cs="宋体"/>
                <w:b/>
                <w:kern w:val="0"/>
                <w:szCs w:val="21"/>
              </w:rPr>
              <w:t>第一个信封（商务及技术文件）评分分值构成：</w:t>
            </w:r>
          </w:p>
          <w:p w14:paraId="46B5282E">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技术建议书：</w:t>
            </w:r>
            <w:r>
              <w:rPr>
                <w:rFonts w:ascii="宋体" w:hAnsi="Times New Roman" w:eastAsia="宋体" w:cs="宋体"/>
                <w:kern w:val="0"/>
                <w:szCs w:val="21"/>
                <w:u w:val="single"/>
              </w:rPr>
              <w:t>30</w:t>
            </w:r>
            <w:r>
              <w:rPr>
                <w:rFonts w:hint="eastAsia" w:ascii="宋体" w:hAnsi="Times New Roman" w:eastAsia="宋体" w:cs="宋体"/>
                <w:kern w:val="0"/>
                <w:szCs w:val="21"/>
              </w:rPr>
              <w:t>分</w:t>
            </w:r>
          </w:p>
          <w:p w14:paraId="6D38B514">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主要人员：</w:t>
            </w:r>
            <w:r>
              <w:rPr>
                <w:rFonts w:ascii="宋体" w:hAnsi="Times New Roman" w:eastAsia="宋体" w:cs="宋体"/>
                <w:kern w:val="0"/>
                <w:szCs w:val="21"/>
                <w:u w:val="single"/>
              </w:rPr>
              <w:t>25</w:t>
            </w:r>
            <w:r>
              <w:rPr>
                <w:rFonts w:hint="eastAsia" w:ascii="宋体" w:hAnsi="Times New Roman" w:eastAsia="宋体" w:cs="宋体"/>
                <w:kern w:val="0"/>
                <w:szCs w:val="21"/>
              </w:rPr>
              <w:t>分</w:t>
            </w:r>
          </w:p>
          <w:p w14:paraId="547C70D3">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技术能力：</w:t>
            </w:r>
            <w:r>
              <w:rPr>
                <w:rFonts w:ascii="宋体" w:hAnsi="Times New Roman" w:eastAsia="宋体" w:cs="宋体"/>
                <w:kern w:val="0"/>
                <w:szCs w:val="21"/>
                <w:u w:val="single"/>
              </w:rPr>
              <w:t>0</w:t>
            </w:r>
            <w:r>
              <w:rPr>
                <w:rFonts w:hint="eastAsia" w:ascii="宋体" w:hAnsi="Times New Roman" w:eastAsia="宋体" w:cs="宋体"/>
                <w:kern w:val="0"/>
                <w:szCs w:val="21"/>
              </w:rPr>
              <w:t>分</w:t>
            </w:r>
          </w:p>
          <w:p w14:paraId="78060187">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业绩：</w:t>
            </w:r>
            <w:r>
              <w:rPr>
                <w:rFonts w:ascii="宋体" w:hAnsi="Times New Roman" w:eastAsia="宋体" w:cs="宋体"/>
                <w:kern w:val="0"/>
                <w:szCs w:val="21"/>
                <w:u w:val="single"/>
              </w:rPr>
              <w:t>25</w:t>
            </w:r>
            <w:r>
              <w:rPr>
                <w:rFonts w:hint="eastAsia" w:ascii="宋体" w:hAnsi="Times New Roman" w:eastAsia="宋体" w:cs="宋体"/>
                <w:kern w:val="0"/>
                <w:szCs w:val="21"/>
              </w:rPr>
              <w:t>分</w:t>
            </w:r>
          </w:p>
          <w:p w14:paraId="001FA543">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履约信誉：</w:t>
            </w:r>
            <w:r>
              <w:rPr>
                <w:rFonts w:ascii="宋体" w:hAnsi="Times New Roman" w:eastAsia="宋体" w:cs="宋体"/>
                <w:kern w:val="0"/>
                <w:sz w:val="20"/>
                <w:szCs w:val="21"/>
                <w:u w:val="single"/>
              </w:rPr>
              <w:t>10</w:t>
            </w:r>
            <w:r>
              <w:rPr>
                <w:rFonts w:hint="eastAsia" w:ascii="宋体" w:hAnsi="Times New Roman" w:eastAsia="宋体" w:cs="宋体"/>
                <w:kern w:val="0"/>
                <w:szCs w:val="21"/>
              </w:rPr>
              <w:t>分</w:t>
            </w:r>
          </w:p>
          <w:p w14:paraId="56ED949D">
            <w:pPr>
              <w:autoSpaceDE w:val="0"/>
              <w:autoSpaceDN w:val="0"/>
              <w:adjustRightInd w:val="0"/>
              <w:ind w:firstLine="422" w:firstLineChars="200"/>
              <w:jc w:val="left"/>
              <w:rPr>
                <w:rFonts w:ascii="宋体" w:hAnsi="Times New Roman" w:eastAsia="宋体" w:cs="宋体"/>
                <w:b/>
                <w:kern w:val="0"/>
                <w:szCs w:val="21"/>
              </w:rPr>
            </w:pPr>
            <w:r>
              <w:rPr>
                <w:rFonts w:hint="eastAsia" w:ascii="宋体" w:hAnsi="Times New Roman" w:eastAsia="宋体" w:cs="宋体"/>
                <w:b/>
                <w:kern w:val="0"/>
                <w:szCs w:val="21"/>
              </w:rPr>
              <w:t>第二个信封（报价文件）评分分值构成：</w:t>
            </w:r>
          </w:p>
          <w:p w14:paraId="6AA56C94">
            <w:pPr>
              <w:ind w:firstLine="420" w:firstLineChars="200"/>
              <w:jc w:val="left"/>
              <w:rPr>
                <w:rFonts w:ascii="Times New Roman" w:hAnsi="Times New Roman" w:eastAsia="宋体" w:cs="Times New Roman"/>
                <w:kern w:val="0"/>
                <w:sz w:val="20"/>
              </w:rPr>
            </w:pPr>
            <w:r>
              <w:rPr>
                <w:rFonts w:hint="eastAsia" w:ascii="宋体" w:hAnsi="Times New Roman" w:eastAsia="宋体" w:cs="宋体"/>
                <w:kern w:val="0"/>
                <w:szCs w:val="21"/>
              </w:rPr>
              <w:t>评标价：</w:t>
            </w:r>
            <w:r>
              <w:rPr>
                <w:rFonts w:ascii="宋体" w:hAnsi="Times New Roman" w:eastAsia="宋体" w:cs="宋体"/>
                <w:kern w:val="0"/>
                <w:sz w:val="20"/>
                <w:szCs w:val="21"/>
                <w:u w:val="single"/>
              </w:rPr>
              <w:t>10</w:t>
            </w:r>
            <w:r>
              <w:rPr>
                <w:rFonts w:hint="eastAsia" w:ascii="宋体" w:hAnsi="Times New Roman" w:eastAsia="宋体" w:cs="宋体"/>
                <w:kern w:val="0"/>
                <w:szCs w:val="21"/>
              </w:rPr>
              <w:t>分</w:t>
            </w:r>
          </w:p>
        </w:tc>
      </w:tr>
      <w:tr w14:paraId="2C0B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6E1A3DB">
            <w:pPr>
              <w:jc w:val="center"/>
              <w:rPr>
                <w:rFonts w:ascii="Times New Roman" w:hAnsi="Times New Roman"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.2.2</w:t>
            </w:r>
          </w:p>
        </w:tc>
        <w:tc>
          <w:tcPr>
            <w:tcW w:w="1134" w:type="dxa"/>
            <w:vAlign w:val="center"/>
          </w:tcPr>
          <w:p w14:paraId="474E5FDD">
            <w:pPr>
              <w:jc w:val="center"/>
              <w:rPr>
                <w:rFonts w:ascii="Times New Roman" w:hAnsi="Times New Roman" w:eastAsia="宋体" w:cs="Times New Roman"/>
                <w:kern w:val="0"/>
                <w:szCs w:val="21"/>
              </w:rPr>
            </w:pPr>
            <w:r>
              <w:rPr>
                <w:rFonts w:hint="eastAsia" w:ascii="宋体" w:hAnsi="Times New Roman" w:eastAsia="宋体" w:cs="宋体"/>
                <w:kern w:val="0"/>
                <w:szCs w:val="21"/>
              </w:rPr>
              <w:t>评标基准价计算方法</w:t>
            </w:r>
          </w:p>
        </w:tc>
        <w:tc>
          <w:tcPr>
            <w:tcW w:w="7087" w:type="dxa"/>
            <w:vAlign w:val="center"/>
          </w:tcPr>
          <w:p w14:paraId="3620B632">
            <w:pPr>
              <w:autoSpaceDE w:val="0"/>
              <w:autoSpaceDN w:val="0"/>
              <w:adjustRightInd w:val="0"/>
              <w:ind w:firstLine="422" w:firstLineChars="200"/>
              <w:jc w:val="left"/>
              <w:rPr>
                <w:rFonts w:ascii="宋体" w:hAnsi="Times New Roman" w:eastAsia="宋体" w:cs="宋体"/>
                <w:b/>
                <w:kern w:val="0"/>
                <w:szCs w:val="21"/>
              </w:rPr>
            </w:pPr>
            <w:r>
              <w:rPr>
                <w:rFonts w:hint="eastAsia" w:ascii="宋体" w:hAnsi="Times New Roman" w:eastAsia="宋体" w:cs="宋体"/>
                <w:b/>
                <w:kern w:val="0"/>
                <w:szCs w:val="21"/>
              </w:rPr>
              <w:t>评标基准价的计算：</w:t>
            </w:r>
          </w:p>
          <w:p w14:paraId="79AF53AE">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在开标现场，招标人将当场计算并宣布评标基准价。</w:t>
            </w:r>
          </w:p>
          <w:p w14:paraId="1338CC42">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w:t>
            </w:r>
            <w:r>
              <w:rPr>
                <w:rFonts w:ascii="宋体" w:hAnsi="Times New Roman" w:eastAsia="宋体" w:cs="宋体"/>
                <w:kern w:val="0"/>
                <w:szCs w:val="21"/>
              </w:rPr>
              <w:t>1</w:t>
            </w:r>
            <w:r>
              <w:rPr>
                <w:rFonts w:hint="eastAsia" w:ascii="宋体" w:hAnsi="Times New Roman" w:eastAsia="宋体" w:cs="宋体"/>
                <w:kern w:val="0"/>
                <w:szCs w:val="21"/>
              </w:rPr>
              <w:t>）评标价的确定：</w:t>
            </w:r>
          </w:p>
          <w:p w14:paraId="346D5AB2">
            <w:pPr>
              <w:autoSpaceDE w:val="0"/>
              <w:autoSpaceDN w:val="0"/>
              <w:adjustRightInd w:val="0"/>
              <w:ind w:firstLine="422" w:firstLineChars="200"/>
              <w:jc w:val="left"/>
              <w:rPr>
                <w:rFonts w:ascii="宋体" w:hAnsi="Times New Roman" w:eastAsia="宋体" w:cs="宋体"/>
                <w:b/>
                <w:bCs/>
                <w:kern w:val="0"/>
                <w:szCs w:val="21"/>
              </w:rPr>
            </w:pPr>
            <w:r>
              <w:rPr>
                <w:rFonts w:hint="eastAsia" w:ascii="宋体" w:hAnsi="Times New Roman" w:eastAsia="宋体" w:cs="宋体"/>
                <w:b/>
                <w:bCs/>
                <w:kern w:val="0"/>
                <w:szCs w:val="21"/>
              </w:rPr>
              <w:t>评标价＝投标函文字报价</w:t>
            </w:r>
          </w:p>
          <w:p w14:paraId="770B0B5C">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w:t>
            </w:r>
            <w:r>
              <w:rPr>
                <w:rFonts w:ascii="宋体" w:hAnsi="Times New Roman" w:eastAsia="宋体" w:cs="宋体"/>
                <w:kern w:val="0"/>
                <w:szCs w:val="21"/>
              </w:rPr>
              <w:t>2</w:t>
            </w:r>
            <w:r>
              <w:rPr>
                <w:rFonts w:hint="eastAsia" w:ascii="宋体" w:hAnsi="Times New Roman" w:eastAsia="宋体" w:cs="宋体"/>
                <w:kern w:val="0"/>
                <w:szCs w:val="21"/>
              </w:rPr>
              <w:t>）评标价的平均值或最高评标限价的计算：</w:t>
            </w:r>
          </w:p>
          <w:p w14:paraId="77D5A66C">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①除按第二章“投标人须知”第</w:t>
            </w:r>
            <w:r>
              <w:rPr>
                <w:rFonts w:ascii="宋体" w:hAnsi="Times New Roman" w:eastAsia="宋体" w:cs="宋体"/>
                <w:kern w:val="0"/>
                <w:szCs w:val="21"/>
              </w:rPr>
              <w:t>5.2.4</w:t>
            </w:r>
            <w:r>
              <w:rPr>
                <w:rFonts w:hint="eastAsia" w:ascii="宋体" w:hAnsi="Times New Roman" w:eastAsia="宋体" w:cs="宋体"/>
                <w:kern w:val="0"/>
                <w:szCs w:val="21"/>
              </w:rPr>
              <w:t>项规定开标现场被宣布为不进入评标基准价计算的投标报价之外，所有投标人的评标价去掉一个最高值和一个最低值后的算术平均值即为评标价平均值（如果参加评标价平均值计算的有效投标人少于</w:t>
            </w:r>
            <w:r>
              <w:rPr>
                <w:rFonts w:ascii="宋体" w:hAnsi="Times New Roman" w:eastAsia="宋体" w:cs="宋体"/>
                <w:kern w:val="0"/>
                <w:szCs w:val="21"/>
              </w:rPr>
              <w:t>5</w:t>
            </w:r>
            <w:r>
              <w:rPr>
                <w:rFonts w:hint="eastAsia" w:ascii="宋体" w:hAnsi="Times New Roman" w:eastAsia="宋体" w:cs="宋体"/>
                <w:kern w:val="0"/>
                <w:szCs w:val="21"/>
              </w:rPr>
              <w:t>家时，则计算评标价平均值时不去掉最高值和最低值）。</w:t>
            </w:r>
          </w:p>
          <w:p w14:paraId="4201EA6B">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②参与评标价平均值计算的评标价的范围：最高投标限价的</w:t>
            </w:r>
            <w:r>
              <w:rPr>
                <w:rFonts w:ascii="宋体" w:hAnsi="Times New Roman" w:eastAsia="宋体" w:cs="宋体"/>
                <w:kern w:val="0"/>
                <w:szCs w:val="21"/>
              </w:rPr>
              <w:t>85</w:t>
            </w:r>
            <w:r>
              <w:rPr>
                <w:rFonts w:hint="eastAsia" w:ascii="宋体" w:hAnsi="Times New Roman" w:eastAsia="宋体" w:cs="宋体"/>
                <w:kern w:val="0"/>
                <w:szCs w:val="21"/>
              </w:rPr>
              <w:t>％≤参与评标价平均值计算的评标价≤最高投标限价的</w:t>
            </w:r>
            <w:r>
              <w:rPr>
                <w:rFonts w:ascii="宋体" w:hAnsi="Times New Roman" w:eastAsia="宋体" w:cs="宋体"/>
                <w:kern w:val="0"/>
                <w:szCs w:val="21"/>
              </w:rPr>
              <w:t>100</w:t>
            </w:r>
            <w:r>
              <w:rPr>
                <w:rFonts w:hint="eastAsia" w:ascii="宋体" w:hAnsi="Times New Roman" w:eastAsia="宋体" w:cs="宋体"/>
                <w:kern w:val="0"/>
                <w:szCs w:val="21"/>
              </w:rPr>
              <w:t>％；</w:t>
            </w:r>
          </w:p>
          <w:p w14:paraId="0B4587C8">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③小于最高投标限价的</w:t>
            </w:r>
            <w:r>
              <w:rPr>
                <w:rFonts w:ascii="宋体" w:hAnsi="Times New Roman" w:eastAsia="宋体" w:cs="宋体"/>
                <w:kern w:val="0"/>
                <w:szCs w:val="21"/>
              </w:rPr>
              <w:t>85</w:t>
            </w:r>
            <w:r>
              <w:rPr>
                <w:rFonts w:hint="eastAsia" w:ascii="宋体" w:hAnsi="Times New Roman" w:eastAsia="宋体" w:cs="宋体"/>
                <w:kern w:val="0"/>
                <w:szCs w:val="21"/>
              </w:rPr>
              <w:t>％的评标价不参与评标价平均值的计算，但仍参与评标价的得分计算。若投标人的评标价均小于最高投标限价的</w:t>
            </w:r>
            <w:r>
              <w:rPr>
                <w:rFonts w:ascii="宋体" w:hAnsi="Times New Roman" w:eastAsia="宋体" w:cs="宋体"/>
                <w:kern w:val="0"/>
                <w:szCs w:val="21"/>
              </w:rPr>
              <w:t>85</w:t>
            </w:r>
            <w:r>
              <w:rPr>
                <w:rFonts w:hint="eastAsia" w:ascii="宋体" w:hAnsi="Times New Roman" w:eastAsia="宋体" w:cs="宋体"/>
                <w:kern w:val="0"/>
                <w:szCs w:val="21"/>
              </w:rPr>
              <w:t>％时，则以最高投标限价的</w:t>
            </w:r>
            <w:r>
              <w:rPr>
                <w:rFonts w:ascii="宋体" w:hAnsi="Times New Roman" w:eastAsia="宋体" w:cs="宋体"/>
                <w:kern w:val="0"/>
                <w:szCs w:val="21"/>
              </w:rPr>
              <w:t>85</w:t>
            </w:r>
            <w:r>
              <w:rPr>
                <w:rFonts w:hint="eastAsia" w:ascii="宋体" w:hAnsi="Times New Roman" w:eastAsia="宋体" w:cs="宋体"/>
                <w:kern w:val="0"/>
                <w:szCs w:val="21"/>
              </w:rPr>
              <w:t>％为评标价平均值。</w:t>
            </w:r>
          </w:p>
          <w:p w14:paraId="423C2BA7">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（3）评标基准价的确定：</w:t>
            </w:r>
          </w:p>
          <w:p w14:paraId="7400873F">
            <w:pPr>
              <w:autoSpaceDE w:val="0"/>
              <w:autoSpaceDN w:val="0"/>
              <w:adjustRightInd w:val="0"/>
              <w:ind w:firstLine="422" w:firstLineChars="200"/>
              <w:jc w:val="left"/>
              <w:rPr>
                <w:rFonts w:ascii="宋体" w:hAnsi="Times New Roman" w:eastAsia="宋体" w:cs="宋体"/>
                <w:b/>
                <w:bCs/>
                <w:kern w:val="0"/>
                <w:szCs w:val="21"/>
              </w:rPr>
            </w:pPr>
            <w:r>
              <w:rPr>
                <w:rFonts w:hint="eastAsia" w:ascii="宋体" w:hAnsi="Times New Roman" w:eastAsia="宋体" w:cs="宋体"/>
                <w:b/>
                <w:bCs/>
                <w:kern w:val="0"/>
                <w:szCs w:val="21"/>
              </w:rPr>
              <w:t>将评标价平均值直接作为评标基准价。</w:t>
            </w:r>
          </w:p>
          <w:p w14:paraId="5F3ACA19">
            <w:pPr>
              <w:autoSpaceDE w:val="0"/>
              <w:autoSpaceDN w:val="0"/>
              <w:adjustRightInd w:val="0"/>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3C5F3B79">
            <w:pPr>
              <w:ind w:firstLine="420" w:firstLineChars="200"/>
              <w:jc w:val="left"/>
              <w:rPr>
                <w:rFonts w:ascii="宋体" w:hAnsi="Times New Roman" w:eastAsia="宋体" w:cs="宋体"/>
                <w:kern w:val="0"/>
                <w:szCs w:val="21"/>
                <w:highlight w:val="yellow"/>
              </w:rPr>
            </w:pPr>
            <w:r>
              <w:rPr>
                <w:rFonts w:hint="eastAsia" w:ascii="宋体" w:hAnsi="Times New Roman" w:eastAsia="宋体" w:cs="宋体"/>
                <w:kern w:val="0"/>
                <w:szCs w:val="21"/>
              </w:rPr>
              <w:t>注：评标价平均值、最高评标限价、评标基准价均四舍五入至个位整数。</w:t>
            </w:r>
          </w:p>
        </w:tc>
      </w:tr>
      <w:tr w14:paraId="48FA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613CADA">
            <w:pPr>
              <w:jc w:val="center"/>
              <w:rPr>
                <w:rFonts w:ascii="Times New Roman" w:hAnsi="Times New Roman"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.2.3</w:t>
            </w:r>
          </w:p>
        </w:tc>
        <w:tc>
          <w:tcPr>
            <w:tcW w:w="1134" w:type="dxa"/>
            <w:vAlign w:val="center"/>
          </w:tcPr>
          <w:p w14:paraId="1E091762">
            <w:pPr>
              <w:jc w:val="center"/>
              <w:rPr>
                <w:rFonts w:ascii="Times New Roman" w:hAnsi="Times New Roman" w:eastAsia="宋体" w:cs="Times New Roman"/>
                <w:kern w:val="0"/>
                <w:szCs w:val="21"/>
              </w:rPr>
            </w:pPr>
            <w:r>
              <w:rPr>
                <w:rFonts w:hint="eastAsia" w:ascii="宋体" w:hAnsi="Times New Roman" w:eastAsia="宋体" w:cs="宋体"/>
                <w:kern w:val="0"/>
                <w:szCs w:val="21"/>
              </w:rPr>
              <w:t>评标价的偏差率计算公式</w:t>
            </w:r>
          </w:p>
        </w:tc>
        <w:tc>
          <w:tcPr>
            <w:tcW w:w="7087" w:type="dxa"/>
            <w:vAlign w:val="center"/>
          </w:tcPr>
          <w:p w14:paraId="72F2A668">
            <w:pPr>
              <w:rPr>
                <w:rFonts w:ascii="Times New Roman" w:hAnsi="Times New Roman" w:eastAsia="宋体" w:cs="Times New Roman"/>
                <w:kern w:val="0"/>
                <w:szCs w:val="21"/>
              </w:rPr>
            </w:pPr>
            <w:r>
              <w:rPr>
                <w:rFonts w:hint="eastAsia" w:ascii="宋体" w:hAnsi="Times New Roman" w:eastAsia="宋体" w:cs="宋体"/>
                <w:kern w:val="0"/>
                <w:szCs w:val="21"/>
              </w:rPr>
              <w:t>偏差率</w:t>
            </w:r>
            <w:r>
              <w:rPr>
                <w:rFonts w:ascii="宋体" w:hAnsi="Times New Roman" w:eastAsia="宋体" w:cs="宋体"/>
                <w:kern w:val="0"/>
                <w:szCs w:val="21"/>
              </w:rPr>
              <w:t>=100</w:t>
            </w:r>
            <w:r>
              <w:rPr>
                <w:rFonts w:hint="eastAsia" w:ascii="宋体" w:hAnsi="Times New Roman" w:eastAsia="宋体" w:cs="宋体"/>
                <w:kern w:val="0"/>
                <w:szCs w:val="21"/>
              </w:rPr>
              <w:t>％×（投标人评标价－评标基准价）</w:t>
            </w:r>
            <w:r>
              <w:rPr>
                <w:rFonts w:ascii="宋体" w:hAnsi="Times New Roman" w:eastAsia="宋体" w:cs="宋体"/>
                <w:kern w:val="0"/>
                <w:szCs w:val="21"/>
              </w:rPr>
              <w:t>/</w:t>
            </w:r>
            <w:r>
              <w:rPr>
                <w:rFonts w:hint="eastAsia" w:ascii="宋体" w:hAnsi="Times New Roman" w:eastAsia="宋体" w:cs="宋体"/>
                <w:kern w:val="0"/>
                <w:szCs w:val="21"/>
              </w:rPr>
              <w:t>评标基准价</w:t>
            </w:r>
          </w:p>
        </w:tc>
      </w:tr>
      <w:bookmarkEnd w:id="6"/>
    </w:tbl>
    <w:p w14:paraId="47AE1757"/>
    <w:p w14:paraId="77F5703B">
      <w:pPr>
        <w:sectPr>
          <w:pgSz w:w="11906" w:h="16838"/>
          <w:pgMar w:top="1440" w:right="1080" w:bottom="1440" w:left="1080" w:header="851" w:footer="992" w:gutter="0"/>
          <w:cols w:space="425" w:num="1"/>
          <w:docGrid w:type="lines" w:linePitch="312" w:charSpace="0"/>
        </w:sectPr>
      </w:pPr>
    </w:p>
    <w:tbl>
      <w:tblPr>
        <w:tblStyle w:val="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18"/>
        <w:gridCol w:w="608"/>
        <w:gridCol w:w="771"/>
        <w:gridCol w:w="1144"/>
        <w:gridCol w:w="60"/>
        <w:gridCol w:w="643"/>
        <w:gridCol w:w="1028"/>
        <w:gridCol w:w="3397"/>
      </w:tblGrid>
      <w:tr w14:paraId="3323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832" w:type="dxa"/>
            <w:gridSpan w:val="7"/>
            <w:vAlign w:val="center"/>
          </w:tcPr>
          <w:p w14:paraId="00BAACD9">
            <w:pPr>
              <w:spacing w:line="276" w:lineRule="auto"/>
              <w:ind w:left="-59" w:leftChars="-28" w:right="-71" w:rightChars="-34"/>
              <w:jc w:val="center"/>
              <w:rPr>
                <w:rFonts w:ascii="宋体" w:hAnsi="宋体" w:eastAsia="宋体" w:cs="宋体"/>
                <w:b/>
                <w:szCs w:val="21"/>
              </w:rPr>
            </w:pPr>
            <w:r>
              <w:rPr>
                <w:rFonts w:hint="eastAsia" w:ascii="宋体" w:hAnsi="宋体" w:eastAsia="宋体" w:cs="宋体"/>
                <w:b/>
                <w:szCs w:val="21"/>
              </w:rPr>
              <w:t>评分因素与权重分值</w:t>
            </w:r>
          </w:p>
        </w:tc>
        <w:tc>
          <w:tcPr>
            <w:tcW w:w="4425" w:type="dxa"/>
            <w:gridSpan w:val="2"/>
            <w:vMerge w:val="restart"/>
            <w:vAlign w:val="center"/>
          </w:tcPr>
          <w:p w14:paraId="45DFE296">
            <w:pPr>
              <w:spacing w:line="276" w:lineRule="auto"/>
              <w:ind w:left="-59" w:leftChars="-28" w:right="-71" w:rightChars="-34"/>
              <w:jc w:val="center"/>
              <w:rPr>
                <w:rFonts w:ascii="宋体" w:hAnsi="宋体" w:eastAsia="宋体" w:cs="宋体"/>
                <w:b/>
                <w:szCs w:val="21"/>
              </w:rPr>
            </w:pPr>
            <w:r>
              <w:rPr>
                <w:rFonts w:hint="eastAsia" w:ascii="宋体" w:hAnsi="宋体" w:eastAsia="宋体" w:cs="宋体"/>
                <w:b/>
                <w:szCs w:val="21"/>
              </w:rPr>
              <w:t>评分标准</w:t>
            </w:r>
          </w:p>
        </w:tc>
      </w:tr>
      <w:tr w14:paraId="1A81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988" w:type="dxa"/>
            <w:vAlign w:val="center"/>
          </w:tcPr>
          <w:p w14:paraId="23B0E9B5">
            <w:pPr>
              <w:spacing w:line="276" w:lineRule="auto"/>
              <w:ind w:left="-59" w:leftChars="-28" w:right="-83"/>
              <w:jc w:val="center"/>
              <w:rPr>
                <w:rFonts w:ascii="宋体" w:hAnsi="宋体" w:eastAsia="宋体" w:cs="宋体"/>
                <w:b/>
                <w:szCs w:val="21"/>
              </w:rPr>
            </w:pPr>
            <w:r>
              <w:rPr>
                <w:rFonts w:hint="eastAsia" w:ascii="宋体" w:hAnsi="宋体" w:eastAsia="宋体" w:cs="宋体"/>
                <w:b/>
                <w:szCs w:val="21"/>
              </w:rPr>
              <w:t>条款号</w:t>
            </w:r>
          </w:p>
        </w:tc>
        <w:tc>
          <w:tcPr>
            <w:tcW w:w="1226" w:type="dxa"/>
            <w:gridSpan w:val="2"/>
            <w:vAlign w:val="center"/>
          </w:tcPr>
          <w:p w14:paraId="2F348154">
            <w:pPr>
              <w:spacing w:line="276" w:lineRule="auto"/>
              <w:ind w:left="-59" w:leftChars="-28" w:right="-63" w:rightChars="-30"/>
              <w:jc w:val="center"/>
              <w:rPr>
                <w:rFonts w:ascii="宋体" w:hAnsi="宋体" w:eastAsia="宋体" w:cs="宋体"/>
                <w:b/>
                <w:szCs w:val="21"/>
              </w:rPr>
            </w:pPr>
            <w:r>
              <w:rPr>
                <w:rFonts w:hint="eastAsia" w:ascii="宋体" w:hAnsi="宋体" w:eastAsia="宋体" w:cs="宋体"/>
                <w:b/>
                <w:szCs w:val="21"/>
              </w:rPr>
              <w:t>评分因素</w:t>
            </w:r>
          </w:p>
        </w:tc>
        <w:tc>
          <w:tcPr>
            <w:tcW w:w="771" w:type="dxa"/>
            <w:vAlign w:val="center"/>
          </w:tcPr>
          <w:p w14:paraId="30CDEB93">
            <w:pPr>
              <w:spacing w:line="276" w:lineRule="auto"/>
              <w:ind w:left="-59" w:leftChars="-28" w:right="-71" w:rightChars="-34"/>
              <w:jc w:val="center"/>
              <w:rPr>
                <w:rFonts w:ascii="宋体" w:hAnsi="宋体" w:eastAsia="宋体" w:cs="宋体"/>
                <w:b/>
                <w:szCs w:val="21"/>
              </w:rPr>
            </w:pPr>
            <w:r>
              <w:rPr>
                <w:rFonts w:hint="eastAsia" w:ascii="宋体" w:hAnsi="宋体" w:eastAsia="宋体" w:cs="宋体"/>
                <w:b/>
                <w:szCs w:val="21"/>
              </w:rPr>
              <w:t>评分因素权重分值</w:t>
            </w:r>
          </w:p>
        </w:tc>
        <w:tc>
          <w:tcPr>
            <w:tcW w:w="1144" w:type="dxa"/>
            <w:vAlign w:val="center"/>
          </w:tcPr>
          <w:p w14:paraId="133C81DF">
            <w:pPr>
              <w:spacing w:line="276" w:lineRule="auto"/>
              <w:ind w:left="-59" w:leftChars="-28" w:right="-71" w:rightChars="-34"/>
              <w:jc w:val="center"/>
              <w:rPr>
                <w:rFonts w:ascii="宋体" w:hAnsi="宋体" w:eastAsia="宋体" w:cs="宋体"/>
                <w:b/>
                <w:szCs w:val="21"/>
              </w:rPr>
            </w:pPr>
            <w:r>
              <w:rPr>
                <w:rFonts w:hint="eastAsia" w:ascii="宋体" w:hAnsi="宋体" w:eastAsia="宋体" w:cs="宋体"/>
                <w:b/>
                <w:szCs w:val="21"/>
              </w:rPr>
              <w:t>各评分因素细分项</w:t>
            </w:r>
          </w:p>
        </w:tc>
        <w:tc>
          <w:tcPr>
            <w:tcW w:w="703" w:type="dxa"/>
            <w:gridSpan w:val="2"/>
            <w:vAlign w:val="center"/>
          </w:tcPr>
          <w:p w14:paraId="1766404B">
            <w:pPr>
              <w:spacing w:line="276" w:lineRule="auto"/>
              <w:ind w:left="-59" w:leftChars="-28" w:right="-71" w:rightChars="-34"/>
              <w:jc w:val="center"/>
              <w:rPr>
                <w:rFonts w:ascii="宋体" w:hAnsi="宋体" w:eastAsia="宋体" w:cs="宋体"/>
                <w:b/>
                <w:szCs w:val="21"/>
              </w:rPr>
            </w:pPr>
            <w:r>
              <w:rPr>
                <w:rFonts w:hint="eastAsia" w:ascii="宋体" w:hAnsi="宋体" w:eastAsia="宋体" w:cs="宋体"/>
                <w:b/>
                <w:szCs w:val="21"/>
              </w:rPr>
              <w:t>分值</w:t>
            </w:r>
          </w:p>
        </w:tc>
        <w:tc>
          <w:tcPr>
            <w:tcW w:w="4425" w:type="dxa"/>
            <w:gridSpan w:val="2"/>
            <w:vMerge w:val="continue"/>
            <w:vAlign w:val="center"/>
          </w:tcPr>
          <w:p w14:paraId="5268DE32">
            <w:pPr>
              <w:spacing w:line="276" w:lineRule="auto"/>
              <w:ind w:left="-59" w:leftChars="-28" w:right="-71" w:rightChars="-34"/>
              <w:jc w:val="center"/>
              <w:rPr>
                <w:rFonts w:ascii="宋体" w:hAnsi="宋体" w:eastAsia="宋体" w:cs="宋体"/>
                <w:b/>
                <w:szCs w:val="21"/>
              </w:rPr>
            </w:pPr>
          </w:p>
        </w:tc>
      </w:tr>
      <w:tr w14:paraId="422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988" w:type="dxa"/>
            <w:vMerge w:val="restart"/>
            <w:vAlign w:val="center"/>
          </w:tcPr>
          <w:p w14:paraId="24ABED96">
            <w:pPr>
              <w:spacing w:line="276" w:lineRule="auto"/>
              <w:ind w:left="-59" w:leftChars="-28" w:right="-83"/>
              <w:jc w:val="center"/>
              <w:rPr>
                <w:rFonts w:ascii="宋体" w:hAnsi="宋体" w:eastAsia="宋体" w:cs="宋体"/>
                <w:szCs w:val="21"/>
              </w:rPr>
            </w:pPr>
            <w:r>
              <w:rPr>
                <w:rFonts w:hint="eastAsia" w:ascii="宋体" w:hAnsi="宋体" w:eastAsia="宋体" w:cs="宋体"/>
                <w:szCs w:val="21"/>
              </w:rPr>
              <w:t>2.2.4</w:t>
            </w:r>
          </w:p>
          <w:p w14:paraId="2D2E0E2A">
            <w:pPr>
              <w:spacing w:line="276" w:lineRule="auto"/>
              <w:ind w:left="-59" w:leftChars="-28" w:right="-83"/>
              <w:jc w:val="center"/>
              <w:rPr>
                <w:rFonts w:ascii="宋体" w:hAnsi="宋体" w:eastAsia="宋体" w:cs="宋体"/>
                <w:szCs w:val="21"/>
              </w:rPr>
            </w:pPr>
            <w:r>
              <w:rPr>
                <w:rFonts w:hint="eastAsia" w:ascii="宋体" w:hAnsi="宋体" w:eastAsia="宋体" w:cs="宋体"/>
                <w:szCs w:val="21"/>
              </w:rPr>
              <w:t>（1）</w:t>
            </w:r>
          </w:p>
        </w:tc>
        <w:tc>
          <w:tcPr>
            <w:tcW w:w="1226" w:type="dxa"/>
            <w:gridSpan w:val="2"/>
            <w:vMerge w:val="restart"/>
            <w:vAlign w:val="center"/>
          </w:tcPr>
          <w:p w14:paraId="545BEC69">
            <w:pPr>
              <w:spacing w:line="276" w:lineRule="auto"/>
              <w:ind w:left="-59" w:leftChars="-28" w:right="-63" w:rightChars="-30"/>
              <w:jc w:val="center"/>
              <w:rPr>
                <w:rFonts w:ascii="宋体" w:hAnsi="宋体" w:eastAsia="宋体" w:cs="宋体"/>
                <w:szCs w:val="21"/>
              </w:rPr>
            </w:pPr>
            <w:r>
              <w:rPr>
                <w:rFonts w:hint="eastAsia" w:ascii="宋体" w:hAnsi="宋体" w:eastAsia="宋体" w:cs="宋体"/>
                <w:szCs w:val="21"/>
              </w:rPr>
              <w:t>技术建议书</w:t>
            </w:r>
          </w:p>
          <w:p w14:paraId="46501AF6">
            <w:pPr>
              <w:spacing w:line="276" w:lineRule="auto"/>
              <w:ind w:left="-59" w:leftChars="-28" w:right="-63" w:rightChars="-30"/>
              <w:jc w:val="center"/>
              <w:rPr>
                <w:rFonts w:ascii="宋体" w:hAnsi="宋体" w:eastAsia="宋体" w:cs="宋体"/>
                <w:szCs w:val="21"/>
              </w:rPr>
            </w:pPr>
          </w:p>
        </w:tc>
        <w:tc>
          <w:tcPr>
            <w:tcW w:w="771" w:type="dxa"/>
            <w:vMerge w:val="restart"/>
            <w:vAlign w:val="center"/>
          </w:tcPr>
          <w:p w14:paraId="08474863">
            <w:pPr>
              <w:spacing w:line="276" w:lineRule="auto"/>
              <w:ind w:right="-71" w:rightChars="-34"/>
              <w:jc w:val="center"/>
              <w:rPr>
                <w:rFonts w:ascii="宋体" w:hAnsi="宋体" w:eastAsia="宋体" w:cs="宋体"/>
                <w:szCs w:val="21"/>
              </w:rPr>
            </w:pPr>
            <w:r>
              <w:rPr>
                <w:rFonts w:hint="eastAsia" w:ascii="宋体" w:hAnsi="宋体" w:eastAsia="宋体" w:cs="宋体"/>
                <w:szCs w:val="21"/>
                <w:u w:val="single"/>
              </w:rPr>
              <w:t>30</w:t>
            </w:r>
            <w:r>
              <w:rPr>
                <w:rFonts w:hint="eastAsia" w:ascii="宋体" w:hAnsi="宋体" w:eastAsia="宋体" w:cs="宋体"/>
                <w:szCs w:val="21"/>
              </w:rPr>
              <w:t>分</w:t>
            </w:r>
          </w:p>
        </w:tc>
        <w:tc>
          <w:tcPr>
            <w:tcW w:w="1144" w:type="dxa"/>
            <w:vMerge w:val="restart"/>
            <w:vAlign w:val="center"/>
          </w:tcPr>
          <w:p w14:paraId="6BF3332C">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监理大纲（或监理方案）和措施</w:t>
            </w:r>
          </w:p>
        </w:tc>
        <w:tc>
          <w:tcPr>
            <w:tcW w:w="703" w:type="dxa"/>
            <w:gridSpan w:val="2"/>
            <w:vMerge w:val="restart"/>
            <w:vAlign w:val="center"/>
          </w:tcPr>
          <w:p w14:paraId="755E67D4">
            <w:pPr>
              <w:spacing w:line="276" w:lineRule="auto"/>
              <w:ind w:right="-71" w:rightChars="-34"/>
              <w:jc w:val="center"/>
              <w:rPr>
                <w:rFonts w:ascii="宋体" w:hAnsi="宋体" w:eastAsia="宋体" w:cs="宋体"/>
                <w:szCs w:val="21"/>
              </w:rPr>
            </w:pPr>
            <w:r>
              <w:rPr>
                <w:rFonts w:hint="eastAsia" w:ascii="宋体" w:hAnsi="宋体" w:eastAsia="宋体" w:cs="宋体"/>
                <w:szCs w:val="21"/>
                <w:u w:val="single"/>
              </w:rPr>
              <w:t>15</w:t>
            </w:r>
            <w:r>
              <w:rPr>
                <w:rFonts w:hint="eastAsia" w:ascii="宋体" w:hAnsi="宋体" w:eastAsia="宋体" w:cs="宋体"/>
                <w:szCs w:val="21"/>
              </w:rPr>
              <w:t>分</w:t>
            </w:r>
          </w:p>
        </w:tc>
        <w:tc>
          <w:tcPr>
            <w:tcW w:w="1028" w:type="dxa"/>
            <w:vAlign w:val="center"/>
          </w:tcPr>
          <w:p w14:paraId="26DBC01A">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质量和安全监理</w:t>
            </w:r>
          </w:p>
          <w:p w14:paraId="222C18F7">
            <w:pPr>
              <w:spacing w:line="276" w:lineRule="auto"/>
              <w:ind w:right="-71" w:rightChars="-34"/>
              <w:jc w:val="center"/>
              <w:rPr>
                <w:rFonts w:ascii="宋体" w:hAnsi="宋体" w:eastAsia="宋体" w:cs="宋体"/>
                <w:szCs w:val="21"/>
              </w:rPr>
            </w:pPr>
            <w:r>
              <w:rPr>
                <w:rFonts w:hint="eastAsia" w:ascii="宋体" w:hAnsi="宋体" w:eastAsia="宋体" w:cs="宋体"/>
                <w:szCs w:val="21"/>
              </w:rPr>
              <w:t>（5分）</w:t>
            </w:r>
          </w:p>
        </w:tc>
        <w:tc>
          <w:tcPr>
            <w:tcW w:w="3397" w:type="dxa"/>
            <w:vAlign w:val="center"/>
          </w:tcPr>
          <w:p w14:paraId="45FCC706">
            <w:pPr>
              <w:spacing w:line="320" w:lineRule="exact"/>
              <w:ind w:left="-59" w:leftChars="-28" w:right="-71" w:rightChars="-34"/>
              <w:rPr>
                <w:rFonts w:ascii="宋体" w:hAnsi="宋体" w:eastAsia="宋体" w:cs="宋体"/>
                <w:szCs w:val="21"/>
              </w:rPr>
            </w:pPr>
            <w:r>
              <w:rPr>
                <w:rFonts w:hint="eastAsia" w:ascii="宋体" w:hAnsi="宋体" w:eastAsia="宋体" w:cs="宋体"/>
                <w:szCs w:val="21"/>
              </w:rPr>
              <w:t>质量和安全监理目标明确，且完全响应广东省施工标准化和安全标准化指南的得</w:t>
            </w:r>
            <w:r>
              <w:rPr>
                <w:rFonts w:hint="eastAsia" w:ascii="宋体" w:hAnsi="宋体" w:eastAsia="宋体" w:cs="宋体"/>
                <w:szCs w:val="21"/>
                <w:u w:val="single"/>
              </w:rPr>
              <w:t>3.0</w:t>
            </w:r>
            <w:r>
              <w:rPr>
                <w:rFonts w:hint="eastAsia" w:ascii="宋体" w:hAnsi="宋体" w:eastAsia="宋体" w:cs="宋体"/>
                <w:szCs w:val="21"/>
              </w:rPr>
              <w:t>分；监理措施具体且有效，对质量和安全问题所采取的对策及预控方法合理可行的，响应广东省施工标准化和安全标准化指南程度，酌情加</w:t>
            </w:r>
            <w:r>
              <w:rPr>
                <w:rFonts w:hint="eastAsia" w:ascii="宋体" w:hAnsi="宋体" w:eastAsia="宋体" w:cs="宋体"/>
                <w:szCs w:val="21"/>
                <w:u w:val="single"/>
              </w:rPr>
              <w:t>0-2.0</w:t>
            </w:r>
            <w:r>
              <w:rPr>
                <w:rFonts w:hint="eastAsia" w:ascii="宋体" w:hAnsi="宋体" w:eastAsia="宋体" w:cs="宋体"/>
                <w:szCs w:val="21"/>
              </w:rPr>
              <w:t>分。</w:t>
            </w:r>
          </w:p>
        </w:tc>
      </w:tr>
      <w:tr w14:paraId="7316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88" w:type="dxa"/>
            <w:vMerge w:val="continue"/>
            <w:vAlign w:val="center"/>
          </w:tcPr>
          <w:p w14:paraId="60749E94">
            <w:pPr>
              <w:spacing w:line="276" w:lineRule="auto"/>
              <w:ind w:left="-59" w:leftChars="-28" w:right="-83"/>
              <w:jc w:val="center"/>
              <w:rPr>
                <w:rFonts w:ascii="宋体" w:hAnsi="宋体" w:eastAsia="宋体" w:cs="宋体"/>
                <w:szCs w:val="21"/>
              </w:rPr>
            </w:pPr>
          </w:p>
        </w:tc>
        <w:tc>
          <w:tcPr>
            <w:tcW w:w="1226" w:type="dxa"/>
            <w:gridSpan w:val="2"/>
            <w:vMerge w:val="continue"/>
            <w:vAlign w:val="center"/>
          </w:tcPr>
          <w:p w14:paraId="3CB351A0">
            <w:pPr>
              <w:spacing w:line="276" w:lineRule="auto"/>
              <w:ind w:left="-59" w:leftChars="-28" w:right="-63" w:rightChars="-30"/>
              <w:jc w:val="center"/>
              <w:rPr>
                <w:rFonts w:ascii="宋体" w:hAnsi="宋体" w:eastAsia="宋体" w:cs="宋体"/>
                <w:szCs w:val="21"/>
              </w:rPr>
            </w:pPr>
          </w:p>
        </w:tc>
        <w:tc>
          <w:tcPr>
            <w:tcW w:w="771" w:type="dxa"/>
            <w:vMerge w:val="continue"/>
            <w:vAlign w:val="center"/>
          </w:tcPr>
          <w:p w14:paraId="5FC36BB4">
            <w:pPr>
              <w:spacing w:line="276" w:lineRule="auto"/>
              <w:ind w:left="-59" w:leftChars="-28" w:right="-71" w:rightChars="-34"/>
              <w:jc w:val="center"/>
              <w:rPr>
                <w:rFonts w:ascii="宋体" w:hAnsi="宋体" w:eastAsia="宋体" w:cs="宋体"/>
                <w:szCs w:val="21"/>
              </w:rPr>
            </w:pPr>
          </w:p>
        </w:tc>
        <w:tc>
          <w:tcPr>
            <w:tcW w:w="1144" w:type="dxa"/>
            <w:vMerge w:val="continue"/>
            <w:vAlign w:val="center"/>
          </w:tcPr>
          <w:p w14:paraId="660FA0E2">
            <w:pPr>
              <w:spacing w:line="276" w:lineRule="auto"/>
              <w:ind w:left="-59" w:leftChars="-28" w:right="-71" w:rightChars="-34"/>
              <w:rPr>
                <w:rFonts w:ascii="宋体" w:hAnsi="宋体" w:eastAsia="宋体" w:cs="宋体"/>
                <w:szCs w:val="21"/>
              </w:rPr>
            </w:pPr>
          </w:p>
        </w:tc>
        <w:tc>
          <w:tcPr>
            <w:tcW w:w="703" w:type="dxa"/>
            <w:gridSpan w:val="2"/>
            <w:vMerge w:val="continue"/>
            <w:vAlign w:val="center"/>
          </w:tcPr>
          <w:p w14:paraId="2642051C">
            <w:pPr>
              <w:spacing w:line="276" w:lineRule="auto"/>
              <w:ind w:left="-59" w:leftChars="-28" w:right="-71" w:rightChars="-34"/>
              <w:jc w:val="center"/>
              <w:rPr>
                <w:rFonts w:ascii="宋体" w:hAnsi="宋体" w:eastAsia="宋体" w:cs="宋体"/>
                <w:szCs w:val="21"/>
              </w:rPr>
            </w:pPr>
          </w:p>
        </w:tc>
        <w:tc>
          <w:tcPr>
            <w:tcW w:w="1028" w:type="dxa"/>
            <w:vAlign w:val="center"/>
          </w:tcPr>
          <w:p w14:paraId="5D6EDA0D">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进度监理</w:t>
            </w:r>
          </w:p>
          <w:p w14:paraId="45D04C64">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（5分）</w:t>
            </w:r>
          </w:p>
        </w:tc>
        <w:tc>
          <w:tcPr>
            <w:tcW w:w="3397" w:type="dxa"/>
            <w:vAlign w:val="center"/>
          </w:tcPr>
          <w:p w14:paraId="1715DF1F">
            <w:pPr>
              <w:spacing w:line="320" w:lineRule="exact"/>
              <w:ind w:left="-59" w:leftChars="-28" w:right="-71" w:rightChars="-34"/>
              <w:rPr>
                <w:rFonts w:ascii="宋体" w:hAnsi="宋体" w:eastAsia="宋体" w:cs="宋体"/>
                <w:szCs w:val="21"/>
              </w:rPr>
            </w:pPr>
            <w:r>
              <w:rPr>
                <w:rFonts w:hint="eastAsia" w:ascii="宋体" w:hAnsi="宋体" w:eastAsia="宋体" w:cs="宋体"/>
                <w:szCs w:val="21"/>
              </w:rPr>
              <w:t>进度监理目标明确并满足招标文件的要求得</w:t>
            </w:r>
            <w:r>
              <w:rPr>
                <w:rFonts w:hint="eastAsia" w:ascii="宋体" w:hAnsi="宋体" w:eastAsia="宋体" w:cs="宋体"/>
                <w:szCs w:val="21"/>
                <w:u w:val="single"/>
              </w:rPr>
              <w:t>3.0</w:t>
            </w:r>
            <w:r>
              <w:rPr>
                <w:rFonts w:hint="eastAsia" w:ascii="宋体" w:hAnsi="宋体" w:eastAsia="宋体" w:cs="宋体"/>
                <w:szCs w:val="21"/>
              </w:rPr>
              <w:t>分；监理措施具体且有效，对保证工期所采取的对策及预控方法合理可行的，酌情加</w:t>
            </w:r>
            <w:r>
              <w:rPr>
                <w:rFonts w:hint="eastAsia" w:ascii="宋体" w:hAnsi="宋体" w:eastAsia="宋体" w:cs="宋体"/>
                <w:szCs w:val="21"/>
                <w:u w:val="single"/>
              </w:rPr>
              <w:t>0-2.0</w:t>
            </w:r>
            <w:r>
              <w:rPr>
                <w:rFonts w:hint="eastAsia" w:ascii="宋体" w:hAnsi="宋体" w:eastAsia="宋体" w:cs="宋体"/>
                <w:szCs w:val="21"/>
              </w:rPr>
              <w:t>分。</w:t>
            </w:r>
          </w:p>
        </w:tc>
      </w:tr>
      <w:tr w14:paraId="4CA1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988" w:type="dxa"/>
            <w:vMerge w:val="continue"/>
            <w:vAlign w:val="center"/>
          </w:tcPr>
          <w:p w14:paraId="3DC01BEA">
            <w:pPr>
              <w:spacing w:line="276" w:lineRule="auto"/>
              <w:ind w:left="-59" w:leftChars="-28" w:right="-83"/>
              <w:jc w:val="center"/>
              <w:rPr>
                <w:rFonts w:ascii="宋体" w:hAnsi="宋体" w:eastAsia="宋体" w:cs="宋体"/>
                <w:szCs w:val="21"/>
              </w:rPr>
            </w:pPr>
          </w:p>
        </w:tc>
        <w:tc>
          <w:tcPr>
            <w:tcW w:w="1226" w:type="dxa"/>
            <w:gridSpan w:val="2"/>
            <w:vMerge w:val="continue"/>
            <w:vAlign w:val="center"/>
          </w:tcPr>
          <w:p w14:paraId="65D2D6EA">
            <w:pPr>
              <w:spacing w:line="276" w:lineRule="auto"/>
              <w:ind w:left="-59" w:leftChars="-28" w:right="-63" w:rightChars="-30"/>
              <w:jc w:val="center"/>
              <w:rPr>
                <w:rFonts w:ascii="宋体" w:hAnsi="宋体" w:eastAsia="宋体" w:cs="宋体"/>
                <w:szCs w:val="21"/>
              </w:rPr>
            </w:pPr>
          </w:p>
        </w:tc>
        <w:tc>
          <w:tcPr>
            <w:tcW w:w="771" w:type="dxa"/>
            <w:vMerge w:val="continue"/>
            <w:vAlign w:val="center"/>
          </w:tcPr>
          <w:p w14:paraId="722E00F3">
            <w:pPr>
              <w:spacing w:line="276" w:lineRule="auto"/>
              <w:ind w:left="-59" w:leftChars="-28" w:right="-71" w:rightChars="-34"/>
              <w:jc w:val="center"/>
              <w:rPr>
                <w:rFonts w:ascii="宋体" w:hAnsi="宋体" w:eastAsia="宋体" w:cs="宋体"/>
                <w:szCs w:val="21"/>
              </w:rPr>
            </w:pPr>
          </w:p>
        </w:tc>
        <w:tc>
          <w:tcPr>
            <w:tcW w:w="1144" w:type="dxa"/>
            <w:vMerge w:val="continue"/>
            <w:vAlign w:val="center"/>
          </w:tcPr>
          <w:p w14:paraId="5D45B0A1">
            <w:pPr>
              <w:spacing w:line="276" w:lineRule="auto"/>
              <w:ind w:left="-59" w:leftChars="-28" w:right="-71" w:rightChars="-34"/>
              <w:rPr>
                <w:rFonts w:ascii="宋体" w:hAnsi="宋体" w:eastAsia="宋体" w:cs="宋体"/>
                <w:szCs w:val="21"/>
              </w:rPr>
            </w:pPr>
          </w:p>
        </w:tc>
        <w:tc>
          <w:tcPr>
            <w:tcW w:w="703" w:type="dxa"/>
            <w:gridSpan w:val="2"/>
            <w:vMerge w:val="continue"/>
            <w:vAlign w:val="center"/>
          </w:tcPr>
          <w:p w14:paraId="4C9D3FD1">
            <w:pPr>
              <w:spacing w:line="276" w:lineRule="auto"/>
              <w:ind w:left="-59" w:leftChars="-28" w:right="-71" w:rightChars="-34"/>
              <w:jc w:val="center"/>
              <w:rPr>
                <w:rFonts w:ascii="宋体" w:hAnsi="宋体" w:eastAsia="宋体" w:cs="宋体"/>
                <w:szCs w:val="21"/>
              </w:rPr>
            </w:pPr>
          </w:p>
        </w:tc>
        <w:tc>
          <w:tcPr>
            <w:tcW w:w="1028" w:type="dxa"/>
            <w:vAlign w:val="center"/>
          </w:tcPr>
          <w:p w14:paraId="0158863B">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费用及合同监理</w:t>
            </w:r>
          </w:p>
          <w:p w14:paraId="6EEB2F5F">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（3分）</w:t>
            </w:r>
          </w:p>
        </w:tc>
        <w:tc>
          <w:tcPr>
            <w:tcW w:w="3397" w:type="dxa"/>
            <w:vAlign w:val="center"/>
          </w:tcPr>
          <w:p w14:paraId="0AEE5302">
            <w:pPr>
              <w:spacing w:line="276" w:lineRule="auto"/>
              <w:ind w:left="-59" w:leftChars="-28" w:right="-71" w:rightChars="-34"/>
              <w:rPr>
                <w:rFonts w:ascii="宋体" w:hAnsi="宋体" w:eastAsia="宋体" w:cs="宋体"/>
                <w:szCs w:val="21"/>
              </w:rPr>
            </w:pPr>
            <w:r>
              <w:rPr>
                <w:rFonts w:hint="eastAsia" w:ascii="宋体" w:hAnsi="宋体" w:eastAsia="宋体" w:cs="宋体"/>
                <w:szCs w:val="21"/>
              </w:rPr>
              <w:t>有工程计量与支付监理方面的具体管理方法和措施具体且有效，有明确的变更管理、预防索赔、减少合同纠纷的管理和控制措施得</w:t>
            </w:r>
            <w:r>
              <w:rPr>
                <w:rFonts w:hint="eastAsia" w:ascii="宋体" w:hAnsi="宋体" w:eastAsia="宋体" w:cs="宋体"/>
                <w:szCs w:val="21"/>
                <w:u w:val="single"/>
              </w:rPr>
              <w:t>1.8</w:t>
            </w:r>
            <w:r>
              <w:rPr>
                <w:rFonts w:hint="eastAsia" w:ascii="宋体" w:hAnsi="宋体" w:eastAsia="宋体" w:cs="宋体"/>
                <w:szCs w:val="21"/>
              </w:rPr>
              <w:t>分；有合理可行的控制超计量支付及提前计量支付的预控方法的，酌情加</w:t>
            </w:r>
            <w:r>
              <w:rPr>
                <w:rFonts w:hint="eastAsia" w:ascii="宋体" w:hAnsi="宋体" w:eastAsia="宋体" w:cs="宋体"/>
                <w:szCs w:val="21"/>
                <w:u w:val="single"/>
              </w:rPr>
              <w:t>0-1.2</w:t>
            </w:r>
            <w:r>
              <w:rPr>
                <w:rFonts w:hint="eastAsia" w:ascii="宋体" w:hAnsi="宋体" w:eastAsia="宋体" w:cs="宋体"/>
                <w:szCs w:val="21"/>
              </w:rPr>
              <w:t>分。</w:t>
            </w:r>
          </w:p>
        </w:tc>
      </w:tr>
      <w:tr w14:paraId="7276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vAlign w:val="center"/>
          </w:tcPr>
          <w:p w14:paraId="041BB6D0">
            <w:pPr>
              <w:spacing w:line="276" w:lineRule="auto"/>
              <w:ind w:left="-59" w:leftChars="-28" w:right="-83"/>
              <w:jc w:val="center"/>
              <w:rPr>
                <w:rFonts w:ascii="宋体" w:hAnsi="宋体" w:eastAsia="宋体" w:cs="宋体"/>
                <w:szCs w:val="21"/>
              </w:rPr>
            </w:pPr>
          </w:p>
        </w:tc>
        <w:tc>
          <w:tcPr>
            <w:tcW w:w="1226" w:type="dxa"/>
            <w:gridSpan w:val="2"/>
            <w:vMerge w:val="continue"/>
            <w:vAlign w:val="center"/>
          </w:tcPr>
          <w:p w14:paraId="50CC8D27">
            <w:pPr>
              <w:spacing w:line="276" w:lineRule="auto"/>
              <w:ind w:left="-59" w:leftChars="-28" w:right="-63" w:rightChars="-30"/>
              <w:jc w:val="center"/>
              <w:rPr>
                <w:rFonts w:ascii="宋体" w:hAnsi="宋体" w:eastAsia="宋体" w:cs="宋体"/>
                <w:szCs w:val="21"/>
              </w:rPr>
            </w:pPr>
          </w:p>
        </w:tc>
        <w:tc>
          <w:tcPr>
            <w:tcW w:w="771" w:type="dxa"/>
            <w:vMerge w:val="continue"/>
            <w:vAlign w:val="center"/>
          </w:tcPr>
          <w:p w14:paraId="3B1AB778">
            <w:pPr>
              <w:spacing w:line="276" w:lineRule="auto"/>
              <w:ind w:left="-59" w:leftChars="-28" w:right="-71" w:rightChars="-34"/>
              <w:jc w:val="center"/>
              <w:rPr>
                <w:rFonts w:ascii="宋体" w:hAnsi="宋体" w:eastAsia="宋体" w:cs="宋体"/>
                <w:szCs w:val="21"/>
              </w:rPr>
            </w:pPr>
          </w:p>
        </w:tc>
        <w:tc>
          <w:tcPr>
            <w:tcW w:w="1144" w:type="dxa"/>
            <w:vMerge w:val="continue"/>
            <w:vAlign w:val="center"/>
          </w:tcPr>
          <w:p w14:paraId="3AF875D5">
            <w:pPr>
              <w:spacing w:line="276" w:lineRule="auto"/>
              <w:ind w:left="-59" w:leftChars="-28" w:right="-71" w:rightChars="-34"/>
              <w:rPr>
                <w:rFonts w:ascii="宋体" w:hAnsi="宋体" w:eastAsia="宋体" w:cs="宋体"/>
                <w:szCs w:val="21"/>
              </w:rPr>
            </w:pPr>
          </w:p>
        </w:tc>
        <w:tc>
          <w:tcPr>
            <w:tcW w:w="703" w:type="dxa"/>
            <w:gridSpan w:val="2"/>
            <w:vMerge w:val="continue"/>
            <w:vAlign w:val="center"/>
          </w:tcPr>
          <w:p w14:paraId="12105604">
            <w:pPr>
              <w:spacing w:line="276" w:lineRule="auto"/>
              <w:ind w:left="-59" w:leftChars="-28" w:right="-71" w:rightChars="-34"/>
              <w:jc w:val="center"/>
              <w:rPr>
                <w:rFonts w:ascii="宋体" w:hAnsi="宋体" w:eastAsia="宋体" w:cs="宋体"/>
                <w:szCs w:val="21"/>
              </w:rPr>
            </w:pPr>
          </w:p>
        </w:tc>
        <w:tc>
          <w:tcPr>
            <w:tcW w:w="1028" w:type="dxa"/>
            <w:vAlign w:val="center"/>
          </w:tcPr>
          <w:p w14:paraId="23AC0EA7">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施工环境保护管理（2分）</w:t>
            </w:r>
          </w:p>
        </w:tc>
        <w:tc>
          <w:tcPr>
            <w:tcW w:w="3397" w:type="dxa"/>
            <w:vAlign w:val="center"/>
          </w:tcPr>
          <w:p w14:paraId="6A1AC2BF">
            <w:pPr>
              <w:spacing w:line="276" w:lineRule="auto"/>
              <w:ind w:right="-71" w:rightChars="-34"/>
              <w:rPr>
                <w:rFonts w:ascii="宋体" w:hAnsi="宋体" w:eastAsia="宋体" w:cs="宋体"/>
                <w:szCs w:val="21"/>
              </w:rPr>
            </w:pPr>
            <w:r>
              <w:rPr>
                <w:rFonts w:hint="eastAsia" w:ascii="宋体" w:hAnsi="宋体" w:eastAsia="宋体" w:cs="宋体"/>
                <w:szCs w:val="21"/>
              </w:rPr>
              <w:t>有环保监理措施，且完全响应广东省施工标准化和安全标准化指南的得</w:t>
            </w:r>
            <w:r>
              <w:rPr>
                <w:rFonts w:hint="eastAsia" w:ascii="宋体" w:hAnsi="宋体" w:eastAsia="宋体" w:cs="宋体"/>
                <w:szCs w:val="21"/>
                <w:u w:val="single"/>
              </w:rPr>
              <w:t>1.2</w:t>
            </w:r>
            <w:r>
              <w:rPr>
                <w:rFonts w:hint="eastAsia" w:ascii="宋体" w:hAnsi="宋体" w:eastAsia="宋体" w:cs="宋体"/>
                <w:szCs w:val="21"/>
              </w:rPr>
              <w:t>分；环保监理措施和方法具体且有效的，响应广东省施工标准化和安全标准化指南程度，酌情加</w:t>
            </w:r>
            <w:r>
              <w:rPr>
                <w:rFonts w:hint="eastAsia" w:ascii="宋体" w:hAnsi="宋体" w:eastAsia="宋体" w:cs="宋体"/>
                <w:szCs w:val="21"/>
                <w:u w:val="single"/>
              </w:rPr>
              <w:t>0-0.8</w:t>
            </w:r>
            <w:r>
              <w:rPr>
                <w:rFonts w:hint="eastAsia" w:ascii="宋体" w:hAnsi="宋体" w:eastAsia="宋体" w:cs="宋体"/>
                <w:szCs w:val="21"/>
              </w:rPr>
              <w:t>分。</w:t>
            </w:r>
          </w:p>
        </w:tc>
      </w:tr>
      <w:tr w14:paraId="3F80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88" w:type="dxa"/>
            <w:vMerge w:val="continue"/>
            <w:vAlign w:val="center"/>
          </w:tcPr>
          <w:p w14:paraId="5EED9283">
            <w:pPr>
              <w:spacing w:line="276" w:lineRule="auto"/>
              <w:ind w:left="-59" w:leftChars="-28" w:right="-83"/>
              <w:jc w:val="center"/>
              <w:rPr>
                <w:rFonts w:ascii="宋体" w:hAnsi="宋体" w:eastAsia="宋体" w:cs="宋体"/>
                <w:szCs w:val="21"/>
              </w:rPr>
            </w:pPr>
          </w:p>
        </w:tc>
        <w:tc>
          <w:tcPr>
            <w:tcW w:w="1226" w:type="dxa"/>
            <w:gridSpan w:val="2"/>
            <w:vMerge w:val="continue"/>
            <w:vAlign w:val="center"/>
          </w:tcPr>
          <w:p w14:paraId="074F6289">
            <w:pPr>
              <w:spacing w:line="276" w:lineRule="auto"/>
              <w:ind w:left="-59" w:leftChars="-28" w:right="-63" w:rightChars="-30"/>
              <w:jc w:val="center"/>
              <w:rPr>
                <w:rFonts w:ascii="宋体" w:hAnsi="宋体" w:eastAsia="宋体" w:cs="宋体"/>
                <w:szCs w:val="21"/>
              </w:rPr>
            </w:pPr>
          </w:p>
        </w:tc>
        <w:tc>
          <w:tcPr>
            <w:tcW w:w="771" w:type="dxa"/>
            <w:vMerge w:val="continue"/>
            <w:vAlign w:val="center"/>
          </w:tcPr>
          <w:p w14:paraId="12863601">
            <w:pPr>
              <w:spacing w:line="276" w:lineRule="auto"/>
              <w:ind w:left="-59" w:leftChars="-28" w:right="-71" w:rightChars="-34"/>
              <w:jc w:val="center"/>
              <w:rPr>
                <w:rFonts w:ascii="宋体" w:hAnsi="宋体" w:eastAsia="宋体" w:cs="宋体"/>
                <w:szCs w:val="21"/>
              </w:rPr>
            </w:pPr>
          </w:p>
        </w:tc>
        <w:tc>
          <w:tcPr>
            <w:tcW w:w="1144" w:type="dxa"/>
            <w:vAlign w:val="center"/>
          </w:tcPr>
          <w:p w14:paraId="13F5A104">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本工程监理工作的重点与难点分析</w:t>
            </w:r>
          </w:p>
        </w:tc>
        <w:tc>
          <w:tcPr>
            <w:tcW w:w="703" w:type="dxa"/>
            <w:gridSpan w:val="2"/>
            <w:vAlign w:val="center"/>
          </w:tcPr>
          <w:p w14:paraId="649BC3C3">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u w:val="single"/>
              </w:rPr>
              <w:t>10</w:t>
            </w:r>
            <w:r>
              <w:rPr>
                <w:rFonts w:hint="eastAsia" w:ascii="宋体" w:hAnsi="宋体" w:eastAsia="宋体" w:cs="宋体"/>
                <w:szCs w:val="21"/>
              </w:rPr>
              <w:t>分</w:t>
            </w:r>
          </w:p>
        </w:tc>
        <w:tc>
          <w:tcPr>
            <w:tcW w:w="4425" w:type="dxa"/>
            <w:gridSpan w:val="2"/>
            <w:vAlign w:val="center"/>
          </w:tcPr>
          <w:p w14:paraId="4779D1D2">
            <w:pPr>
              <w:spacing w:line="276" w:lineRule="auto"/>
              <w:ind w:left="-59" w:leftChars="-28" w:right="-71" w:rightChars="-34"/>
              <w:rPr>
                <w:rFonts w:ascii="宋体" w:hAnsi="宋体" w:eastAsia="宋体" w:cs="宋体"/>
                <w:szCs w:val="21"/>
              </w:rPr>
            </w:pPr>
            <w:r>
              <w:rPr>
                <w:rFonts w:hint="eastAsia" w:ascii="宋体" w:hAnsi="宋体" w:eastAsia="宋体" w:cs="宋体"/>
                <w:szCs w:val="21"/>
              </w:rPr>
              <w:t>有对工程重点、难点的分析得</w:t>
            </w:r>
            <w:r>
              <w:rPr>
                <w:rFonts w:hint="eastAsia" w:ascii="宋体" w:hAnsi="宋体" w:eastAsia="宋体"/>
                <w:szCs w:val="21"/>
                <w:u w:val="single"/>
              </w:rPr>
              <w:t>6.0</w:t>
            </w:r>
            <w:r>
              <w:rPr>
                <w:rFonts w:hint="eastAsia" w:ascii="宋体" w:hAnsi="宋体" w:eastAsia="宋体" w:cs="宋体"/>
                <w:szCs w:val="21"/>
              </w:rPr>
              <w:t>分；分析准确，且有合理可行的应对措施的，酌情加0-</w:t>
            </w:r>
            <w:r>
              <w:rPr>
                <w:rFonts w:hint="eastAsia" w:ascii="宋体" w:hAnsi="宋体" w:eastAsia="宋体" w:cs="宋体"/>
                <w:szCs w:val="21"/>
                <w:u w:val="single"/>
              </w:rPr>
              <w:t>4.0</w:t>
            </w:r>
            <w:r>
              <w:rPr>
                <w:rFonts w:hint="eastAsia" w:ascii="宋体" w:hAnsi="宋体" w:eastAsia="宋体" w:cs="宋体"/>
                <w:szCs w:val="21"/>
              </w:rPr>
              <w:t>分。</w:t>
            </w:r>
          </w:p>
        </w:tc>
      </w:tr>
      <w:tr w14:paraId="2167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988" w:type="dxa"/>
            <w:vMerge w:val="continue"/>
            <w:vAlign w:val="center"/>
          </w:tcPr>
          <w:p w14:paraId="6AFCB309">
            <w:pPr>
              <w:spacing w:line="276" w:lineRule="auto"/>
              <w:ind w:left="-59" w:leftChars="-28" w:right="-83"/>
              <w:jc w:val="center"/>
              <w:rPr>
                <w:rFonts w:ascii="宋体" w:hAnsi="宋体" w:eastAsia="宋体" w:cs="宋体"/>
                <w:szCs w:val="21"/>
              </w:rPr>
            </w:pPr>
          </w:p>
        </w:tc>
        <w:tc>
          <w:tcPr>
            <w:tcW w:w="1226" w:type="dxa"/>
            <w:gridSpan w:val="2"/>
            <w:vMerge w:val="continue"/>
            <w:vAlign w:val="center"/>
          </w:tcPr>
          <w:p w14:paraId="4555B438">
            <w:pPr>
              <w:spacing w:line="276" w:lineRule="auto"/>
              <w:ind w:left="-59" w:leftChars="-28" w:right="-63" w:rightChars="-30"/>
              <w:jc w:val="center"/>
              <w:rPr>
                <w:rFonts w:ascii="宋体" w:hAnsi="宋体" w:eastAsia="宋体" w:cs="宋体"/>
                <w:szCs w:val="21"/>
              </w:rPr>
            </w:pPr>
          </w:p>
        </w:tc>
        <w:tc>
          <w:tcPr>
            <w:tcW w:w="771" w:type="dxa"/>
            <w:vMerge w:val="continue"/>
            <w:vAlign w:val="center"/>
          </w:tcPr>
          <w:p w14:paraId="5420EB09">
            <w:pPr>
              <w:spacing w:line="276" w:lineRule="auto"/>
              <w:ind w:left="-59" w:leftChars="-28" w:right="-71" w:rightChars="-34"/>
              <w:jc w:val="center"/>
              <w:rPr>
                <w:rFonts w:ascii="宋体" w:hAnsi="宋体" w:eastAsia="宋体" w:cs="宋体"/>
                <w:szCs w:val="21"/>
              </w:rPr>
            </w:pPr>
          </w:p>
        </w:tc>
        <w:tc>
          <w:tcPr>
            <w:tcW w:w="1144" w:type="dxa"/>
            <w:vAlign w:val="center"/>
          </w:tcPr>
          <w:p w14:paraId="13EFAD96">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rPr>
              <w:t>对本工程的建议</w:t>
            </w:r>
          </w:p>
        </w:tc>
        <w:tc>
          <w:tcPr>
            <w:tcW w:w="703" w:type="dxa"/>
            <w:gridSpan w:val="2"/>
            <w:vAlign w:val="center"/>
          </w:tcPr>
          <w:p w14:paraId="6404EF16">
            <w:pPr>
              <w:spacing w:line="276" w:lineRule="auto"/>
              <w:ind w:left="-59" w:leftChars="-28" w:right="-71" w:rightChars="-34"/>
              <w:jc w:val="center"/>
              <w:rPr>
                <w:rFonts w:ascii="宋体" w:hAnsi="宋体" w:eastAsia="宋体" w:cs="宋体"/>
                <w:szCs w:val="21"/>
              </w:rPr>
            </w:pPr>
            <w:r>
              <w:rPr>
                <w:rFonts w:hint="eastAsia" w:ascii="宋体" w:hAnsi="宋体" w:eastAsia="宋体" w:cs="宋体"/>
                <w:szCs w:val="21"/>
                <w:u w:val="single"/>
              </w:rPr>
              <w:t>5</w:t>
            </w:r>
            <w:r>
              <w:rPr>
                <w:rFonts w:hint="eastAsia" w:ascii="宋体" w:hAnsi="宋体" w:eastAsia="宋体" w:cs="宋体"/>
                <w:szCs w:val="21"/>
              </w:rPr>
              <w:t>分</w:t>
            </w:r>
          </w:p>
        </w:tc>
        <w:tc>
          <w:tcPr>
            <w:tcW w:w="4425" w:type="dxa"/>
            <w:gridSpan w:val="2"/>
            <w:vAlign w:val="center"/>
          </w:tcPr>
          <w:p w14:paraId="467DB7AD">
            <w:pPr>
              <w:spacing w:line="276" w:lineRule="auto"/>
              <w:ind w:left="-59" w:leftChars="-28" w:right="-71" w:rightChars="-34"/>
              <w:rPr>
                <w:rFonts w:ascii="宋体" w:hAnsi="宋体" w:eastAsia="宋体" w:cs="宋体"/>
                <w:szCs w:val="21"/>
              </w:rPr>
            </w:pPr>
            <w:r>
              <w:rPr>
                <w:rFonts w:hint="eastAsia" w:ascii="宋体" w:hAnsi="宋体" w:eastAsia="宋体" w:cs="宋体"/>
                <w:szCs w:val="21"/>
              </w:rPr>
              <w:t>有对本工程的建议的</w:t>
            </w:r>
            <w:r>
              <w:rPr>
                <w:rFonts w:hint="eastAsia" w:ascii="宋体" w:hAnsi="宋体" w:eastAsia="宋体" w:cs="宋体"/>
                <w:szCs w:val="21"/>
                <w:u w:val="single"/>
              </w:rPr>
              <w:t>3.0</w:t>
            </w:r>
            <w:r>
              <w:rPr>
                <w:rFonts w:hint="eastAsia" w:ascii="宋体" w:hAnsi="宋体" w:eastAsia="宋体" w:cs="宋体"/>
                <w:szCs w:val="21"/>
              </w:rPr>
              <w:t>分；对管理模式、工程质量、进度、投资控制、合同管理等方面均提出合理可行的建议的，酌情加</w:t>
            </w:r>
            <w:r>
              <w:rPr>
                <w:rFonts w:hint="eastAsia" w:ascii="宋体" w:hAnsi="宋体" w:eastAsia="宋体" w:cs="宋体"/>
                <w:szCs w:val="21"/>
                <w:u w:val="single"/>
              </w:rPr>
              <w:t>0-2.0</w:t>
            </w:r>
            <w:r>
              <w:rPr>
                <w:rFonts w:hint="eastAsia" w:ascii="宋体" w:hAnsi="宋体" w:eastAsia="宋体" w:cs="宋体"/>
                <w:szCs w:val="21"/>
              </w:rPr>
              <w:t>分。</w:t>
            </w:r>
          </w:p>
        </w:tc>
      </w:tr>
      <w:tr w14:paraId="7D11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988" w:type="dxa"/>
            <w:vAlign w:val="center"/>
          </w:tcPr>
          <w:p w14:paraId="7F53B01F">
            <w:pPr>
              <w:spacing w:line="360" w:lineRule="exact"/>
              <w:ind w:left="-59" w:leftChars="-28" w:right="-83"/>
              <w:jc w:val="center"/>
              <w:rPr>
                <w:rFonts w:ascii="宋体" w:hAnsi="宋体" w:eastAsia="宋体" w:cs="宋体"/>
                <w:szCs w:val="21"/>
              </w:rPr>
            </w:pPr>
            <w:r>
              <w:rPr>
                <w:rFonts w:hint="eastAsia" w:ascii="宋体" w:hAnsi="宋体" w:eastAsia="宋体" w:cs="宋体"/>
                <w:szCs w:val="21"/>
              </w:rPr>
              <w:t>2.2.4</w:t>
            </w:r>
          </w:p>
          <w:p w14:paraId="7FF6C04F">
            <w:pPr>
              <w:spacing w:line="360" w:lineRule="exact"/>
              <w:ind w:left="-59" w:leftChars="-28" w:right="-83"/>
              <w:jc w:val="center"/>
              <w:rPr>
                <w:rFonts w:ascii="宋体" w:hAnsi="宋体" w:eastAsia="宋体" w:cs="宋体"/>
                <w:szCs w:val="21"/>
              </w:rPr>
            </w:pPr>
            <w:r>
              <w:rPr>
                <w:rFonts w:hint="eastAsia" w:ascii="宋体" w:hAnsi="宋体" w:eastAsia="宋体" w:cs="宋体"/>
                <w:szCs w:val="21"/>
              </w:rPr>
              <w:t>（2）</w:t>
            </w:r>
          </w:p>
        </w:tc>
        <w:tc>
          <w:tcPr>
            <w:tcW w:w="1226" w:type="dxa"/>
            <w:gridSpan w:val="2"/>
            <w:vAlign w:val="center"/>
          </w:tcPr>
          <w:p w14:paraId="68A03151">
            <w:pPr>
              <w:spacing w:line="360" w:lineRule="exact"/>
              <w:ind w:left="-59" w:leftChars="-28" w:right="-63" w:rightChars="-30"/>
              <w:jc w:val="center"/>
              <w:rPr>
                <w:rFonts w:ascii="宋体" w:hAnsi="宋体" w:eastAsia="宋体" w:cs="宋体"/>
                <w:szCs w:val="21"/>
              </w:rPr>
            </w:pPr>
            <w:r>
              <w:rPr>
                <w:rFonts w:hint="eastAsia" w:ascii="宋体" w:hAnsi="宋体" w:eastAsia="宋体" w:cs="宋体"/>
                <w:szCs w:val="21"/>
              </w:rPr>
              <w:t>主要人员</w:t>
            </w:r>
          </w:p>
        </w:tc>
        <w:tc>
          <w:tcPr>
            <w:tcW w:w="771" w:type="dxa"/>
            <w:vAlign w:val="center"/>
          </w:tcPr>
          <w:p w14:paraId="128842E8">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u w:val="single"/>
              </w:rPr>
              <w:t>25</w:t>
            </w:r>
            <w:r>
              <w:rPr>
                <w:rFonts w:hint="eastAsia" w:ascii="宋体" w:hAnsi="宋体" w:eastAsia="宋体" w:cs="宋体"/>
                <w:szCs w:val="21"/>
              </w:rPr>
              <w:t>分</w:t>
            </w:r>
          </w:p>
        </w:tc>
        <w:tc>
          <w:tcPr>
            <w:tcW w:w="1144" w:type="dxa"/>
            <w:vAlign w:val="center"/>
          </w:tcPr>
          <w:p w14:paraId="2DFD8F6B">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总监理工程师或驻地监理工程师任 职资格与业绩</w:t>
            </w:r>
          </w:p>
        </w:tc>
        <w:tc>
          <w:tcPr>
            <w:tcW w:w="703" w:type="dxa"/>
            <w:gridSpan w:val="2"/>
            <w:vAlign w:val="center"/>
          </w:tcPr>
          <w:p w14:paraId="3AC7C949">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u w:val="single"/>
              </w:rPr>
              <w:t>25</w:t>
            </w:r>
            <w:r>
              <w:rPr>
                <w:rFonts w:hint="eastAsia" w:ascii="宋体" w:hAnsi="宋体" w:eastAsia="宋体" w:cs="宋体"/>
                <w:szCs w:val="21"/>
              </w:rPr>
              <w:t>分</w:t>
            </w:r>
          </w:p>
        </w:tc>
        <w:tc>
          <w:tcPr>
            <w:tcW w:w="4425" w:type="dxa"/>
            <w:gridSpan w:val="2"/>
            <w:vAlign w:val="center"/>
          </w:tcPr>
          <w:p w14:paraId="238A3ECB">
            <w:pPr>
              <w:spacing w:line="360" w:lineRule="exact"/>
              <w:ind w:left="-59" w:leftChars="-28" w:right="-71" w:rightChars="-34"/>
              <w:rPr>
                <w:rFonts w:ascii="宋体" w:hAnsi="宋体" w:eastAsia="宋体" w:cs="宋体"/>
                <w:szCs w:val="21"/>
              </w:rPr>
            </w:pPr>
            <w:r>
              <w:rPr>
                <w:rFonts w:hint="eastAsia" w:ascii="宋体" w:hAnsi="宋体" w:eastAsia="宋体" w:cs="宋体"/>
                <w:szCs w:val="21"/>
              </w:rPr>
              <w:t>监理人员符合资格审查要求的，得25分。</w:t>
            </w:r>
          </w:p>
        </w:tc>
      </w:tr>
      <w:tr w14:paraId="0728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32A35AF">
            <w:pPr>
              <w:spacing w:line="360" w:lineRule="exact"/>
              <w:ind w:left="-59" w:leftChars="-28" w:right="-83"/>
              <w:jc w:val="center"/>
              <w:rPr>
                <w:rFonts w:ascii="宋体" w:hAnsi="宋体" w:eastAsia="宋体" w:cs="宋体"/>
                <w:szCs w:val="21"/>
              </w:rPr>
            </w:pPr>
            <w:r>
              <w:rPr>
                <w:rFonts w:hint="eastAsia" w:ascii="宋体" w:hAnsi="宋体" w:eastAsia="宋体" w:cs="宋体"/>
                <w:szCs w:val="21"/>
              </w:rPr>
              <w:t>2.2.4</w:t>
            </w:r>
          </w:p>
          <w:p w14:paraId="75F6C6E6">
            <w:pPr>
              <w:spacing w:line="360" w:lineRule="exact"/>
              <w:ind w:left="-59" w:leftChars="-28" w:right="-83"/>
              <w:jc w:val="center"/>
              <w:rPr>
                <w:rFonts w:ascii="宋体" w:hAnsi="宋体" w:eastAsia="宋体" w:cs="宋体"/>
                <w:szCs w:val="21"/>
              </w:rPr>
            </w:pPr>
            <w:r>
              <w:rPr>
                <w:rFonts w:hint="eastAsia" w:ascii="宋体" w:hAnsi="宋体" w:eastAsia="宋体" w:cs="宋体"/>
                <w:szCs w:val="21"/>
              </w:rPr>
              <w:t>(3)</w:t>
            </w:r>
          </w:p>
        </w:tc>
        <w:tc>
          <w:tcPr>
            <w:tcW w:w="1226" w:type="dxa"/>
            <w:gridSpan w:val="2"/>
            <w:vAlign w:val="center"/>
          </w:tcPr>
          <w:p w14:paraId="186F5BE9">
            <w:pPr>
              <w:spacing w:line="360" w:lineRule="exact"/>
              <w:ind w:left="-59" w:leftChars="-28" w:right="-63" w:rightChars="-30"/>
              <w:jc w:val="center"/>
              <w:rPr>
                <w:rFonts w:ascii="宋体" w:hAnsi="宋体" w:eastAsia="宋体" w:cs="宋体"/>
                <w:szCs w:val="21"/>
              </w:rPr>
            </w:pPr>
            <w:r>
              <w:rPr>
                <w:rFonts w:hint="eastAsia" w:ascii="宋体" w:hAnsi="宋体" w:eastAsia="宋体" w:cs="宋体"/>
                <w:szCs w:val="21"/>
              </w:rPr>
              <w:t>评标价</w:t>
            </w:r>
          </w:p>
        </w:tc>
        <w:tc>
          <w:tcPr>
            <w:tcW w:w="771" w:type="dxa"/>
            <w:vAlign w:val="center"/>
          </w:tcPr>
          <w:p w14:paraId="70A0BD07">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u w:val="single"/>
              </w:rPr>
              <w:t>10</w:t>
            </w:r>
            <w:r>
              <w:rPr>
                <w:rFonts w:hint="eastAsia" w:ascii="宋体" w:hAnsi="宋体" w:eastAsia="宋体" w:cs="宋体"/>
                <w:szCs w:val="21"/>
              </w:rPr>
              <w:t>分</w:t>
            </w:r>
          </w:p>
        </w:tc>
        <w:tc>
          <w:tcPr>
            <w:tcW w:w="6272" w:type="dxa"/>
            <w:gridSpan w:val="5"/>
            <w:vAlign w:val="center"/>
          </w:tcPr>
          <w:p w14:paraId="61C58F61">
            <w:pPr>
              <w:spacing w:line="360" w:lineRule="exact"/>
              <w:ind w:left="-59" w:leftChars="-28" w:right="-71" w:rightChars="-34"/>
              <w:rPr>
                <w:rFonts w:ascii="宋体" w:hAnsi="宋体" w:eastAsia="宋体" w:cs="宋体"/>
                <w:szCs w:val="21"/>
              </w:rPr>
            </w:pPr>
            <w:r>
              <w:rPr>
                <w:rFonts w:hint="eastAsia" w:ascii="宋体" w:hAnsi="宋体" w:eastAsia="宋体" w:cs="宋体"/>
                <w:szCs w:val="21"/>
              </w:rPr>
              <w:t>评标价得分计算公式示例：</w:t>
            </w:r>
          </w:p>
          <w:p w14:paraId="4116F975">
            <w:pPr>
              <w:spacing w:line="360" w:lineRule="exact"/>
              <w:ind w:left="-59" w:leftChars="-28" w:right="-71" w:rightChars="-34"/>
              <w:rPr>
                <w:rFonts w:ascii="宋体" w:hAnsi="宋体" w:eastAsia="宋体" w:cs="宋体"/>
                <w:szCs w:val="21"/>
              </w:rPr>
            </w:pPr>
            <w:r>
              <w:rPr>
                <w:rFonts w:hint="eastAsia" w:ascii="宋体" w:hAnsi="宋体" w:eastAsia="宋体" w:cs="宋体"/>
                <w:szCs w:val="21"/>
              </w:rPr>
              <w:t>(1)如果投标人的评标价&gt;评标基准价，则评标价得分＝F－偏差率×100×E</w:t>
            </w:r>
            <w:r>
              <w:rPr>
                <w:rFonts w:ascii="Times New Roman" w:hAnsi="Times New Roman" w:eastAsia="宋体" w:cs="Times New Roman"/>
                <w:szCs w:val="21"/>
              </w:rPr>
              <w:t>₁</w:t>
            </w:r>
            <w:r>
              <w:rPr>
                <w:rFonts w:hint="eastAsia" w:ascii="宋体" w:hAnsi="宋体" w:eastAsia="宋体" w:cs="宋体"/>
                <w:szCs w:val="21"/>
              </w:rPr>
              <w:t>；</w:t>
            </w:r>
          </w:p>
          <w:p w14:paraId="2A1B3F23">
            <w:pPr>
              <w:spacing w:line="360" w:lineRule="exact"/>
              <w:ind w:left="-59" w:leftChars="-28" w:right="-71" w:rightChars="-34"/>
              <w:rPr>
                <w:rFonts w:ascii="宋体" w:hAnsi="宋体" w:eastAsia="宋体" w:cs="宋体"/>
                <w:szCs w:val="21"/>
              </w:rPr>
            </w:pPr>
            <w:r>
              <w:rPr>
                <w:rFonts w:hint="eastAsia" w:ascii="宋体" w:hAnsi="宋体" w:eastAsia="宋体" w:cs="宋体"/>
                <w:szCs w:val="21"/>
              </w:rPr>
              <w:t>(2)如果投标人的评标价≤评标基准价，则评标价得分＝F＋偏差率×100×E</w:t>
            </w:r>
            <w:r>
              <w:rPr>
                <w:rFonts w:ascii="Times New Roman" w:hAnsi="Times New Roman" w:eastAsia="宋体" w:cs="Times New Roman"/>
                <w:szCs w:val="21"/>
              </w:rPr>
              <w:t>₂</w:t>
            </w:r>
            <w:r>
              <w:rPr>
                <w:rFonts w:hint="eastAsia" w:ascii="宋体" w:hAnsi="宋体" w:eastAsia="宋体" w:cs="宋体"/>
                <w:szCs w:val="21"/>
              </w:rPr>
              <w:t>。</w:t>
            </w:r>
          </w:p>
          <w:p w14:paraId="46BCFA23">
            <w:pPr>
              <w:spacing w:line="360" w:lineRule="exact"/>
              <w:ind w:left="-59" w:leftChars="-28" w:right="-71" w:rightChars="-34"/>
              <w:rPr>
                <w:rFonts w:ascii="宋体" w:hAnsi="宋体" w:eastAsia="宋体" w:cs="宋体"/>
                <w:szCs w:val="21"/>
              </w:rPr>
            </w:pPr>
            <w:r>
              <w:rPr>
                <w:rFonts w:hint="eastAsia" w:ascii="宋体" w:hAnsi="宋体" w:eastAsia="宋体" w:cs="宋体"/>
                <w:szCs w:val="21"/>
              </w:rPr>
              <w:t>其中：F=10，一般原则上E</w:t>
            </w:r>
            <w:r>
              <w:rPr>
                <w:rFonts w:ascii="Times New Roman" w:hAnsi="Times New Roman" w:eastAsia="宋体" w:cs="Times New Roman"/>
                <w:szCs w:val="21"/>
              </w:rPr>
              <w:t>₁</w:t>
            </w:r>
            <w:r>
              <w:rPr>
                <w:rFonts w:hint="eastAsia" w:ascii="宋体" w:hAnsi="宋体" w:eastAsia="宋体" w:cs="宋体"/>
                <w:szCs w:val="21"/>
              </w:rPr>
              <w:t>=1.0，E</w:t>
            </w:r>
            <w:r>
              <w:rPr>
                <w:rFonts w:ascii="Times New Roman" w:hAnsi="Times New Roman" w:eastAsia="宋体" w:cs="Times New Roman"/>
                <w:szCs w:val="21"/>
              </w:rPr>
              <w:t>₂</w:t>
            </w:r>
            <w:r>
              <w:rPr>
                <w:rFonts w:hint="eastAsia" w:ascii="宋体" w:hAnsi="宋体" w:eastAsia="宋体" w:cs="宋体"/>
                <w:szCs w:val="21"/>
              </w:rPr>
              <w:t>=0.5，评标价得分保留小数点后四位，第五位四舍五入。</w:t>
            </w:r>
          </w:p>
        </w:tc>
      </w:tr>
      <w:tr w14:paraId="62A1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88" w:type="dxa"/>
            <w:vMerge w:val="restart"/>
            <w:vAlign w:val="center"/>
          </w:tcPr>
          <w:p w14:paraId="4558E46B">
            <w:pPr>
              <w:spacing w:line="360" w:lineRule="exact"/>
              <w:ind w:left="-59" w:leftChars="-28" w:right="-83"/>
              <w:jc w:val="center"/>
              <w:rPr>
                <w:rFonts w:ascii="宋体" w:hAnsi="宋体" w:eastAsia="宋体" w:cs="宋体"/>
                <w:szCs w:val="21"/>
              </w:rPr>
            </w:pPr>
            <w:r>
              <w:rPr>
                <w:rFonts w:hint="eastAsia" w:ascii="宋体" w:hAnsi="宋体" w:eastAsia="宋体" w:cs="宋体"/>
                <w:szCs w:val="21"/>
              </w:rPr>
              <w:t>2.2.4</w:t>
            </w:r>
          </w:p>
          <w:p w14:paraId="22E78DD6">
            <w:pPr>
              <w:spacing w:line="360" w:lineRule="exact"/>
              <w:ind w:left="-59" w:leftChars="-28" w:right="-83"/>
              <w:jc w:val="center"/>
              <w:rPr>
                <w:rFonts w:ascii="宋体" w:hAnsi="宋体" w:eastAsia="宋体" w:cs="宋体"/>
                <w:szCs w:val="21"/>
              </w:rPr>
            </w:pPr>
            <w:r>
              <w:rPr>
                <w:rFonts w:hint="eastAsia" w:ascii="宋体" w:hAnsi="宋体" w:eastAsia="宋体" w:cs="宋体"/>
                <w:szCs w:val="21"/>
              </w:rPr>
              <w:t>(4)</w:t>
            </w:r>
          </w:p>
        </w:tc>
        <w:tc>
          <w:tcPr>
            <w:tcW w:w="618" w:type="dxa"/>
            <w:vMerge w:val="restart"/>
            <w:vAlign w:val="center"/>
          </w:tcPr>
          <w:p w14:paraId="05B515F7">
            <w:pPr>
              <w:spacing w:line="360" w:lineRule="exact"/>
              <w:ind w:left="-59" w:leftChars="-28" w:right="-63" w:rightChars="-30"/>
              <w:jc w:val="center"/>
              <w:rPr>
                <w:rFonts w:ascii="宋体" w:hAnsi="宋体" w:eastAsia="宋体" w:cs="宋体"/>
                <w:szCs w:val="21"/>
              </w:rPr>
            </w:pPr>
            <w:r>
              <w:rPr>
                <w:rFonts w:hint="eastAsia" w:ascii="宋体" w:hAnsi="宋体" w:eastAsia="宋体" w:cs="宋体"/>
                <w:szCs w:val="21"/>
              </w:rPr>
              <w:t>其他因素</w:t>
            </w:r>
          </w:p>
        </w:tc>
        <w:tc>
          <w:tcPr>
            <w:tcW w:w="608" w:type="dxa"/>
            <w:vAlign w:val="center"/>
          </w:tcPr>
          <w:p w14:paraId="153CBEC6">
            <w:pPr>
              <w:spacing w:line="360" w:lineRule="exact"/>
              <w:ind w:left="-59" w:leftChars="-28" w:right="-63" w:rightChars="-30"/>
              <w:jc w:val="center"/>
              <w:rPr>
                <w:rFonts w:ascii="宋体" w:hAnsi="宋体" w:eastAsia="宋体" w:cs="宋体"/>
                <w:szCs w:val="21"/>
              </w:rPr>
            </w:pPr>
            <w:r>
              <w:rPr>
                <w:rFonts w:hint="eastAsia" w:ascii="宋体" w:hAnsi="宋体" w:eastAsia="宋体" w:cs="宋体"/>
                <w:szCs w:val="21"/>
              </w:rPr>
              <w:t>技术能力</w:t>
            </w:r>
          </w:p>
        </w:tc>
        <w:tc>
          <w:tcPr>
            <w:tcW w:w="771" w:type="dxa"/>
            <w:vAlign w:val="center"/>
          </w:tcPr>
          <w:p w14:paraId="17CAE571">
            <w:pPr>
              <w:spacing w:line="360" w:lineRule="exact"/>
              <w:ind w:left="-59" w:leftChars="-28" w:right="-71" w:rightChars="-34"/>
              <w:jc w:val="center"/>
              <w:rPr>
                <w:rFonts w:ascii="宋体" w:hAnsi="宋体" w:eastAsia="宋体" w:cs="宋体"/>
                <w:szCs w:val="21"/>
                <w:u w:val="single"/>
              </w:rPr>
            </w:pPr>
            <w:r>
              <w:rPr>
                <w:rFonts w:ascii="宋体" w:hAnsi="宋体" w:eastAsia="宋体" w:cs="宋体"/>
                <w:szCs w:val="21"/>
                <w:u w:val="single"/>
              </w:rPr>
              <w:t>0</w:t>
            </w:r>
            <w:r>
              <w:rPr>
                <w:rFonts w:hint="eastAsia" w:ascii="宋体" w:hAnsi="宋体" w:eastAsia="宋体" w:cs="宋体"/>
                <w:szCs w:val="21"/>
              </w:rPr>
              <w:t>分</w:t>
            </w:r>
          </w:p>
        </w:tc>
        <w:tc>
          <w:tcPr>
            <w:tcW w:w="1204" w:type="dxa"/>
            <w:gridSpan w:val="2"/>
            <w:vAlign w:val="center"/>
          </w:tcPr>
          <w:p w14:paraId="07215089">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科研开</w:t>
            </w:r>
          </w:p>
          <w:p w14:paraId="2E56C8EF">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发和技</w:t>
            </w:r>
          </w:p>
          <w:p w14:paraId="60AE5AE9">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术创新</w:t>
            </w:r>
          </w:p>
        </w:tc>
        <w:tc>
          <w:tcPr>
            <w:tcW w:w="643" w:type="dxa"/>
            <w:vAlign w:val="center"/>
          </w:tcPr>
          <w:p w14:paraId="279BDA2C">
            <w:pPr>
              <w:spacing w:line="360" w:lineRule="exact"/>
              <w:ind w:left="-59" w:leftChars="-28" w:right="-71" w:rightChars="-34"/>
              <w:jc w:val="center"/>
              <w:rPr>
                <w:rFonts w:ascii="宋体" w:hAnsi="宋体" w:eastAsia="宋体" w:cs="宋体"/>
                <w:szCs w:val="21"/>
              </w:rPr>
            </w:pPr>
            <w:r>
              <w:rPr>
                <w:rFonts w:ascii="宋体" w:hAnsi="宋体" w:eastAsia="宋体" w:cs="宋体"/>
                <w:szCs w:val="21"/>
                <w:u w:val="single"/>
              </w:rPr>
              <w:t>0</w:t>
            </w:r>
            <w:r>
              <w:rPr>
                <w:rFonts w:hint="eastAsia" w:ascii="宋体" w:hAnsi="宋体" w:eastAsia="宋体" w:cs="宋体"/>
                <w:szCs w:val="21"/>
              </w:rPr>
              <w:t>分</w:t>
            </w:r>
          </w:p>
        </w:tc>
        <w:tc>
          <w:tcPr>
            <w:tcW w:w="4425" w:type="dxa"/>
            <w:gridSpan w:val="2"/>
            <w:vAlign w:val="center"/>
          </w:tcPr>
          <w:p w14:paraId="3CDFF7FE">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w:t>
            </w:r>
            <w:r>
              <w:rPr>
                <w:rFonts w:ascii="宋体" w:eastAsia="宋体" w:cs="宋体"/>
                <w:kern w:val="0"/>
                <w:szCs w:val="21"/>
              </w:rPr>
              <w:t>1</w:t>
            </w:r>
            <w:r>
              <w:rPr>
                <w:rFonts w:hint="eastAsia" w:ascii="宋体" w:eastAsia="宋体" w:cs="宋体"/>
                <w:kern w:val="0"/>
                <w:szCs w:val="21"/>
              </w:rPr>
              <w:t>）投标人获得与公路工程有关的国家级工</w:t>
            </w:r>
          </w:p>
          <w:p w14:paraId="46A6A70A">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法、专利（发明专利或实用新型专利）、国家</w:t>
            </w:r>
          </w:p>
          <w:p w14:paraId="6ABE3703">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 xml:space="preserve">级科学技术进步奖、主编或参编过国家标准、鲁班奖、詹天佑奖、国家优质工程奖，每项加 </w:t>
            </w:r>
            <w:r>
              <w:rPr>
                <w:rFonts w:ascii="宋体" w:eastAsia="宋体" w:cs="宋体"/>
                <w:kern w:val="0"/>
                <w:szCs w:val="21"/>
              </w:rPr>
              <w:t xml:space="preserve">     </w:t>
            </w:r>
            <w:r>
              <w:rPr>
                <w:rFonts w:ascii="宋体" w:eastAsia="宋体" w:cs="宋体"/>
                <w:kern w:val="0"/>
                <w:szCs w:val="21"/>
                <w:u w:val="single"/>
              </w:rPr>
              <w:t xml:space="preserve">/ </w:t>
            </w:r>
            <w:r>
              <w:rPr>
                <w:rFonts w:hint="eastAsia" w:ascii="宋体" w:eastAsia="宋体" w:cs="宋体"/>
                <w:kern w:val="0"/>
                <w:szCs w:val="21"/>
              </w:rPr>
              <w:t>分；</w:t>
            </w:r>
          </w:p>
          <w:p w14:paraId="608A07EF">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w:t>
            </w:r>
            <w:r>
              <w:rPr>
                <w:rFonts w:ascii="宋体" w:eastAsia="宋体" w:cs="宋体"/>
                <w:kern w:val="0"/>
                <w:szCs w:val="21"/>
              </w:rPr>
              <w:t>2</w:t>
            </w:r>
            <w:r>
              <w:rPr>
                <w:rFonts w:hint="eastAsia" w:ascii="宋体" w:eastAsia="宋体" w:cs="宋体"/>
                <w:kern w:val="0"/>
                <w:szCs w:val="21"/>
              </w:rPr>
              <w:t>）投标人获得省级科学技术进步奖，主编</w:t>
            </w:r>
          </w:p>
          <w:p w14:paraId="0C07A2B1">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或参编过的行业或地方标准，每项加</w:t>
            </w:r>
            <w:r>
              <w:rPr>
                <w:rFonts w:hint="eastAsia" w:ascii="宋体" w:eastAsia="宋体" w:cs="宋体"/>
                <w:kern w:val="0"/>
                <w:szCs w:val="21"/>
                <w:u w:val="single"/>
              </w:rPr>
              <w:t xml:space="preserve"> </w:t>
            </w:r>
            <w:r>
              <w:rPr>
                <w:rFonts w:ascii="宋体" w:eastAsia="宋体" w:cs="宋体"/>
                <w:kern w:val="0"/>
                <w:szCs w:val="21"/>
                <w:u w:val="single"/>
              </w:rPr>
              <w:t xml:space="preserve">/ </w:t>
            </w:r>
            <w:r>
              <w:rPr>
                <w:rFonts w:hint="eastAsia" w:ascii="宋体" w:eastAsia="宋体" w:cs="宋体"/>
                <w:kern w:val="0"/>
                <w:szCs w:val="21"/>
              </w:rPr>
              <w:t>分；</w:t>
            </w:r>
          </w:p>
          <w:p w14:paraId="47CA1AF4">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w:t>
            </w:r>
            <w:r>
              <w:rPr>
                <w:rFonts w:ascii="宋体" w:eastAsia="宋体" w:cs="宋体"/>
                <w:kern w:val="0"/>
                <w:szCs w:val="21"/>
              </w:rPr>
              <w:t>3</w:t>
            </w:r>
            <w:r>
              <w:rPr>
                <w:rFonts w:hint="eastAsia" w:ascii="宋体" w:eastAsia="宋体" w:cs="宋体"/>
                <w:kern w:val="0"/>
                <w:szCs w:val="21"/>
              </w:rPr>
              <w:t>）本项累计加分最高</w:t>
            </w:r>
            <w:r>
              <w:rPr>
                <w:rFonts w:hint="eastAsia" w:ascii="宋体" w:eastAsia="宋体" w:cs="宋体"/>
                <w:kern w:val="0"/>
                <w:szCs w:val="21"/>
                <w:u w:val="single"/>
              </w:rPr>
              <w:t xml:space="preserve"> </w:t>
            </w:r>
            <w:r>
              <w:rPr>
                <w:rFonts w:ascii="宋体" w:eastAsia="宋体" w:cs="宋体"/>
                <w:kern w:val="0"/>
                <w:szCs w:val="21"/>
                <w:u w:val="single"/>
              </w:rPr>
              <w:t xml:space="preserve">/ </w:t>
            </w:r>
            <w:r>
              <w:rPr>
                <w:rFonts w:hint="eastAsia" w:ascii="宋体" w:eastAsia="宋体" w:cs="宋体"/>
                <w:kern w:val="0"/>
                <w:szCs w:val="21"/>
              </w:rPr>
              <w:t>分。</w:t>
            </w:r>
          </w:p>
          <w:p w14:paraId="0B55E5C9">
            <w:pPr>
              <w:autoSpaceDE w:val="0"/>
              <w:autoSpaceDN w:val="0"/>
              <w:adjustRightInd w:val="0"/>
              <w:spacing w:line="360" w:lineRule="exact"/>
              <w:jc w:val="left"/>
              <w:rPr>
                <w:rFonts w:ascii="宋体" w:eastAsia="宋体" w:cs="宋体"/>
                <w:kern w:val="0"/>
                <w:szCs w:val="21"/>
              </w:rPr>
            </w:pPr>
            <w:r>
              <w:rPr>
                <w:rFonts w:hint="eastAsia" w:ascii="宋体" w:eastAsia="宋体" w:cs="宋体"/>
                <w:kern w:val="0"/>
                <w:szCs w:val="21"/>
              </w:rPr>
              <w:t>注：同一事项，获得多个奖励或专利或标准</w:t>
            </w:r>
          </w:p>
          <w:p w14:paraId="11054DA7">
            <w:pPr>
              <w:spacing w:line="360" w:lineRule="exact"/>
              <w:ind w:left="-59" w:leftChars="-28" w:right="-63" w:rightChars="-30"/>
              <w:rPr>
                <w:rFonts w:ascii="宋体" w:hAnsi="宋体" w:eastAsia="宋体" w:cs="宋体"/>
                <w:szCs w:val="21"/>
              </w:rPr>
            </w:pPr>
            <w:r>
              <w:rPr>
                <w:rFonts w:hint="eastAsia" w:ascii="宋体" w:eastAsia="宋体" w:cs="宋体"/>
                <w:kern w:val="0"/>
                <w:szCs w:val="21"/>
              </w:rPr>
              <w:t>的，不重复加分，按较高分只计一次。</w:t>
            </w:r>
          </w:p>
        </w:tc>
      </w:tr>
      <w:tr w14:paraId="198C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88" w:type="dxa"/>
            <w:vMerge w:val="continue"/>
            <w:vAlign w:val="center"/>
          </w:tcPr>
          <w:p w14:paraId="5CD420B0">
            <w:pPr>
              <w:spacing w:line="360" w:lineRule="exact"/>
              <w:ind w:left="-59" w:leftChars="-28" w:right="-83"/>
              <w:jc w:val="center"/>
              <w:rPr>
                <w:rFonts w:ascii="宋体" w:hAnsi="宋体" w:eastAsia="宋体" w:cs="宋体"/>
                <w:szCs w:val="21"/>
              </w:rPr>
            </w:pPr>
          </w:p>
        </w:tc>
        <w:tc>
          <w:tcPr>
            <w:tcW w:w="618" w:type="dxa"/>
            <w:vMerge w:val="continue"/>
            <w:vAlign w:val="center"/>
          </w:tcPr>
          <w:p w14:paraId="5CE8AE05">
            <w:pPr>
              <w:spacing w:line="360" w:lineRule="exact"/>
              <w:ind w:left="-59" w:leftChars="-28" w:right="-63" w:rightChars="-30"/>
              <w:jc w:val="center"/>
              <w:rPr>
                <w:rFonts w:ascii="宋体" w:hAnsi="宋体" w:eastAsia="宋体" w:cs="宋体"/>
                <w:szCs w:val="21"/>
              </w:rPr>
            </w:pPr>
          </w:p>
        </w:tc>
        <w:tc>
          <w:tcPr>
            <w:tcW w:w="608" w:type="dxa"/>
            <w:vMerge w:val="restart"/>
            <w:vAlign w:val="center"/>
          </w:tcPr>
          <w:p w14:paraId="70DC23EF">
            <w:pPr>
              <w:spacing w:line="360" w:lineRule="exact"/>
              <w:ind w:left="-59" w:leftChars="-28" w:right="-63" w:rightChars="-30"/>
              <w:jc w:val="center"/>
              <w:rPr>
                <w:rFonts w:ascii="宋体" w:hAnsi="宋体" w:eastAsia="宋体" w:cs="宋体"/>
                <w:szCs w:val="21"/>
              </w:rPr>
            </w:pPr>
            <w:r>
              <w:rPr>
                <w:rFonts w:hint="eastAsia" w:ascii="宋体" w:hAnsi="宋体" w:eastAsia="宋体" w:cs="宋体"/>
                <w:szCs w:val="21"/>
              </w:rPr>
              <w:t>业绩</w:t>
            </w:r>
          </w:p>
        </w:tc>
        <w:tc>
          <w:tcPr>
            <w:tcW w:w="771" w:type="dxa"/>
            <w:vMerge w:val="restart"/>
            <w:vAlign w:val="center"/>
          </w:tcPr>
          <w:p w14:paraId="32FB9303">
            <w:pPr>
              <w:spacing w:line="360" w:lineRule="exact"/>
              <w:ind w:left="-59" w:leftChars="-28" w:right="-71" w:rightChars="-34"/>
              <w:jc w:val="center"/>
              <w:rPr>
                <w:rFonts w:ascii="宋体" w:hAnsi="宋体" w:eastAsia="宋体" w:cs="宋体"/>
                <w:szCs w:val="21"/>
                <w:u w:val="single"/>
              </w:rPr>
            </w:pPr>
            <w:r>
              <w:rPr>
                <w:rFonts w:hint="eastAsia" w:ascii="宋体" w:hAnsi="宋体" w:eastAsia="宋体" w:cs="宋体"/>
                <w:szCs w:val="21"/>
                <w:u w:val="single"/>
              </w:rPr>
              <w:t>25</w:t>
            </w:r>
            <w:r>
              <w:rPr>
                <w:rFonts w:hint="eastAsia" w:ascii="宋体" w:hAnsi="宋体" w:eastAsia="宋体" w:cs="宋体"/>
                <w:szCs w:val="21"/>
              </w:rPr>
              <w:t>分</w:t>
            </w:r>
          </w:p>
        </w:tc>
        <w:tc>
          <w:tcPr>
            <w:tcW w:w="1204" w:type="dxa"/>
            <w:gridSpan w:val="2"/>
            <w:vAlign w:val="center"/>
          </w:tcPr>
          <w:p w14:paraId="23668EDE">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基本要求</w:t>
            </w:r>
          </w:p>
        </w:tc>
        <w:tc>
          <w:tcPr>
            <w:tcW w:w="643" w:type="dxa"/>
            <w:vAlign w:val="center"/>
          </w:tcPr>
          <w:p w14:paraId="1F03F971">
            <w:pPr>
              <w:spacing w:line="360" w:lineRule="exact"/>
              <w:ind w:left="-59" w:leftChars="-28" w:right="-71" w:rightChars="-34"/>
              <w:jc w:val="center"/>
              <w:rPr>
                <w:rFonts w:ascii="宋体" w:hAnsi="宋体" w:eastAsia="宋体" w:cs="宋体"/>
                <w:szCs w:val="21"/>
                <w:u w:val="single"/>
              </w:rPr>
            </w:pPr>
            <w:r>
              <w:rPr>
                <w:rFonts w:hint="eastAsia" w:ascii="宋体" w:hAnsi="宋体" w:eastAsia="宋体" w:cs="宋体"/>
                <w:szCs w:val="21"/>
                <w:u w:val="single"/>
              </w:rPr>
              <w:t>15</w:t>
            </w:r>
            <w:r>
              <w:rPr>
                <w:rFonts w:hint="eastAsia" w:ascii="宋体" w:hAnsi="宋体" w:eastAsia="宋体" w:cs="宋体"/>
                <w:szCs w:val="21"/>
              </w:rPr>
              <w:t>分</w:t>
            </w:r>
          </w:p>
        </w:tc>
        <w:tc>
          <w:tcPr>
            <w:tcW w:w="4425" w:type="dxa"/>
            <w:gridSpan w:val="2"/>
            <w:vAlign w:val="center"/>
          </w:tcPr>
          <w:p w14:paraId="177DD683">
            <w:pPr>
              <w:spacing w:line="360" w:lineRule="exact"/>
              <w:ind w:left="-59" w:leftChars="-28" w:right="-63" w:rightChars="-30"/>
              <w:rPr>
                <w:rFonts w:ascii="宋体" w:hAnsi="宋体" w:eastAsia="宋体" w:cs="宋体"/>
                <w:szCs w:val="21"/>
              </w:rPr>
            </w:pPr>
            <w:r>
              <w:rPr>
                <w:rFonts w:hint="eastAsia" w:ascii="宋体" w:hAnsi="宋体" w:eastAsia="宋体" w:cs="宋体"/>
                <w:szCs w:val="21"/>
              </w:rPr>
              <w:t>满足招标文件附录2业绩最低要求的，得</w:t>
            </w:r>
            <w:r>
              <w:rPr>
                <w:rFonts w:hint="eastAsia" w:ascii="宋体" w:hAnsi="宋体" w:eastAsia="宋体" w:cs="宋体"/>
                <w:szCs w:val="21"/>
                <w:u w:val="single"/>
              </w:rPr>
              <w:t>15</w:t>
            </w:r>
            <w:r>
              <w:rPr>
                <w:rFonts w:hint="eastAsia" w:ascii="宋体" w:hAnsi="宋体" w:eastAsia="宋体" w:cs="宋体"/>
                <w:szCs w:val="21"/>
              </w:rPr>
              <w:t>分。</w:t>
            </w:r>
          </w:p>
        </w:tc>
      </w:tr>
      <w:tr w14:paraId="5B5C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988" w:type="dxa"/>
            <w:vMerge w:val="continue"/>
            <w:vAlign w:val="center"/>
          </w:tcPr>
          <w:p w14:paraId="5350D467">
            <w:pPr>
              <w:spacing w:line="360" w:lineRule="exact"/>
              <w:ind w:left="-59" w:leftChars="-28" w:right="-83"/>
              <w:jc w:val="center"/>
              <w:rPr>
                <w:rFonts w:ascii="宋体" w:hAnsi="宋体" w:eastAsia="宋体" w:cs="宋体"/>
                <w:szCs w:val="21"/>
              </w:rPr>
            </w:pPr>
          </w:p>
        </w:tc>
        <w:tc>
          <w:tcPr>
            <w:tcW w:w="618" w:type="dxa"/>
            <w:vMerge w:val="continue"/>
            <w:vAlign w:val="center"/>
          </w:tcPr>
          <w:p w14:paraId="50CB244D">
            <w:pPr>
              <w:spacing w:line="360" w:lineRule="exact"/>
              <w:ind w:left="-59" w:leftChars="-28" w:right="-63" w:rightChars="-30"/>
              <w:jc w:val="center"/>
              <w:rPr>
                <w:rFonts w:ascii="宋体" w:hAnsi="宋体" w:eastAsia="宋体" w:cs="宋体"/>
                <w:szCs w:val="21"/>
              </w:rPr>
            </w:pPr>
          </w:p>
        </w:tc>
        <w:tc>
          <w:tcPr>
            <w:tcW w:w="608" w:type="dxa"/>
            <w:vMerge w:val="continue"/>
            <w:vAlign w:val="center"/>
          </w:tcPr>
          <w:p w14:paraId="6CAE629C">
            <w:pPr>
              <w:spacing w:line="360" w:lineRule="exact"/>
              <w:ind w:left="-59" w:leftChars="-28" w:right="-63" w:rightChars="-30"/>
              <w:jc w:val="center"/>
              <w:rPr>
                <w:rFonts w:ascii="宋体" w:hAnsi="宋体" w:eastAsia="宋体" w:cs="宋体"/>
                <w:szCs w:val="21"/>
              </w:rPr>
            </w:pPr>
          </w:p>
        </w:tc>
        <w:tc>
          <w:tcPr>
            <w:tcW w:w="771" w:type="dxa"/>
            <w:vMerge w:val="continue"/>
            <w:vAlign w:val="center"/>
          </w:tcPr>
          <w:p w14:paraId="2C6D0946">
            <w:pPr>
              <w:spacing w:line="360" w:lineRule="exact"/>
              <w:ind w:left="-59" w:leftChars="-28" w:right="-71" w:rightChars="-34"/>
              <w:jc w:val="center"/>
              <w:rPr>
                <w:rFonts w:ascii="宋体" w:hAnsi="宋体" w:eastAsia="宋体" w:cs="宋体"/>
                <w:szCs w:val="21"/>
                <w:u w:val="single"/>
              </w:rPr>
            </w:pPr>
          </w:p>
        </w:tc>
        <w:tc>
          <w:tcPr>
            <w:tcW w:w="1204" w:type="dxa"/>
            <w:gridSpan w:val="2"/>
            <w:vAlign w:val="center"/>
          </w:tcPr>
          <w:p w14:paraId="1AE0A225">
            <w:pPr>
              <w:spacing w:line="360" w:lineRule="exact"/>
              <w:jc w:val="center"/>
              <w:rPr>
                <w:rFonts w:ascii="宋体" w:hAnsi="宋体" w:eastAsia="宋体" w:cs="宋体"/>
                <w:szCs w:val="21"/>
              </w:rPr>
            </w:pPr>
            <w:r>
              <w:rPr>
                <w:rFonts w:hint="eastAsia" w:ascii="宋体" w:hAnsi="宋体" w:eastAsia="宋体" w:cs="宋体"/>
                <w:szCs w:val="21"/>
              </w:rPr>
              <w:t>路基工程</w:t>
            </w:r>
          </w:p>
        </w:tc>
        <w:tc>
          <w:tcPr>
            <w:tcW w:w="643" w:type="dxa"/>
            <w:vAlign w:val="center"/>
          </w:tcPr>
          <w:p w14:paraId="1DA0D182">
            <w:pPr>
              <w:spacing w:line="360" w:lineRule="exact"/>
              <w:jc w:val="center"/>
              <w:rPr>
                <w:rFonts w:ascii="宋体" w:hAnsi="宋体" w:eastAsia="宋体" w:cs="宋体"/>
                <w:szCs w:val="21"/>
                <w:u w:val="single"/>
              </w:rPr>
            </w:pPr>
            <w:r>
              <w:rPr>
                <w:rFonts w:hint="eastAsia" w:ascii="宋体" w:hAnsi="宋体" w:cs="宋体"/>
                <w:szCs w:val="21"/>
                <w:u w:val="single"/>
              </w:rPr>
              <w:t>4</w:t>
            </w:r>
            <w:r>
              <w:rPr>
                <w:rFonts w:hint="eastAsia" w:ascii="宋体" w:hAnsi="宋体" w:eastAsia="宋体" w:cs="宋体"/>
                <w:szCs w:val="21"/>
              </w:rPr>
              <w:t>分</w:t>
            </w:r>
          </w:p>
        </w:tc>
        <w:tc>
          <w:tcPr>
            <w:tcW w:w="4425" w:type="dxa"/>
            <w:gridSpan w:val="2"/>
            <w:vAlign w:val="center"/>
          </w:tcPr>
          <w:p w14:paraId="2B52F00C">
            <w:pPr>
              <w:spacing w:line="360" w:lineRule="exact"/>
              <w:jc w:val="left"/>
              <w:rPr>
                <w:rFonts w:ascii="宋体" w:hAnsi="宋体" w:eastAsia="宋体" w:cs="宋体"/>
              </w:rPr>
            </w:pPr>
            <w:r>
              <w:rPr>
                <w:rFonts w:hint="eastAsia" w:ascii="宋体" w:hAnsi="宋体" w:eastAsia="宋体" w:cs="宋体"/>
              </w:rPr>
              <w:t>1.在满足业绩最低要求的基础上，每增加8km（含8km，尾数不计）加</w:t>
            </w:r>
            <w:r>
              <w:rPr>
                <w:rFonts w:hint="eastAsia" w:ascii="宋体" w:hAnsi="宋体" w:eastAsia="宋体" w:cs="宋体"/>
                <w:u w:val="single"/>
              </w:rPr>
              <w:t>2</w:t>
            </w:r>
            <w:r>
              <w:rPr>
                <w:rFonts w:hint="eastAsia" w:ascii="宋体" w:hAnsi="宋体" w:eastAsia="宋体" w:cs="宋体"/>
              </w:rPr>
              <w:t>分，最多加</w:t>
            </w:r>
            <w:r>
              <w:rPr>
                <w:rFonts w:hint="eastAsia" w:ascii="宋体" w:hAnsi="宋体" w:eastAsia="宋体" w:cs="宋体"/>
                <w:u w:val="single"/>
              </w:rPr>
              <w:t>4</w:t>
            </w:r>
            <w:r>
              <w:rPr>
                <w:rFonts w:hint="eastAsia" w:ascii="宋体" w:hAnsi="宋体" w:eastAsia="宋体" w:cs="宋体"/>
              </w:rPr>
              <w:t>分。</w:t>
            </w:r>
          </w:p>
          <w:p w14:paraId="02790D1A">
            <w:pPr>
              <w:spacing w:line="360" w:lineRule="exact"/>
              <w:jc w:val="left"/>
              <w:rPr>
                <w:rFonts w:ascii="宋体" w:hAnsi="宋体" w:eastAsia="宋体" w:cs="宋体"/>
              </w:rPr>
            </w:pPr>
            <w:r>
              <w:rPr>
                <w:rFonts w:hint="eastAsia" w:ascii="宋体" w:hAnsi="宋体" w:eastAsia="宋体" w:cs="宋体"/>
              </w:rPr>
              <w:t>2.同一工程项目同时满足多项业绩要求条件的，可分别计；须按“投标人须知”第3.5.</w:t>
            </w:r>
            <w:r>
              <w:rPr>
                <w:rFonts w:hint="eastAsia" w:ascii="宋体" w:hAnsi="宋体" w:eastAsia="宋体" w:cs="宋体"/>
                <w:lang w:val="en-US" w:eastAsia="zh-CN"/>
              </w:rPr>
              <w:t>2</w:t>
            </w:r>
            <w:r>
              <w:rPr>
                <w:rFonts w:hint="eastAsia" w:ascii="宋体" w:hAnsi="宋体" w:eastAsia="宋体" w:cs="宋体"/>
              </w:rPr>
              <w:t>项的要求提供证明材料。（下同）。</w:t>
            </w:r>
          </w:p>
          <w:p w14:paraId="0FE1F35E">
            <w:pPr>
              <w:spacing w:line="360" w:lineRule="exact"/>
              <w:jc w:val="left"/>
              <w:rPr>
                <w:rFonts w:ascii="宋体" w:hAnsi="宋体" w:eastAsia="宋体" w:cs="宋体"/>
              </w:rPr>
            </w:pPr>
            <w:r>
              <w:rPr>
                <w:rFonts w:hint="eastAsia" w:ascii="宋体" w:hAnsi="宋体" w:eastAsia="宋体" w:cs="宋体"/>
              </w:rPr>
              <w:t>注：“业绩”指新建、改建、扩建、改造的三级公路（或以上）公路工程施工监理项目（下同）。</w:t>
            </w:r>
          </w:p>
        </w:tc>
      </w:tr>
      <w:tr w14:paraId="2DFD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88" w:type="dxa"/>
            <w:vMerge w:val="continue"/>
            <w:vAlign w:val="center"/>
          </w:tcPr>
          <w:p w14:paraId="43FA0D3A">
            <w:pPr>
              <w:spacing w:line="360" w:lineRule="exact"/>
              <w:ind w:left="-59" w:leftChars="-28" w:right="-83"/>
              <w:jc w:val="center"/>
              <w:rPr>
                <w:rFonts w:ascii="宋体" w:hAnsi="宋体" w:eastAsia="宋体" w:cs="宋体"/>
                <w:szCs w:val="21"/>
              </w:rPr>
            </w:pPr>
          </w:p>
        </w:tc>
        <w:tc>
          <w:tcPr>
            <w:tcW w:w="618" w:type="dxa"/>
            <w:vMerge w:val="continue"/>
            <w:vAlign w:val="center"/>
          </w:tcPr>
          <w:p w14:paraId="12B7E4F9">
            <w:pPr>
              <w:spacing w:line="360" w:lineRule="exact"/>
              <w:ind w:left="-59" w:leftChars="-28" w:right="-63" w:rightChars="-30"/>
              <w:jc w:val="center"/>
              <w:rPr>
                <w:rFonts w:ascii="宋体" w:hAnsi="宋体" w:eastAsia="宋体" w:cs="宋体"/>
                <w:szCs w:val="21"/>
              </w:rPr>
            </w:pPr>
          </w:p>
        </w:tc>
        <w:tc>
          <w:tcPr>
            <w:tcW w:w="608" w:type="dxa"/>
            <w:vMerge w:val="continue"/>
            <w:vAlign w:val="center"/>
          </w:tcPr>
          <w:p w14:paraId="16CA127D">
            <w:pPr>
              <w:spacing w:line="360" w:lineRule="exact"/>
              <w:ind w:left="-59" w:leftChars="-28" w:right="-63" w:rightChars="-30"/>
              <w:jc w:val="center"/>
              <w:rPr>
                <w:rFonts w:ascii="宋体" w:hAnsi="宋体" w:eastAsia="宋体" w:cs="宋体"/>
                <w:szCs w:val="21"/>
              </w:rPr>
            </w:pPr>
          </w:p>
        </w:tc>
        <w:tc>
          <w:tcPr>
            <w:tcW w:w="771" w:type="dxa"/>
            <w:vMerge w:val="continue"/>
            <w:vAlign w:val="center"/>
          </w:tcPr>
          <w:p w14:paraId="365D1387">
            <w:pPr>
              <w:spacing w:line="360" w:lineRule="exact"/>
              <w:ind w:left="-59" w:leftChars="-28" w:right="-71" w:rightChars="-34"/>
              <w:jc w:val="center"/>
              <w:rPr>
                <w:rFonts w:ascii="宋体" w:hAnsi="宋体" w:eastAsia="宋体" w:cs="宋体"/>
                <w:szCs w:val="21"/>
                <w:u w:val="single"/>
              </w:rPr>
            </w:pPr>
          </w:p>
        </w:tc>
        <w:tc>
          <w:tcPr>
            <w:tcW w:w="1204" w:type="dxa"/>
            <w:gridSpan w:val="2"/>
            <w:vAlign w:val="center"/>
          </w:tcPr>
          <w:p w14:paraId="5EEB9EA4">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路面工程</w:t>
            </w:r>
          </w:p>
        </w:tc>
        <w:tc>
          <w:tcPr>
            <w:tcW w:w="643" w:type="dxa"/>
            <w:vAlign w:val="center"/>
          </w:tcPr>
          <w:p w14:paraId="69E21662">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u w:val="single"/>
              </w:rPr>
              <w:t>4</w:t>
            </w:r>
            <w:r>
              <w:rPr>
                <w:rFonts w:hint="eastAsia" w:ascii="宋体" w:hAnsi="宋体" w:eastAsia="宋体" w:cs="宋体"/>
                <w:szCs w:val="21"/>
              </w:rPr>
              <w:t>分</w:t>
            </w:r>
          </w:p>
        </w:tc>
        <w:tc>
          <w:tcPr>
            <w:tcW w:w="4425" w:type="dxa"/>
            <w:gridSpan w:val="2"/>
            <w:vAlign w:val="center"/>
          </w:tcPr>
          <w:p w14:paraId="70072C57">
            <w:pPr>
              <w:spacing w:line="360" w:lineRule="exact"/>
              <w:jc w:val="left"/>
              <w:rPr>
                <w:rFonts w:ascii="宋体" w:hAnsi="宋体" w:eastAsia="宋体" w:cs="宋体"/>
              </w:rPr>
            </w:pPr>
            <w:r>
              <w:rPr>
                <w:rFonts w:hint="eastAsia" w:ascii="宋体" w:hAnsi="宋体" w:eastAsia="宋体" w:cs="宋体"/>
              </w:rPr>
              <w:t>1.在满足业绩最低要求的基础上，每增加一项长度不少于8km（含8km，尾数不计）三级公路（或以上）工程加</w:t>
            </w:r>
            <w:r>
              <w:rPr>
                <w:rFonts w:hint="eastAsia" w:ascii="宋体" w:hAnsi="宋体" w:eastAsia="宋体" w:cs="宋体"/>
                <w:u w:val="single"/>
              </w:rPr>
              <w:t>2</w:t>
            </w:r>
            <w:r>
              <w:rPr>
                <w:rFonts w:hint="eastAsia" w:ascii="宋体" w:hAnsi="宋体" w:eastAsia="宋体" w:cs="宋体"/>
              </w:rPr>
              <w:t>分，最多加</w:t>
            </w:r>
            <w:r>
              <w:rPr>
                <w:rFonts w:hint="eastAsia" w:ascii="宋体" w:hAnsi="宋体" w:eastAsia="宋体" w:cs="宋体"/>
                <w:u w:val="single"/>
              </w:rPr>
              <w:t>4</w:t>
            </w:r>
            <w:r>
              <w:rPr>
                <w:rFonts w:hint="eastAsia" w:ascii="宋体" w:hAnsi="宋体" w:eastAsia="宋体" w:cs="宋体"/>
              </w:rPr>
              <w:t>分。</w:t>
            </w:r>
          </w:p>
          <w:p w14:paraId="616FE2A5">
            <w:pPr>
              <w:spacing w:line="360" w:lineRule="exact"/>
              <w:jc w:val="left"/>
              <w:rPr>
                <w:rFonts w:ascii="宋体" w:hAnsi="宋体" w:eastAsia="宋体" w:cs="宋体"/>
              </w:rPr>
            </w:pPr>
            <w:r>
              <w:rPr>
                <w:rFonts w:hint="eastAsia" w:ascii="宋体" w:hAnsi="宋体" w:eastAsia="宋体" w:cs="宋体"/>
              </w:rPr>
              <w:t>2.同一工程项目同时满足多项业绩要求条件的，可分别计。</w:t>
            </w:r>
          </w:p>
        </w:tc>
      </w:tr>
      <w:tr w14:paraId="0012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988" w:type="dxa"/>
            <w:vMerge w:val="continue"/>
            <w:vAlign w:val="center"/>
          </w:tcPr>
          <w:p w14:paraId="71628B51">
            <w:pPr>
              <w:spacing w:line="360" w:lineRule="exact"/>
              <w:ind w:left="-59" w:leftChars="-28" w:right="-83"/>
              <w:jc w:val="center"/>
              <w:rPr>
                <w:rFonts w:ascii="宋体" w:hAnsi="宋体" w:eastAsia="宋体" w:cs="宋体"/>
                <w:szCs w:val="21"/>
              </w:rPr>
            </w:pPr>
          </w:p>
        </w:tc>
        <w:tc>
          <w:tcPr>
            <w:tcW w:w="618" w:type="dxa"/>
            <w:vMerge w:val="continue"/>
            <w:vAlign w:val="center"/>
          </w:tcPr>
          <w:p w14:paraId="1AC735DA">
            <w:pPr>
              <w:spacing w:line="360" w:lineRule="exact"/>
              <w:ind w:left="-59" w:leftChars="-28" w:right="-63" w:rightChars="-30"/>
              <w:jc w:val="center"/>
              <w:rPr>
                <w:rFonts w:ascii="宋体" w:hAnsi="宋体" w:eastAsia="宋体" w:cs="宋体"/>
                <w:szCs w:val="21"/>
              </w:rPr>
            </w:pPr>
          </w:p>
        </w:tc>
        <w:tc>
          <w:tcPr>
            <w:tcW w:w="608" w:type="dxa"/>
            <w:vMerge w:val="continue"/>
            <w:vAlign w:val="center"/>
          </w:tcPr>
          <w:p w14:paraId="7D6013CF">
            <w:pPr>
              <w:spacing w:line="360" w:lineRule="exact"/>
              <w:ind w:left="-59" w:leftChars="-28" w:right="-63" w:rightChars="-30"/>
              <w:jc w:val="center"/>
              <w:rPr>
                <w:rFonts w:ascii="宋体" w:hAnsi="宋体" w:eastAsia="宋体" w:cs="宋体"/>
                <w:szCs w:val="21"/>
              </w:rPr>
            </w:pPr>
          </w:p>
        </w:tc>
        <w:tc>
          <w:tcPr>
            <w:tcW w:w="771" w:type="dxa"/>
            <w:vMerge w:val="continue"/>
            <w:vAlign w:val="center"/>
          </w:tcPr>
          <w:p w14:paraId="488274A0">
            <w:pPr>
              <w:spacing w:line="360" w:lineRule="exact"/>
              <w:ind w:left="-59" w:leftChars="-28" w:right="-71" w:rightChars="-34"/>
              <w:jc w:val="center"/>
              <w:rPr>
                <w:rFonts w:ascii="宋体" w:hAnsi="宋体" w:eastAsia="宋体" w:cs="宋体"/>
                <w:szCs w:val="21"/>
                <w:u w:val="single"/>
              </w:rPr>
            </w:pPr>
          </w:p>
        </w:tc>
        <w:tc>
          <w:tcPr>
            <w:tcW w:w="1204" w:type="dxa"/>
            <w:gridSpan w:val="2"/>
            <w:vAlign w:val="center"/>
          </w:tcPr>
          <w:p w14:paraId="1DC1A66F">
            <w:pPr>
              <w:spacing w:line="360" w:lineRule="exact"/>
              <w:ind w:left="-59" w:leftChars="-28" w:right="-71" w:rightChars="-34"/>
              <w:jc w:val="center"/>
              <w:rPr>
                <w:rFonts w:ascii="宋体" w:hAnsi="宋体" w:eastAsia="宋体" w:cs="宋体"/>
                <w:szCs w:val="21"/>
              </w:rPr>
            </w:pPr>
            <w:r>
              <w:rPr>
                <w:rFonts w:hint="eastAsia" w:ascii="宋体" w:hAnsi="宋体" w:eastAsia="宋体"/>
                <w:snapToGrid w:val="0"/>
                <w:kern w:val="0"/>
                <w:szCs w:val="21"/>
              </w:rPr>
              <w:t>桥梁工程</w:t>
            </w:r>
          </w:p>
        </w:tc>
        <w:tc>
          <w:tcPr>
            <w:tcW w:w="643" w:type="dxa"/>
            <w:vAlign w:val="center"/>
          </w:tcPr>
          <w:p w14:paraId="25230904">
            <w:pPr>
              <w:spacing w:line="360" w:lineRule="exact"/>
              <w:ind w:left="-59" w:leftChars="-28" w:right="-71" w:rightChars="-34"/>
              <w:jc w:val="center"/>
              <w:rPr>
                <w:rFonts w:ascii="宋体" w:hAnsi="宋体" w:eastAsia="宋体" w:cs="宋体"/>
                <w:szCs w:val="21"/>
                <w:u w:val="single"/>
              </w:rPr>
            </w:pPr>
            <w:r>
              <w:rPr>
                <w:rFonts w:hint="eastAsia" w:ascii="宋体" w:hAnsi="宋体" w:eastAsia="宋体" w:cs="宋体"/>
                <w:szCs w:val="21"/>
                <w:u w:val="single"/>
              </w:rPr>
              <w:t>2</w:t>
            </w:r>
            <w:r>
              <w:rPr>
                <w:rFonts w:hint="eastAsia" w:ascii="宋体" w:hAnsi="宋体" w:eastAsia="宋体" w:cs="宋体"/>
                <w:szCs w:val="21"/>
              </w:rPr>
              <w:t>分</w:t>
            </w:r>
          </w:p>
        </w:tc>
        <w:tc>
          <w:tcPr>
            <w:tcW w:w="4425" w:type="dxa"/>
            <w:gridSpan w:val="2"/>
            <w:vAlign w:val="center"/>
          </w:tcPr>
          <w:p w14:paraId="48E41EE1">
            <w:pPr>
              <w:spacing w:line="360" w:lineRule="exact"/>
              <w:jc w:val="left"/>
              <w:rPr>
                <w:rFonts w:ascii="宋体" w:hAnsi="宋体" w:eastAsia="宋体" w:cs="宋体"/>
              </w:rPr>
            </w:pPr>
            <w:r>
              <w:rPr>
                <w:rFonts w:hint="eastAsia" w:ascii="宋体" w:hAnsi="宋体" w:eastAsia="宋体" w:cs="宋体"/>
              </w:rPr>
              <w:t>1.在满足业绩最低要求的基础上，每增加1座单跨16m及以上的加</w:t>
            </w:r>
            <w:r>
              <w:rPr>
                <w:rFonts w:hint="eastAsia" w:ascii="宋体" w:hAnsi="宋体" w:eastAsia="宋体" w:cs="宋体"/>
                <w:u w:val="single"/>
              </w:rPr>
              <w:t>2</w:t>
            </w:r>
            <w:r>
              <w:rPr>
                <w:rFonts w:hint="eastAsia" w:ascii="宋体" w:hAnsi="宋体" w:eastAsia="宋体" w:cs="宋体"/>
              </w:rPr>
              <w:t>分，最高加分不超过</w:t>
            </w:r>
            <w:r>
              <w:rPr>
                <w:rFonts w:hint="eastAsia" w:ascii="宋体" w:hAnsi="宋体" w:eastAsia="宋体" w:cs="宋体"/>
                <w:u w:val="single"/>
              </w:rPr>
              <w:t>2</w:t>
            </w:r>
            <w:r>
              <w:rPr>
                <w:rFonts w:hint="eastAsia" w:ascii="宋体" w:hAnsi="宋体" w:eastAsia="宋体" w:cs="宋体"/>
              </w:rPr>
              <w:t>分。同一座桥梁只计较大跨径分值，不累计。</w:t>
            </w:r>
          </w:p>
          <w:p w14:paraId="2BF0AA87">
            <w:pPr>
              <w:spacing w:line="360" w:lineRule="exact"/>
              <w:jc w:val="left"/>
              <w:rPr>
                <w:rFonts w:ascii="宋体" w:hAnsi="宋体" w:eastAsia="宋体" w:cs="宋体"/>
              </w:rPr>
            </w:pPr>
            <w:r>
              <w:rPr>
                <w:rFonts w:hint="eastAsia" w:ascii="宋体" w:hAnsi="宋体" w:eastAsia="宋体" w:cs="宋体"/>
              </w:rPr>
              <w:t>2.同一工程项目同时满足多项业绩要求条件的，可分别计。</w:t>
            </w:r>
          </w:p>
        </w:tc>
      </w:tr>
      <w:tr w14:paraId="28CF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988" w:type="dxa"/>
            <w:vMerge w:val="continue"/>
            <w:vAlign w:val="center"/>
          </w:tcPr>
          <w:p w14:paraId="15D63013">
            <w:pPr>
              <w:spacing w:line="360" w:lineRule="exact"/>
              <w:ind w:left="-59" w:leftChars="-28" w:right="-83"/>
              <w:jc w:val="center"/>
              <w:rPr>
                <w:rFonts w:ascii="宋体" w:hAnsi="宋体" w:eastAsia="宋体" w:cs="宋体"/>
                <w:szCs w:val="21"/>
              </w:rPr>
            </w:pPr>
          </w:p>
        </w:tc>
        <w:tc>
          <w:tcPr>
            <w:tcW w:w="618" w:type="dxa"/>
            <w:vMerge w:val="continue"/>
            <w:vAlign w:val="center"/>
          </w:tcPr>
          <w:p w14:paraId="15651974">
            <w:pPr>
              <w:spacing w:line="360" w:lineRule="exact"/>
              <w:ind w:left="-59" w:leftChars="-28" w:right="-63" w:rightChars="-30"/>
              <w:jc w:val="center"/>
              <w:rPr>
                <w:rFonts w:ascii="宋体" w:hAnsi="宋体" w:eastAsia="宋体" w:cs="宋体"/>
                <w:szCs w:val="21"/>
              </w:rPr>
            </w:pPr>
          </w:p>
        </w:tc>
        <w:tc>
          <w:tcPr>
            <w:tcW w:w="608" w:type="dxa"/>
            <w:vAlign w:val="center"/>
          </w:tcPr>
          <w:p w14:paraId="4EDCD524">
            <w:pPr>
              <w:spacing w:line="360" w:lineRule="exact"/>
              <w:ind w:left="-59" w:leftChars="-28" w:right="-63" w:rightChars="-30"/>
              <w:jc w:val="center"/>
              <w:rPr>
                <w:rFonts w:ascii="宋体" w:hAnsi="宋体" w:eastAsia="宋体" w:cs="宋体"/>
                <w:szCs w:val="21"/>
              </w:rPr>
            </w:pPr>
            <w:r>
              <w:rPr>
                <w:rFonts w:hint="eastAsia" w:ascii="宋体" w:hAnsi="宋体" w:eastAsia="宋体" w:cs="宋体"/>
                <w:szCs w:val="21"/>
              </w:rPr>
              <w:t>履约信誉</w:t>
            </w:r>
          </w:p>
        </w:tc>
        <w:tc>
          <w:tcPr>
            <w:tcW w:w="771" w:type="dxa"/>
            <w:vAlign w:val="center"/>
          </w:tcPr>
          <w:p w14:paraId="43E7959B">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u w:val="single"/>
              </w:rPr>
              <w:t>10</w:t>
            </w:r>
            <w:r>
              <w:rPr>
                <w:rFonts w:hint="eastAsia" w:ascii="宋体" w:hAnsi="宋体" w:eastAsia="宋体" w:cs="宋体"/>
                <w:szCs w:val="21"/>
              </w:rPr>
              <w:t>分</w:t>
            </w:r>
          </w:p>
        </w:tc>
        <w:tc>
          <w:tcPr>
            <w:tcW w:w="1204" w:type="dxa"/>
            <w:gridSpan w:val="2"/>
            <w:vAlign w:val="center"/>
          </w:tcPr>
          <w:p w14:paraId="1D9A2F7B">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rPr>
              <w:t>履约信誉</w:t>
            </w:r>
          </w:p>
        </w:tc>
        <w:tc>
          <w:tcPr>
            <w:tcW w:w="643" w:type="dxa"/>
            <w:vAlign w:val="center"/>
          </w:tcPr>
          <w:p w14:paraId="0F3ECBBE">
            <w:pPr>
              <w:spacing w:line="360" w:lineRule="exact"/>
              <w:ind w:left="-59" w:leftChars="-28" w:right="-71" w:rightChars="-34"/>
              <w:jc w:val="center"/>
              <w:rPr>
                <w:rFonts w:ascii="宋体" w:hAnsi="宋体" w:eastAsia="宋体" w:cs="宋体"/>
                <w:szCs w:val="21"/>
              </w:rPr>
            </w:pPr>
            <w:r>
              <w:rPr>
                <w:rFonts w:hint="eastAsia" w:ascii="宋体" w:hAnsi="宋体" w:eastAsia="宋体" w:cs="宋体"/>
                <w:szCs w:val="21"/>
                <w:u w:val="single"/>
              </w:rPr>
              <w:t>10</w:t>
            </w:r>
            <w:r>
              <w:rPr>
                <w:rFonts w:hint="eastAsia" w:ascii="宋体" w:hAnsi="宋体" w:eastAsia="宋体" w:cs="宋体"/>
                <w:szCs w:val="21"/>
              </w:rPr>
              <w:t>分</w:t>
            </w:r>
          </w:p>
        </w:tc>
        <w:tc>
          <w:tcPr>
            <w:tcW w:w="4425" w:type="dxa"/>
            <w:gridSpan w:val="2"/>
            <w:vAlign w:val="center"/>
          </w:tcPr>
          <w:p w14:paraId="697EA9E1">
            <w:pPr>
              <w:spacing w:line="360" w:lineRule="exact"/>
              <w:rPr>
                <w:rFonts w:ascii="宋体" w:hAnsi="宋体" w:eastAsia="宋体" w:cs="宋体"/>
                <w:szCs w:val="21"/>
              </w:rPr>
            </w:pPr>
            <w:r>
              <w:rPr>
                <w:rFonts w:hint="eastAsia" w:ascii="宋体" w:hAnsi="宋体" w:eastAsia="宋体" w:cs="宋体"/>
                <w:szCs w:val="21"/>
              </w:rPr>
              <w:t>1.信用等级分值（5分）</w:t>
            </w:r>
          </w:p>
          <w:p w14:paraId="3660D5FF">
            <w:pPr>
              <w:spacing w:line="360" w:lineRule="exact"/>
              <w:rPr>
                <w:rFonts w:ascii="宋体" w:hAnsi="宋体" w:eastAsia="宋体" w:cs="宋体"/>
                <w:szCs w:val="21"/>
              </w:rPr>
            </w:pPr>
            <w:r>
              <w:rPr>
                <w:rFonts w:hint="eastAsia" w:ascii="宋体" w:hAnsi="宋体" w:eastAsia="宋体" w:cs="宋体"/>
                <w:szCs w:val="21"/>
              </w:rPr>
              <w:t>AA、A、B、C级单位的信用等级分得分分别为 5.00、4.75、4.45、3.65分。</w:t>
            </w:r>
          </w:p>
          <w:p w14:paraId="3C9C24C1">
            <w:pPr>
              <w:spacing w:line="360" w:lineRule="exact"/>
              <w:rPr>
                <w:rFonts w:ascii="宋体" w:hAnsi="宋体" w:eastAsia="宋体" w:cs="宋体"/>
                <w:szCs w:val="21"/>
              </w:rPr>
            </w:pPr>
            <w:r>
              <w:rPr>
                <w:rFonts w:hint="eastAsia" w:ascii="宋体" w:hAnsi="宋体" w:eastAsia="宋体" w:cs="宋体"/>
                <w:szCs w:val="21"/>
              </w:rPr>
              <w:t>注：信用等级的确定原则遵循投标人须知前附表10.2款的规定。</w:t>
            </w:r>
          </w:p>
          <w:p w14:paraId="3DCD0735">
            <w:pPr>
              <w:spacing w:line="360" w:lineRule="exact"/>
              <w:rPr>
                <w:rFonts w:ascii="宋体" w:hAnsi="宋体" w:eastAsia="宋体" w:cs="宋体"/>
                <w:szCs w:val="21"/>
              </w:rPr>
            </w:pPr>
            <w:r>
              <w:rPr>
                <w:rFonts w:hint="eastAsia" w:ascii="宋体" w:hAnsi="宋体" w:eastAsia="宋体" w:cs="宋体"/>
                <w:szCs w:val="21"/>
              </w:rPr>
              <w:t>2.履约情况（5分）</w:t>
            </w:r>
          </w:p>
          <w:p w14:paraId="3D613C71">
            <w:pPr>
              <w:spacing w:line="360" w:lineRule="exact"/>
              <w:rPr>
                <w:rFonts w:ascii="宋体" w:hAnsi="宋体" w:eastAsia="宋体" w:cs="宋体"/>
                <w:szCs w:val="21"/>
              </w:rPr>
            </w:pPr>
            <w:r>
              <w:rPr>
                <w:rFonts w:hint="eastAsia" w:ascii="宋体" w:hAnsi="宋体" w:eastAsia="宋体" w:cs="宋体"/>
                <w:szCs w:val="21"/>
              </w:rPr>
              <w:t>若没出现下述情形得满分；</w:t>
            </w:r>
          </w:p>
          <w:p w14:paraId="41905732">
            <w:pPr>
              <w:spacing w:line="360" w:lineRule="exact"/>
              <w:rPr>
                <w:rFonts w:ascii="宋体" w:hAnsi="宋体" w:eastAsia="宋体" w:cs="宋体"/>
                <w:szCs w:val="21"/>
              </w:rPr>
            </w:pPr>
            <w:r>
              <w:rPr>
                <w:rFonts w:hint="eastAsia" w:ascii="宋体" w:hAnsi="宋体" w:eastAsia="宋体" w:cs="宋体"/>
                <w:szCs w:val="21"/>
              </w:rPr>
              <w:t>投标文件递交截止日前1年内，投标人因公路工程（含附属设施）质量、安全、履约或招标投标问题等原因被：</w:t>
            </w:r>
          </w:p>
          <w:p w14:paraId="3F459E4F">
            <w:pPr>
              <w:spacing w:line="360" w:lineRule="exact"/>
              <w:rPr>
                <w:rFonts w:ascii="宋体" w:hAnsi="宋体" w:eastAsia="宋体" w:cs="宋体"/>
                <w:szCs w:val="21"/>
              </w:rPr>
            </w:pPr>
            <w:r>
              <w:rPr>
                <w:rFonts w:hint="eastAsia" w:ascii="宋体" w:hAnsi="宋体" w:eastAsia="宋体" w:cs="宋体"/>
                <w:szCs w:val="21"/>
              </w:rPr>
              <w:t>（1）交通运输部行政处罚的，扣5分/次；</w:t>
            </w:r>
          </w:p>
          <w:p w14:paraId="075E1A01">
            <w:pPr>
              <w:spacing w:line="360" w:lineRule="exact"/>
              <w:rPr>
                <w:rFonts w:ascii="宋体" w:hAnsi="宋体" w:eastAsia="宋体" w:cs="宋体"/>
                <w:szCs w:val="21"/>
              </w:rPr>
            </w:pPr>
            <w:r>
              <w:rPr>
                <w:rFonts w:hint="eastAsia" w:ascii="宋体" w:hAnsi="宋体" w:eastAsia="宋体" w:cs="宋体"/>
                <w:szCs w:val="21"/>
              </w:rPr>
              <w:t>（2）广东省交通运输厅行政处罚的，扣3分/次；</w:t>
            </w:r>
          </w:p>
          <w:p w14:paraId="2ADD5431">
            <w:pPr>
              <w:spacing w:line="360" w:lineRule="exact"/>
              <w:rPr>
                <w:rFonts w:ascii="宋体" w:hAnsi="宋体" w:eastAsia="宋体" w:cs="宋体"/>
                <w:szCs w:val="21"/>
              </w:rPr>
            </w:pPr>
            <w:r>
              <w:rPr>
                <w:rFonts w:hint="eastAsia" w:ascii="宋体" w:hAnsi="宋体" w:eastAsia="宋体" w:cs="宋体"/>
                <w:szCs w:val="21"/>
              </w:rPr>
              <w:t>（3）项目所在地地级以上市交通运输局行政处罚的，扣1.5分/次。</w:t>
            </w:r>
          </w:p>
          <w:p w14:paraId="181EBEC9">
            <w:pPr>
              <w:spacing w:line="360" w:lineRule="exact"/>
              <w:rPr>
                <w:rFonts w:ascii="宋体" w:hAnsi="宋体" w:eastAsia="宋体" w:cs="宋体"/>
                <w:szCs w:val="21"/>
              </w:rPr>
            </w:pPr>
            <w:r>
              <w:rPr>
                <w:rFonts w:hint="eastAsia" w:ascii="宋体" w:hAnsi="宋体" w:eastAsia="宋体" w:cs="宋体"/>
                <w:szCs w:val="21"/>
              </w:rPr>
              <w:t>（4）广东省交通运输厅正式约谈的，扣0.1分/次。</w:t>
            </w:r>
          </w:p>
          <w:p w14:paraId="47C67536">
            <w:pPr>
              <w:spacing w:line="360" w:lineRule="exact"/>
              <w:rPr>
                <w:rFonts w:ascii="宋体" w:hAnsi="宋体" w:eastAsia="宋体" w:cs="宋体"/>
                <w:szCs w:val="21"/>
              </w:rPr>
            </w:pPr>
            <w:r>
              <w:rPr>
                <w:rFonts w:hint="eastAsia" w:ascii="宋体" w:hAnsi="宋体" w:eastAsia="宋体" w:cs="宋体"/>
                <w:szCs w:val="21"/>
              </w:rPr>
              <w:t>同一事项同时被多个部门通报批评只按最高的扣分计算1次。如果扣完本项分值，可以从总分中扣。</w:t>
            </w:r>
            <w:r>
              <w:rPr>
                <w:rFonts w:hint="eastAsia" w:ascii="宋体" w:hAnsi="宋体" w:eastAsia="宋体" w:cs="宋体"/>
                <w:b/>
                <w:szCs w:val="21"/>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tc>
      </w:tr>
    </w:tbl>
    <w:p w14:paraId="18943322">
      <w:pPr>
        <w:spacing w:line="360" w:lineRule="exact"/>
        <w:sectPr>
          <w:pgSz w:w="11906" w:h="16838"/>
          <w:pgMar w:top="1440" w:right="1080" w:bottom="1440" w:left="1080" w:header="851" w:footer="992" w:gutter="0"/>
          <w:cols w:space="425" w:num="1"/>
          <w:docGrid w:type="lines" w:linePitch="312" w:charSpace="0"/>
        </w:sectPr>
      </w:pPr>
    </w:p>
    <w:tbl>
      <w:tblPr>
        <w:tblStyle w:val="3"/>
        <w:tblW w:w="9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7867"/>
      </w:tblGrid>
      <w:tr w14:paraId="7E57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135" w:type="dxa"/>
            <w:gridSpan w:val="2"/>
            <w:noWrap/>
            <w:vAlign w:val="center"/>
          </w:tcPr>
          <w:p w14:paraId="3DB860BB">
            <w:pPr>
              <w:spacing w:line="400" w:lineRule="exact"/>
              <w:rPr>
                <w:rFonts w:ascii="宋体" w:hAnsi="宋体" w:eastAsia="宋体"/>
                <w:b/>
                <w:bCs/>
                <w:szCs w:val="21"/>
              </w:rPr>
            </w:pPr>
            <w:r>
              <w:rPr>
                <w:rFonts w:hint="eastAsia" w:ascii="宋体" w:hAnsi="宋体" w:eastAsia="宋体" w:cs="宋体"/>
                <w:b/>
                <w:bCs/>
                <w:szCs w:val="21"/>
              </w:rPr>
              <w:t>需要补充的其他内容</w:t>
            </w:r>
          </w:p>
        </w:tc>
      </w:tr>
      <w:tr w14:paraId="49A4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68" w:type="dxa"/>
            <w:noWrap/>
            <w:vAlign w:val="center"/>
          </w:tcPr>
          <w:p w14:paraId="0CBCC0BF">
            <w:pPr>
              <w:spacing w:line="400" w:lineRule="exact"/>
              <w:jc w:val="center"/>
              <w:rPr>
                <w:rFonts w:ascii="宋体" w:hAnsi="宋体" w:eastAsia="宋体"/>
                <w:szCs w:val="21"/>
              </w:rPr>
            </w:pPr>
            <w:r>
              <w:rPr>
                <w:rFonts w:hint="eastAsia" w:ascii="宋体" w:hAnsi="宋体" w:eastAsia="宋体" w:cs="宋体"/>
                <w:szCs w:val="21"/>
              </w:rPr>
              <w:t>条款号</w:t>
            </w:r>
          </w:p>
        </w:tc>
        <w:tc>
          <w:tcPr>
            <w:tcW w:w="7867" w:type="dxa"/>
            <w:noWrap/>
            <w:vAlign w:val="center"/>
          </w:tcPr>
          <w:p w14:paraId="2261DF3A">
            <w:pPr>
              <w:spacing w:line="400" w:lineRule="exact"/>
              <w:jc w:val="center"/>
              <w:rPr>
                <w:rFonts w:ascii="宋体" w:hAnsi="宋体" w:eastAsia="宋体"/>
                <w:szCs w:val="21"/>
              </w:rPr>
            </w:pPr>
            <w:r>
              <w:rPr>
                <w:rFonts w:hint="eastAsia" w:ascii="宋体" w:hAnsi="宋体" w:eastAsia="宋体" w:cs="宋体"/>
                <w:szCs w:val="21"/>
              </w:rPr>
              <w:t>补充或修改的内容</w:t>
            </w:r>
          </w:p>
        </w:tc>
      </w:tr>
      <w:tr w14:paraId="432D4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atLeast"/>
          <w:jc w:val="center"/>
        </w:trPr>
        <w:tc>
          <w:tcPr>
            <w:tcW w:w="1268" w:type="dxa"/>
            <w:noWrap/>
            <w:vAlign w:val="center"/>
          </w:tcPr>
          <w:p w14:paraId="1DDBE8EE">
            <w:pPr>
              <w:spacing w:line="400" w:lineRule="exact"/>
              <w:ind w:firstLine="147" w:firstLineChars="70"/>
              <w:jc w:val="center"/>
              <w:rPr>
                <w:rFonts w:ascii="宋体" w:hAnsi="宋体" w:eastAsia="宋体"/>
                <w:szCs w:val="21"/>
              </w:rPr>
            </w:pPr>
            <w:r>
              <w:rPr>
                <w:rFonts w:ascii="宋体" w:hAnsi="宋体" w:eastAsia="宋体"/>
                <w:szCs w:val="21"/>
              </w:rPr>
              <w:t>1</w:t>
            </w:r>
          </w:p>
        </w:tc>
        <w:tc>
          <w:tcPr>
            <w:tcW w:w="7867" w:type="dxa"/>
            <w:noWrap/>
          </w:tcPr>
          <w:p w14:paraId="60BE0D14">
            <w:pPr>
              <w:spacing w:line="400" w:lineRule="exact"/>
              <w:ind w:firstLine="420" w:firstLineChars="200"/>
              <w:jc w:val="left"/>
              <w:rPr>
                <w:rFonts w:ascii="宋体" w:hAnsi="宋体" w:eastAsia="宋体"/>
                <w:szCs w:val="21"/>
              </w:rPr>
            </w:pPr>
            <w:r>
              <w:rPr>
                <w:rFonts w:hint="eastAsia" w:ascii="宋体" w:hAnsi="宋体" w:eastAsia="宋体" w:cs="宋体"/>
                <w:szCs w:val="21"/>
              </w:rPr>
              <w:t>1.1评标方法</w:t>
            </w:r>
          </w:p>
          <w:p w14:paraId="1EBE23CB">
            <w:pPr>
              <w:spacing w:line="400" w:lineRule="exact"/>
              <w:ind w:firstLine="420" w:firstLineChars="200"/>
              <w:jc w:val="left"/>
              <w:rPr>
                <w:rFonts w:ascii="宋体" w:hAnsi="宋体" w:eastAsia="宋体"/>
                <w:szCs w:val="21"/>
              </w:rPr>
            </w:pPr>
            <w:r>
              <w:rPr>
                <w:rFonts w:hint="eastAsia" w:ascii="宋体" w:hAnsi="宋体" w:eastAsia="宋体" w:cs="宋体"/>
                <w:szCs w:val="21"/>
              </w:rPr>
              <w:t>本次评标采用</w:t>
            </w:r>
            <w:r>
              <w:rPr>
                <w:rFonts w:hint="eastAsia" w:ascii="宋体" w:hAnsi="宋体" w:eastAsia="宋体" w:cs="宋体"/>
                <w:b/>
                <w:bCs/>
                <w:szCs w:val="21"/>
              </w:rPr>
              <w:t>双信封的综合评估法</w:t>
            </w:r>
            <w:r>
              <w:rPr>
                <w:rFonts w:hint="eastAsia" w:ascii="宋体" w:hAnsi="宋体" w:eastAsia="宋体" w:cs="宋体"/>
                <w:szCs w:val="21"/>
              </w:rPr>
              <w:t>。评标委员会对满足招标文件实质性要求的投标文件，按照本章第</w:t>
            </w:r>
            <w:r>
              <w:rPr>
                <w:rFonts w:hint="eastAsia" w:ascii="宋体" w:hAnsi="宋体" w:eastAsia="宋体"/>
                <w:szCs w:val="21"/>
              </w:rPr>
              <w:t>2.2</w:t>
            </w:r>
            <w:r>
              <w:rPr>
                <w:rFonts w:hint="eastAsia" w:ascii="宋体" w:hAnsi="宋体" w:eastAsia="宋体" w:cs="宋体"/>
                <w:szCs w:val="21"/>
              </w:rPr>
              <w:t>款规定的评分标准进行打分，按照得分由高到低排序，对排名在招标文件规定数量前5名</w:t>
            </w:r>
            <w:r>
              <w:rPr>
                <w:rFonts w:hint="eastAsia" w:ascii="宋体" w:hAnsi="宋体" w:eastAsia="宋体" w:cs="宋体"/>
                <w:b/>
                <w:bCs/>
                <w:szCs w:val="21"/>
              </w:rPr>
              <w:t>（不少于3名但不足5名时，按全部实际数量）</w:t>
            </w:r>
            <w:r>
              <w:rPr>
                <w:rFonts w:hint="eastAsia" w:ascii="宋体" w:hAnsi="宋体" w:eastAsia="宋体" w:cs="宋体"/>
                <w:szCs w:val="21"/>
              </w:rPr>
              <w:t>的投标人的报价文件进行评审，按得分由高到低顺序推荐中标候选人，</w:t>
            </w:r>
            <w:r>
              <w:rPr>
                <w:rFonts w:hint="eastAsia" w:ascii="宋体" w:hAnsi="宋体" w:eastAsia="宋体" w:cs="宋体"/>
                <w:b/>
                <w:bCs/>
                <w:szCs w:val="21"/>
              </w:rPr>
              <w:t>但投标报价低于其成本的除外</w:t>
            </w:r>
            <w:r>
              <w:rPr>
                <w:rFonts w:hint="eastAsia" w:ascii="宋体" w:hAnsi="宋体" w:eastAsia="宋体" w:cs="宋体"/>
                <w:szCs w:val="21"/>
              </w:rPr>
              <w:t>。综合评分相等时，评标委员会应按照评标办法前附表规定的优先次序推荐中标候选人或确定中标人。</w:t>
            </w:r>
          </w:p>
          <w:p w14:paraId="4AEEF13A">
            <w:pPr>
              <w:spacing w:line="400" w:lineRule="exact"/>
              <w:ind w:firstLine="420" w:firstLineChars="200"/>
              <w:jc w:val="left"/>
              <w:rPr>
                <w:rFonts w:ascii="宋体" w:hAnsi="宋体" w:eastAsia="宋体"/>
                <w:szCs w:val="21"/>
              </w:rPr>
            </w:pPr>
            <w:r>
              <w:rPr>
                <w:rFonts w:hint="eastAsia" w:ascii="宋体" w:hAnsi="宋体" w:eastAsia="宋体" w:cs="宋体"/>
                <w:szCs w:val="21"/>
              </w:rPr>
              <w:t>1.2评标组织</w:t>
            </w:r>
          </w:p>
          <w:p w14:paraId="4CF01086">
            <w:pPr>
              <w:spacing w:line="400" w:lineRule="exact"/>
              <w:ind w:firstLine="420" w:firstLineChars="200"/>
              <w:jc w:val="left"/>
              <w:rPr>
                <w:rFonts w:ascii="宋体" w:hAnsi="宋体" w:eastAsia="宋体"/>
                <w:szCs w:val="21"/>
              </w:rPr>
            </w:pPr>
            <w:r>
              <w:rPr>
                <w:rFonts w:hint="eastAsia" w:ascii="宋体" w:hAnsi="宋体" w:eastAsia="宋体" w:cs="宋体"/>
                <w:szCs w:val="21"/>
              </w:rPr>
              <w:t>1.2.1协助工作组</w:t>
            </w:r>
          </w:p>
          <w:p w14:paraId="2CD5D84A">
            <w:pPr>
              <w:spacing w:line="400" w:lineRule="exact"/>
              <w:ind w:firstLine="420" w:firstLineChars="200"/>
              <w:jc w:val="left"/>
              <w:rPr>
                <w:rFonts w:ascii="宋体" w:hAnsi="宋体" w:eastAsia="宋体"/>
                <w:szCs w:val="21"/>
              </w:rPr>
            </w:pPr>
            <w:r>
              <w:rPr>
                <w:rFonts w:hint="eastAsia" w:ascii="宋体" w:hAnsi="宋体" w:eastAsia="宋体" w:cs="宋体"/>
                <w:szCs w:val="21"/>
              </w:rPr>
              <w:t>招标人可在评标工作开始前成立协助工作组，选派熟悉招标工作、政治素质高的人员组成，协助评标委员会工作。协助工作组人员的具体数量由招标人视评标工作量确定。</w:t>
            </w:r>
          </w:p>
          <w:p w14:paraId="3313CCC6">
            <w:pPr>
              <w:spacing w:line="400" w:lineRule="exact"/>
              <w:ind w:firstLine="420" w:firstLineChars="200"/>
              <w:jc w:val="left"/>
              <w:rPr>
                <w:rFonts w:ascii="宋体" w:hAnsi="宋体" w:eastAsia="宋体"/>
                <w:szCs w:val="21"/>
              </w:rPr>
            </w:pPr>
            <w:r>
              <w:rPr>
                <w:rFonts w:hint="eastAsia" w:ascii="宋体" w:hAnsi="宋体" w:eastAsia="宋体" w:cs="宋体"/>
                <w:szCs w:val="21"/>
              </w:rPr>
              <w:t>招标人可以协助评标委员会开展下列工作并提供相关信息：</w:t>
            </w:r>
          </w:p>
          <w:p w14:paraId="7568DC62">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）根据招标文件，编制评标使用的相应表格；</w:t>
            </w:r>
          </w:p>
          <w:p w14:paraId="1C83DC57">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2</w:t>
            </w:r>
            <w:r>
              <w:rPr>
                <w:rFonts w:hint="eastAsia" w:ascii="宋体" w:hAnsi="宋体" w:eastAsia="宋体" w:cs="宋体"/>
                <w:szCs w:val="21"/>
              </w:rPr>
              <w:t>）对投标报价进行算术性校核；</w:t>
            </w:r>
          </w:p>
          <w:p w14:paraId="4066AB3D">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3</w:t>
            </w:r>
            <w:r>
              <w:rPr>
                <w:rFonts w:hint="eastAsia" w:ascii="宋体" w:hAnsi="宋体" w:eastAsia="宋体" w:cs="宋体"/>
                <w:szCs w:val="21"/>
              </w:rPr>
              <w:t>）以评标标准和方法为依据，列出投标文件相对于招标文件的所有偏差，并进行归类汇总；</w:t>
            </w:r>
          </w:p>
          <w:p w14:paraId="7BDD5F89">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4</w:t>
            </w:r>
            <w:r>
              <w:rPr>
                <w:rFonts w:hint="eastAsia" w:ascii="宋体" w:hAnsi="宋体" w:eastAsia="宋体" w:cs="宋体"/>
                <w:szCs w:val="21"/>
              </w:rPr>
              <w:t>）查询</w:t>
            </w:r>
            <w:r>
              <w:rPr>
                <w:rFonts w:hint="eastAsia" w:ascii="宋体" w:hAnsi="宋体" w:eastAsia="宋体" w:cs="宋体"/>
                <w:b/>
                <w:bCs/>
                <w:snapToGrid w:val="0"/>
                <w:color w:val="000000"/>
                <w:kern w:val="0"/>
                <w:szCs w:val="21"/>
                <w:lang w:bidi="ar"/>
              </w:rPr>
              <w:t>全国</w:t>
            </w:r>
            <w:r>
              <w:rPr>
                <w:rFonts w:hint="eastAsia" w:ascii="宋体" w:hAnsi="宋体" w:eastAsia="宋体" w:cs="宋体"/>
                <w:b/>
                <w:bCs/>
                <w:szCs w:val="21"/>
              </w:rPr>
              <w:t>公路建设市场监督管理系统</w:t>
            </w:r>
            <w:r>
              <w:rPr>
                <w:rFonts w:hint="eastAsia" w:ascii="宋体" w:hAnsi="宋体" w:eastAsia="宋体" w:cs="宋体"/>
                <w:szCs w:val="21"/>
              </w:rPr>
              <w:t>，对投标人的资质、业绩、主要人员资历和目前在岗情况、信用等级进行核实（如有）。</w:t>
            </w:r>
          </w:p>
          <w:p w14:paraId="6B0C51F6">
            <w:pPr>
              <w:spacing w:line="400" w:lineRule="exact"/>
              <w:ind w:firstLine="420" w:firstLineChars="200"/>
              <w:jc w:val="left"/>
              <w:rPr>
                <w:rFonts w:ascii="宋体" w:hAnsi="宋体" w:eastAsia="宋体"/>
                <w:szCs w:val="21"/>
              </w:rPr>
            </w:pPr>
            <w:r>
              <w:rPr>
                <w:rFonts w:hint="eastAsia" w:ascii="宋体" w:hAnsi="宋体" w:eastAsia="宋体" w:cs="宋体"/>
                <w:szCs w:val="21"/>
              </w:rPr>
              <w:t>招标人不得对投标文件作出任何评价，不得故意遗漏或者片面摘录，不得在评标委员会对所有偏差定性之前透露存有偏差的投标人名称。</w:t>
            </w:r>
          </w:p>
          <w:p w14:paraId="56E55C38">
            <w:pPr>
              <w:spacing w:line="400" w:lineRule="exact"/>
              <w:ind w:firstLine="420" w:firstLineChars="200"/>
              <w:jc w:val="left"/>
              <w:rPr>
                <w:rFonts w:ascii="宋体" w:hAnsi="宋体" w:eastAsia="宋体"/>
                <w:szCs w:val="21"/>
              </w:rPr>
            </w:pPr>
            <w:r>
              <w:rPr>
                <w:rFonts w:hint="eastAsia" w:ascii="宋体" w:hAnsi="宋体" w:eastAsia="宋体" w:cs="宋体"/>
                <w:szCs w:val="21"/>
              </w:rPr>
              <w:t>1.2.2评标委员会</w:t>
            </w:r>
          </w:p>
          <w:p w14:paraId="09F552D3">
            <w:pPr>
              <w:spacing w:line="400" w:lineRule="exact"/>
              <w:ind w:firstLine="420" w:firstLineChars="200"/>
              <w:jc w:val="left"/>
              <w:rPr>
                <w:rFonts w:ascii="宋体" w:hAnsi="宋体" w:eastAsia="宋体"/>
                <w:szCs w:val="21"/>
              </w:rPr>
            </w:pPr>
            <w:r>
              <w:rPr>
                <w:rFonts w:hint="eastAsia" w:ascii="宋体" w:hAnsi="宋体" w:eastAsia="宋体" w:cs="宋体"/>
                <w:szCs w:val="21"/>
              </w:rPr>
              <w:t>评标委员会由招标人按国家、广东省等的有关规定依法组建。评标委员人数参见本招标文件</w:t>
            </w:r>
            <w:r>
              <w:rPr>
                <w:rFonts w:ascii="宋体" w:hAnsi="宋体" w:eastAsia="宋体"/>
                <w:szCs w:val="21"/>
              </w:rPr>
              <w:t>“</w:t>
            </w:r>
            <w:r>
              <w:rPr>
                <w:rFonts w:hint="eastAsia" w:ascii="宋体" w:hAnsi="宋体" w:eastAsia="宋体" w:cs="宋体"/>
                <w:szCs w:val="21"/>
              </w:rPr>
              <w:t>投标人须知前附表第</w:t>
            </w:r>
            <w:r>
              <w:rPr>
                <w:rFonts w:hint="eastAsia" w:ascii="宋体" w:hAnsi="宋体" w:eastAsia="宋体"/>
                <w:szCs w:val="21"/>
              </w:rPr>
              <w:t>6.1.1</w:t>
            </w:r>
            <w:r>
              <w:rPr>
                <w:rFonts w:hint="eastAsia" w:ascii="宋体" w:hAnsi="宋体" w:eastAsia="宋体" w:cs="宋体"/>
                <w:szCs w:val="21"/>
              </w:rPr>
              <w:t>。评标委员会的主要工作内容包括：</w:t>
            </w:r>
          </w:p>
          <w:p w14:paraId="1F612C8E">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）评标委员会开始评标工作之前，首先听取招标人、协助工作组关于工程情况和辅助工作的说明，并认真研读招标文件，获取评标所需的重要信息和数据；</w:t>
            </w:r>
          </w:p>
          <w:p w14:paraId="65EE33E2">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2</w:t>
            </w:r>
            <w:r>
              <w:rPr>
                <w:rFonts w:hint="eastAsia" w:ascii="宋体" w:hAnsi="宋体" w:eastAsia="宋体" w:cs="宋体"/>
                <w:szCs w:val="21"/>
              </w:rPr>
              <w:t>）对协助工作组提供的评标工作用表和评标内容进行核查。</w:t>
            </w:r>
          </w:p>
          <w:p w14:paraId="33AB3FC4">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3</w:t>
            </w:r>
            <w:r>
              <w:rPr>
                <w:rFonts w:hint="eastAsia" w:ascii="宋体" w:hAnsi="宋体" w:eastAsia="宋体" w:cs="宋体"/>
                <w:szCs w:val="21"/>
              </w:rPr>
              <w:t>）按照以下</w:t>
            </w:r>
            <w:r>
              <w:rPr>
                <w:rFonts w:hint="eastAsia" w:ascii="宋体" w:hAnsi="宋体" w:eastAsia="宋体"/>
                <w:szCs w:val="21"/>
              </w:rPr>
              <w:t>1.3</w:t>
            </w:r>
            <w:r>
              <w:rPr>
                <w:rFonts w:hint="eastAsia" w:ascii="宋体" w:hAnsi="宋体" w:eastAsia="宋体" w:cs="宋体"/>
                <w:szCs w:val="21"/>
              </w:rPr>
              <w:t>款程序进行各项评审工作。</w:t>
            </w:r>
          </w:p>
          <w:p w14:paraId="62B26A15">
            <w:pPr>
              <w:spacing w:line="400" w:lineRule="exact"/>
              <w:ind w:firstLine="420" w:firstLineChars="200"/>
              <w:jc w:val="left"/>
              <w:rPr>
                <w:rFonts w:ascii="宋体" w:hAnsi="宋体" w:eastAsia="宋体"/>
                <w:szCs w:val="21"/>
              </w:rPr>
            </w:pPr>
            <w:r>
              <w:rPr>
                <w:rFonts w:hint="eastAsia" w:ascii="宋体" w:hAnsi="宋体" w:eastAsia="宋体" w:cs="宋体"/>
                <w:szCs w:val="21"/>
              </w:rPr>
              <w:t>1.3评审工作程序</w:t>
            </w:r>
          </w:p>
          <w:p w14:paraId="527E7BF2">
            <w:pPr>
              <w:spacing w:line="400" w:lineRule="exact"/>
              <w:ind w:firstLine="420" w:firstLineChars="200"/>
              <w:jc w:val="left"/>
              <w:rPr>
                <w:rFonts w:ascii="宋体" w:hAnsi="宋体" w:eastAsia="宋体"/>
                <w:szCs w:val="21"/>
              </w:rPr>
            </w:pPr>
            <w:r>
              <w:rPr>
                <w:rFonts w:hint="eastAsia" w:ascii="宋体" w:hAnsi="宋体" w:eastAsia="宋体" w:cs="宋体"/>
                <w:szCs w:val="21"/>
              </w:rPr>
              <w:t>（一）第一信封（商务及技术文件）：</w:t>
            </w:r>
          </w:p>
          <w:p w14:paraId="2C9FEB3D">
            <w:pPr>
              <w:spacing w:line="400" w:lineRule="exact"/>
              <w:ind w:firstLine="420" w:firstLineChars="200"/>
              <w:jc w:val="left"/>
              <w:rPr>
                <w:rFonts w:ascii="宋体" w:hAnsi="宋体" w:eastAsia="宋体"/>
                <w:szCs w:val="21"/>
              </w:rPr>
            </w:pPr>
            <w:r>
              <w:rPr>
                <w:rFonts w:hint="eastAsia" w:ascii="宋体" w:hAnsi="宋体" w:eastAsia="宋体"/>
                <w:szCs w:val="21"/>
              </w:rPr>
              <w:t>l</w:t>
            </w:r>
            <w:r>
              <w:rPr>
                <w:rFonts w:hint="eastAsia" w:ascii="宋体" w:hAnsi="宋体" w:eastAsia="宋体" w:cs="宋体"/>
                <w:szCs w:val="21"/>
              </w:rPr>
              <w:t>、初步评审：包括形式评审与响应性评审、资格评审；</w:t>
            </w:r>
          </w:p>
          <w:p w14:paraId="2D5FD8A4">
            <w:pPr>
              <w:spacing w:line="400" w:lineRule="exact"/>
              <w:ind w:firstLine="420" w:firstLineChars="200"/>
              <w:jc w:val="left"/>
              <w:rPr>
                <w:rFonts w:ascii="宋体" w:hAnsi="宋体" w:eastAsia="宋体"/>
                <w:szCs w:val="21"/>
              </w:rPr>
            </w:pPr>
            <w:r>
              <w:rPr>
                <w:rFonts w:hint="eastAsia" w:ascii="宋体" w:hAnsi="宋体" w:eastAsia="宋体"/>
                <w:szCs w:val="21"/>
              </w:rPr>
              <w:t>2</w:t>
            </w:r>
            <w:r>
              <w:rPr>
                <w:rFonts w:hint="eastAsia" w:ascii="宋体" w:hAnsi="宋体" w:eastAsia="宋体" w:cs="宋体"/>
                <w:szCs w:val="21"/>
              </w:rPr>
              <w:t>、详细评审（评审打分）：评标委员会首先对通过初步评审的投标文件第一个信封（商务及技术文件）进行详细评审，对投标人的监理实施方案、主要人员、其他因素等分别评审打分。并按照综合得分由高到低排序，排名在招标文件规定数量前5名</w:t>
            </w:r>
            <w:r>
              <w:rPr>
                <w:rFonts w:hint="eastAsia" w:ascii="宋体" w:hAnsi="宋体" w:eastAsia="宋体" w:cs="宋体"/>
                <w:b/>
                <w:bCs/>
                <w:szCs w:val="21"/>
              </w:rPr>
              <w:t>（不少于3名但不足5名的，按全部实际数量）</w:t>
            </w:r>
            <w:r>
              <w:rPr>
                <w:rFonts w:hint="eastAsia" w:ascii="宋体" w:hAnsi="宋体" w:eastAsia="宋体" w:cs="宋体"/>
                <w:szCs w:val="21"/>
              </w:rPr>
              <w:t>的投标人，其投标文件第一个信封（商务及技术文件）通过详细评审。</w:t>
            </w:r>
          </w:p>
          <w:p w14:paraId="2A343947">
            <w:pPr>
              <w:spacing w:line="400" w:lineRule="exact"/>
              <w:ind w:firstLine="420" w:firstLineChars="200"/>
              <w:jc w:val="left"/>
              <w:rPr>
                <w:rFonts w:ascii="宋体" w:hAnsi="宋体" w:eastAsia="宋体"/>
                <w:szCs w:val="21"/>
              </w:rPr>
            </w:pPr>
            <w:r>
              <w:rPr>
                <w:rFonts w:hint="eastAsia" w:ascii="宋体" w:hAnsi="宋体" w:eastAsia="宋体" w:cs="宋体"/>
                <w:szCs w:val="21"/>
              </w:rPr>
              <w:t>（二）第二信封（报价文件）：</w:t>
            </w:r>
          </w:p>
          <w:p w14:paraId="745E7AF6">
            <w:pPr>
              <w:spacing w:line="400" w:lineRule="exact"/>
              <w:ind w:firstLine="420" w:firstLineChars="200"/>
              <w:jc w:val="left"/>
              <w:rPr>
                <w:rFonts w:ascii="宋体" w:hAnsi="宋体" w:eastAsia="宋体"/>
                <w:szCs w:val="21"/>
              </w:rPr>
            </w:pPr>
            <w:r>
              <w:rPr>
                <w:rFonts w:hint="eastAsia" w:ascii="宋体" w:hAnsi="宋体" w:eastAsia="宋体"/>
                <w:szCs w:val="21"/>
              </w:rPr>
              <w:t>1</w:t>
            </w:r>
            <w:r>
              <w:rPr>
                <w:rFonts w:hint="eastAsia" w:ascii="宋体" w:hAnsi="宋体" w:eastAsia="宋体" w:cs="宋体"/>
                <w:szCs w:val="21"/>
              </w:rPr>
              <w:t>、初步评审：</w:t>
            </w:r>
          </w:p>
          <w:p w14:paraId="3AE8F9AE">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1</w:t>
            </w:r>
            <w:r>
              <w:rPr>
                <w:rFonts w:hint="eastAsia" w:ascii="宋体" w:hAnsi="宋体" w:eastAsia="宋体" w:cs="宋体"/>
                <w:szCs w:val="21"/>
              </w:rPr>
              <w:t>）只有投标文件第一个信封通过详细评审的投标人才能继续参加第二信封报价文件的形式评审与响应性评审；</w:t>
            </w:r>
          </w:p>
          <w:p w14:paraId="0128B4E1">
            <w:pPr>
              <w:spacing w:line="400" w:lineRule="exact"/>
              <w:ind w:firstLine="420" w:firstLineChars="200"/>
              <w:jc w:val="left"/>
              <w:rPr>
                <w:rFonts w:ascii="宋体" w:hAnsi="宋体" w:eastAsia="宋体"/>
                <w:szCs w:val="21"/>
              </w:rPr>
            </w:pPr>
            <w:r>
              <w:rPr>
                <w:rFonts w:hint="eastAsia" w:ascii="宋体" w:hAnsi="宋体" w:eastAsia="宋体" w:cs="宋体"/>
                <w:szCs w:val="21"/>
              </w:rPr>
              <w:t>（</w:t>
            </w:r>
            <w:r>
              <w:rPr>
                <w:rFonts w:hint="eastAsia" w:ascii="宋体" w:hAnsi="宋体" w:eastAsia="宋体"/>
                <w:szCs w:val="21"/>
              </w:rPr>
              <w:t>2</w:t>
            </w:r>
            <w:r>
              <w:rPr>
                <w:rFonts w:hint="eastAsia" w:ascii="宋体" w:hAnsi="宋体" w:eastAsia="宋体" w:cs="宋体"/>
                <w:szCs w:val="21"/>
              </w:rPr>
              <w:t>）报价算术性修正；</w:t>
            </w:r>
          </w:p>
          <w:p w14:paraId="26832E08">
            <w:pPr>
              <w:spacing w:line="400" w:lineRule="exact"/>
              <w:ind w:firstLine="420" w:firstLineChars="200"/>
              <w:jc w:val="left"/>
              <w:rPr>
                <w:rFonts w:ascii="宋体" w:hAnsi="宋体" w:eastAsia="宋体"/>
                <w:szCs w:val="21"/>
              </w:rPr>
            </w:pPr>
            <w:r>
              <w:rPr>
                <w:rFonts w:hint="eastAsia" w:ascii="宋体" w:hAnsi="宋体" w:eastAsia="宋体"/>
                <w:szCs w:val="21"/>
              </w:rPr>
              <w:t>2</w:t>
            </w:r>
            <w:r>
              <w:rPr>
                <w:rFonts w:hint="eastAsia" w:ascii="宋体" w:hAnsi="宋体" w:eastAsia="宋体" w:cs="宋体"/>
                <w:szCs w:val="21"/>
              </w:rPr>
              <w:t>、详细评审：计算评标基准价、评标价得分及综合得分；</w:t>
            </w:r>
          </w:p>
          <w:p w14:paraId="014C715C">
            <w:pPr>
              <w:spacing w:line="400" w:lineRule="exact"/>
              <w:ind w:firstLine="420" w:firstLineChars="200"/>
              <w:jc w:val="left"/>
              <w:rPr>
                <w:rFonts w:ascii="宋体" w:hAnsi="宋体" w:eastAsia="宋体"/>
                <w:szCs w:val="21"/>
              </w:rPr>
            </w:pPr>
            <w:r>
              <w:rPr>
                <w:rFonts w:hint="eastAsia" w:ascii="宋体" w:hAnsi="宋体" w:eastAsia="宋体" w:cs="宋体"/>
                <w:szCs w:val="21"/>
              </w:rPr>
              <w:t>（三）投标文件相关信息的核查。</w:t>
            </w:r>
          </w:p>
          <w:p w14:paraId="404E370B">
            <w:pPr>
              <w:spacing w:line="400" w:lineRule="exact"/>
              <w:ind w:firstLine="420" w:firstLineChars="200"/>
              <w:jc w:val="left"/>
              <w:rPr>
                <w:rFonts w:ascii="宋体" w:hAnsi="宋体" w:eastAsia="宋体"/>
                <w:szCs w:val="21"/>
              </w:rPr>
            </w:pPr>
            <w:r>
              <w:rPr>
                <w:rFonts w:hint="eastAsia" w:ascii="宋体" w:hAnsi="宋体" w:eastAsia="宋体"/>
                <w:szCs w:val="21"/>
              </w:rPr>
              <w:t>（四）</w:t>
            </w:r>
            <w:r>
              <w:rPr>
                <w:rFonts w:hint="eastAsia" w:ascii="宋体" w:hAnsi="宋体" w:eastAsia="宋体" w:cs="宋体"/>
                <w:szCs w:val="21"/>
              </w:rPr>
              <w:t>投标文件的澄清和说明</w:t>
            </w:r>
            <w:r>
              <w:rPr>
                <w:rFonts w:hint="eastAsia" w:ascii="宋体" w:hAnsi="宋体" w:eastAsia="宋体"/>
                <w:szCs w:val="21"/>
              </w:rPr>
              <w:t>(</w:t>
            </w:r>
            <w:r>
              <w:rPr>
                <w:rFonts w:hint="eastAsia" w:ascii="宋体" w:hAnsi="宋体" w:eastAsia="宋体" w:cs="宋体"/>
                <w:szCs w:val="21"/>
              </w:rPr>
              <w:t>如有</w:t>
            </w:r>
            <w:r>
              <w:rPr>
                <w:rFonts w:hint="eastAsia" w:ascii="宋体" w:hAnsi="宋体" w:eastAsia="宋体"/>
                <w:szCs w:val="21"/>
              </w:rPr>
              <w:t>)</w:t>
            </w:r>
          </w:p>
          <w:p w14:paraId="593135D4">
            <w:pPr>
              <w:spacing w:line="400" w:lineRule="exact"/>
              <w:ind w:firstLine="420" w:firstLineChars="200"/>
              <w:jc w:val="left"/>
              <w:rPr>
                <w:rFonts w:ascii="宋体" w:hAnsi="宋体" w:eastAsia="宋体"/>
                <w:szCs w:val="21"/>
              </w:rPr>
            </w:pPr>
            <w:r>
              <w:rPr>
                <w:rFonts w:hint="eastAsia" w:ascii="宋体" w:hAnsi="宋体" w:eastAsia="宋体" w:cs="宋体"/>
                <w:szCs w:val="21"/>
              </w:rPr>
              <w:t>（五）按评标办法规定按照第二个信封的评标价由低到高的顺序推荐中标候选人，编写评标报告。</w:t>
            </w:r>
          </w:p>
        </w:tc>
      </w:tr>
      <w:tr w14:paraId="465B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jc w:val="center"/>
        </w:trPr>
        <w:tc>
          <w:tcPr>
            <w:tcW w:w="1268" w:type="dxa"/>
            <w:noWrap/>
            <w:vAlign w:val="center"/>
          </w:tcPr>
          <w:p w14:paraId="632D958E">
            <w:pPr>
              <w:spacing w:line="400" w:lineRule="exact"/>
              <w:ind w:firstLine="147" w:firstLineChars="70"/>
              <w:jc w:val="center"/>
              <w:rPr>
                <w:rFonts w:ascii="宋体" w:hAnsi="宋体" w:eastAsia="宋体"/>
                <w:szCs w:val="21"/>
              </w:rPr>
            </w:pPr>
            <w:r>
              <w:rPr>
                <w:rFonts w:ascii="宋体" w:hAnsi="宋体"/>
              </w:rPr>
              <w:t>3.1.1</w:t>
            </w:r>
          </w:p>
        </w:tc>
        <w:tc>
          <w:tcPr>
            <w:tcW w:w="7867" w:type="dxa"/>
            <w:noWrap/>
            <w:vAlign w:val="center"/>
          </w:tcPr>
          <w:p w14:paraId="34911DD6">
            <w:pPr>
              <w:spacing w:line="400" w:lineRule="exact"/>
              <w:ind w:firstLine="422" w:firstLineChars="200"/>
              <w:jc w:val="left"/>
              <w:rPr>
                <w:rFonts w:ascii="宋体" w:hAnsi="宋体" w:eastAsia="宋体" w:cs="宋体"/>
                <w:b/>
                <w:bCs/>
                <w:szCs w:val="21"/>
              </w:rPr>
            </w:pPr>
            <w:r>
              <w:rPr>
                <w:rFonts w:hint="eastAsia" w:ascii="宋体" w:hAnsi="宋体" w:eastAsia="宋体" w:cs="宋体"/>
                <w:b/>
                <w:bCs/>
                <w:szCs w:val="21"/>
              </w:rPr>
              <w:t>将评标办法原文第3.1.1项修改如下：</w:t>
            </w:r>
          </w:p>
          <w:p w14:paraId="7E0A426A">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3.1.1评标委员会依据本章第2.1款规定的标准对投标文件第一个信封（商务及技术文件）进行初步评审。有一项不符合评审标准的，评标委员会应否决其投标。</w:t>
            </w:r>
          </w:p>
        </w:tc>
      </w:tr>
      <w:tr w14:paraId="3A381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jc w:val="center"/>
        </w:trPr>
        <w:tc>
          <w:tcPr>
            <w:tcW w:w="1268" w:type="dxa"/>
            <w:noWrap/>
            <w:vAlign w:val="center"/>
          </w:tcPr>
          <w:p w14:paraId="6F50E0A2">
            <w:pPr>
              <w:spacing w:line="400" w:lineRule="exact"/>
              <w:ind w:firstLine="147" w:firstLineChars="70"/>
              <w:jc w:val="center"/>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.2</w:t>
            </w:r>
          </w:p>
        </w:tc>
        <w:tc>
          <w:tcPr>
            <w:tcW w:w="7867" w:type="dxa"/>
            <w:noWrap/>
          </w:tcPr>
          <w:p w14:paraId="135B2D20">
            <w:pPr>
              <w:spacing w:line="400" w:lineRule="exact"/>
              <w:ind w:firstLine="420" w:firstLineChars="200"/>
              <w:jc w:val="left"/>
              <w:rPr>
                <w:rFonts w:ascii="宋体" w:hAnsi="宋体" w:eastAsia="宋体"/>
                <w:szCs w:val="21"/>
              </w:rPr>
            </w:pPr>
            <w:r>
              <w:rPr>
                <w:rFonts w:hint="eastAsia" w:ascii="宋体" w:hAnsi="宋体" w:eastAsia="宋体" w:cs="宋体"/>
                <w:szCs w:val="21"/>
              </w:rPr>
              <w:t>原</w:t>
            </w:r>
            <w:r>
              <w:rPr>
                <w:rFonts w:hint="eastAsia" w:ascii="宋体" w:hAnsi="宋体" w:eastAsia="宋体"/>
                <w:szCs w:val="21"/>
              </w:rPr>
              <w:t>3.2.2</w:t>
            </w:r>
            <w:r>
              <w:rPr>
                <w:rFonts w:hint="eastAsia" w:ascii="宋体" w:hAnsi="宋体" w:eastAsia="宋体" w:cs="宋体"/>
                <w:szCs w:val="21"/>
              </w:rPr>
              <w:t>条款补充细化如下：</w:t>
            </w:r>
          </w:p>
          <w:p w14:paraId="68855A41">
            <w:pPr>
              <w:spacing w:line="400" w:lineRule="exact"/>
              <w:ind w:firstLine="420" w:firstLineChars="200"/>
              <w:jc w:val="left"/>
              <w:rPr>
                <w:rFonts w:ascii="宋体" w:hAnsi="宋体" w:eastAsia="宋体"/>
                <w:szCs w:val="21"/>
              </w:rPr>
            </w:pPr>
            <w:r>
              <w:rPr>
                <w:rFonts w:hint="eastAsia" w:ascii="宋体" w:hAnsi="宋体" w:eastAsia="宋体"/>
                <w:szCs w:val="21"/>
              </w:rPr>
              <w:t>评标委员会在第一个信封详细评审时，各评分因素（主要人员、技术能力（如有）、履约信誉除外）得分一般不得低于该权重分值的60</w:t>
            </w:r>
            <w:r>
              <w:rPr>
                <w:rFonts w:hint="eastAsia" w:ascii="宋体" w:hAnsi="宋体" w:eastAsia="宋体" w:cs="宋体"/>
                <w:sz w:val="18"/>
                <w:szCs w:val="18"/>
              </w:rPr>
              <w:t>％</w:t>
            </w:r>
            <w:r>
              <w:rPr>
                <w:rFonts w:hint="eastAsia" w:ascii="宋体" w:hAnsi="宋体" w:eastAsia="宋体"/>
                <w:szCs w:val="21"/>
              </w:rPr>
              <w:t>，评标委员会成员对某一项评分因素的评分低于权重值60</w:t>
            </w:r>
            <w:r>
              <w:rPr>
                <w:rFonts w:hint="eastAsia" w:ascii="宋体" w:hAnsi="宋体" w:eastAsia="宋体" w:cs="宋体"/>
                <w:sz w:val="18"/>
                <w:szCs w:val="18"/>
              </w:rPr>
              <w:t>％</w:t>
            </w:r>
            <w:r>
              <w:rPr>
                <w:rFonts w:hint="eastAsia" w:ascii="宋体" w:hAnsi="宋体" w:eastAsia="宋体"/>
                <w:szCs w:val="21"/>
              </w:rPr>
              <w:t>的，应当在评标报告中作出说明。</w:t>
            </w:r>
          </w:p>
          <w:p w14:paraId="779267BF">
            <w:pPr>
              <w:spacing w:line="400" w:lineRule="exact"/>
              <w:ind w:firstLine="420" w:firstLineChars="200"/>
              <w:jc w:val="left"/>
              <w:rPr>
                <w:rFonts w:ascii="宋体" w:hAnsi="宋体" w:eastAsia="宋体"/>
                <w:szCs w:val="21"/>
              </w:rPr>
            </w:pPr>
            <w:r>
              <w:rPr>
                <w:rFonts w:hint="eastAsia" w:ascii="宋体" w:hAnsi="宋体" w:eastAsia="宋体"/>
                <w:szCs w:val="21"/>
              </w:rPr>
              <w:t>商务评分（主要人员、其他因素）得分应以评标委员会各成员的算术平均值确定。</w:t>
            </w:r>
          </w:p>
          <w:p w14:paraId="22FD2056">
            <w:pPr>
              <w:spacing w:line="400" w:lineRule="exact"/>
              <w:ind w:firstLine="420" w:firstLineChars="200"/>
              <w:jc w:val="left"/>
              <w:rPr>
                <w:rFonts w:ascii="宋体" w:hAnsi="宋体" w:eastAsia="宋体"/>
                <w:szCs w:val="21"/>
              </w:rPr>
            </w:pPr>
            <w:r>
              <w:rPr>
                <w:rFonts w:hint="eastAsia" w:ascii="宋体" w:hAnsi="宋体" w:eastAsia="宋体"/>
                <w:szCs w:val="21"/>
              </w:rPr>
              <w:t>评标委员会人数为9人时，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231473BE">
            <w:pPr>
              <w:spacing w:line="400" w:lineRule="exact"/>
              <w:ind w:firstLine="422" w:firstLineChars="200"/>
              <w:jc w:val="left"/>
              <w:rPr>
                <w:rFonts w:ascii="宋体" w:hAnsi="宋体" w:eastAsia="宋体"/>
                <w:szCs w:val="21"/>
              </w:rPr>
            </w:pPr>
            <w:r>
              <w:rPr>
                <w:rFonts w:hint="eastAsia" w:ascii="宋体" w:hAnsi="宋体" w:eastAsia="宋体"/>
                <w:b/>
                <w:bCs/>
                <w:szCs w:val="21"/>
              </w:rPr>
              <w:t>取消其中</w:t>
            </w:r>
            <w:r>
              <w:rPr>
                <w:rFonts w:ascii="宋体" w:hAnsi="宋体" w:eastAsia="宋体"/>
                <w:b/>
                <w:bCs/>
                <w:szCs w:val="21"/>
              </w:rPr>
              <w:t>1</w:t>
            </w:r>
            <w:r>
              <w:rPr>
                <w:rFonts w:hint="eastAsia" w:ascii="宋体" w:hAnsi="宋体" w:eastAsia="宋体"/>
                <w:b/>
                <w:bCs/>
                <w:szCs w:val="21"/>
              </w:rPr>
              <w:t>名评委所有评分的办法一（依次按照以下流程）：</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）对比上述出现技术评分总分差值最大值相等的评委的次分差值（次分差值＝某一评委技术评分总分的最高分－该评委技术评分总分的次低分），取消次分差值最大的评委所有评分（</w:t>
            </w:r>
            <w:r>
              <w:rPr>
                <w:rFonts w:ascii="宋体" w:hAnsi="宋体" w:eastAsia="宋体"/>
                <w:szCs w:val="21"/>
              </w:rPr>
              <w:t>2</w:t>
            </w:r>
            <w:r>
              <w:rPr>
                <w:rFonts w:hint="eastAsia" w:ascii="宋体" w:hAnsi="宋体" w:eastAsia="宋体"/>
                <w:szCs w:val="21"/>
              </w:rPr>
              <w:t>）如次分差值仍相同，则按随机抽取的方式选定取消</w:t>
            </w:r>
            <w:r>
              <w:rPr>
                <w:rFonts w:ascii="宋体" w:hAnsi="宋体" w:eastAsia="宋体"/>
                <w:szCs w:val="21"/>
              </w:rPr>
              <w:t>1</w:t>
            </w:r>
            <w:r>
              <w:rPr>
                <w:rFonts w:hint="eastAsia" w:ascii="宋体" w:hAnsi="宋体" w:eastAsia="宋体"/>
                <w:szCs w:val="21"/>
              </w:rPr>
              <w:t>名评委评</w:t>
            </w:r>
            <w:r>
              <w:rPr>
                <w:rFonts w:hint="eastAsia" w:ascii="宋体" w:eastAsia="宋体" w:cs="宋体"/>
                <w:kern w:val="0"/>
                <w:szCs w:val="21"/>
              </w:rPr>
              <w:t>分。</w:t>
            </w:r>
          </w:p>
          <w:p w14:paraId="676790F5">
            <w:pPr>
              <w:spacing w:line="400" w:lineRule="exact"/>
              <w:ind w:firstLine="420" w:firstLineChars="200"/>
              <w:jc w:val="left"/>
              <w:rPr>
                <w:rFonts w:ascii="宋体" w:hAnsi="宋体" w:eastAsia="宋体"/>
                <w:szCs w:val="21"/>
              </w:rPr>
            </w:pPr>
            <w:r>
              <w:rPr>
                <w:rFonts w:hint="eastAsia" w:ascii="宋体" w:hAnsi="宋体" w:eastAsia="宋体"/>
                <w:szCs w:val="21"/>
              </w:rPr>
              <w:t>取消其中1名评委所有评分的办法二：按随机抽取的方式选定取消1名评委评分。</w:t>
            </w:r>
          </w:p>
          <w:p w14:paraId="59511AD2">
            <w:pPr>
              <w:spacing w:line="400" w:lineRule="exact"/>
              <w:ind w:firstLine="420" w:firstLineChars="200"/>
              <w:jc w:val="left"/>
              <w:rPr>
                <w:rFonts w:ascii="宋体" w:hAnsi="宋体" w:eastAsia="宋体"/>
                <w:szCs w:val="21"/>
              </w:rPr>
            </w:pPr>
            <w:r>
              <w:rPr>
                <w:rFonts w:hint="eastAsia" w:ascii="宋体" w:hAnsi="宋体" w:eastAsia="宋体"/>
                <w:szCs w:val="21"/>
              </w:rPr>
              <w:t>评标委员会人数为</w:t>
            </w:r>
            <w:r>
              <w:rPr>
                <w:rFonts w:ascii="宋体" w:hAnsi="宋体" w:eastAsia="宋体"/>
                <w:szCs w:val="21"/>
              </w:rPr>
              <w:t>7人时，计算投标人技术得分时</w:t>
            </w:r>
            <w:r>
              <w:rPr>
                <w:rFonts w:hint="eastAsia" w:ascii="宋体" w:hAnsi="宋体" w:eastAsia="宋体"/>
                <w:szCs w:val="21"/>
              </w:rPr>
              <w:t>：</w:t>
            </w:r>
            <w:r>
              <w:rPr>
                <w:rFonts w:ascii="宋体" w:hAnsi="宋体" w:eastAsia="宋体"/>
                <w:szCs w:val="21"/>
              </w:rPr>
              <w:t>各评分因素细分项中取消</w:t>
            </w:r>
            <w:r>
              <w:rPr>
                <w:rFonts w:hint="eastAsia" w:ascii="宋体" w:hAnsi="宋体" w:eastAsia="宋体"/>
                <w:szCs w:val="21"/>
              </w:rPr>
              <w:t>一个最高、一个最低分后计算算术平均值的和为投标人的最终技术得分，平均值计算保留小数点后三位，小数点后第四位“四舍五入”。</w:t>
            </w:r>
          </w:p>
          <w:p w14:paraId="5138F2DE">
            <w:pPr>
              <w:spacing w:line="400" w:lineRule="exact"/>
              <w:ind w:firstLine="420" w:firstLineChars="200"/>
              <w:jc w:val="left"/>
              <w:rPr>
                <w:rFonts w:ascii="宋体" w:hAnsi="宋体" w:eastAsia="宋体"/>
                <w:szCs w:val="21"/>
              </w:rPr>
            </w:pPr>
            <w:r>
              <w:rPr>
                <w:rFonts w:hint="eastAsia" w:ascii="宋体" w:hAnsi="宋体" w:eastAsia="宋体"/>
                <w:szCs w:val="21"/>
              </w:rPr>
              <w:t>以上评标委员会人数以实际参与评审的评标委员会人数数量为准。</w:t>
            </w:r>
          </w:p>
          <w:p w14:paraId="6F911A34">
            <w:pPr>
              <w:spacing w:line="400" w:lineRule="exact"/>
              <w:ind w:firstLine="420" w:firstLineChars="200"/>
              <w:jc w:val="left"/>
              <w:rPr>
                <w:rFonts w:ascii="宋体" w:hAnsi="宋体" w:eastAsia="宋体"/>
                <w:szCs w:val="21"/>
              </w:rPr>
            </w:pPr>
            <w:r>
              <w:rPr>
                <w:rFonts w:hint="eastAsia" w:ascii="宋体" w:hAnsi="宋体" w:eastAsia="宋体"/>
                <w:szCs w:val="21"/>
              </w:rPr>
              <w:t>投标人的商务得分保留至小数点后两位，小数点后第三位“四舍五入”。</w:t>
            </w:r>
          </w:p>
        </w:tc>
      </w:tr>
      <w:tr w14:paraId="6334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1268" w:type="dxa"/>
            <w:noWrap/>
          </w:tcPr>
          <w:p w14:paraId="75B86FCF">
            <w:pPr>
              <w:spacing w:line="400" w:lineRule="exact"/>
              <w:ind w:firstLine="147" w:firstLineChars="70"/>
              <w:jc w:val="center"/>
              <w:rPr>
                <w:rFonts w:ascii="宋体" w:hAnsi="宋体" w:eastAsia="宋体"/>
                <w:szCs w:val="21"/>
              </w:rPr>
            </w:pPr>
          </w:p>
          <w:p w14:paraId="6C83739F">
            <w:pPr>
              <w:spacing w:line="400" w:lineRule="exact"/>
              <w:ind w:firstLine="147" w:firstLineChars="70"/>
              <w:jc w:val="center"/>
              <w:rPr>
                <w:rFonts w:ascii="宋体" w:hAnsi="宋体" w:eastAsia="宋体"/>
                <w:szCs w:val="21"/>
              </w:rPr>
            </w:pPr>
            <w:r>
              <w:rPr>
                <w:rFonts w:ascii="宋体" w:hAnsi="宋体" w:eastAsia="宋体"/>
                <w:szCs w:val="21"/>
              </w:rPr>
              <w:t>3.6.1</w:t>
            </w:r>
          </w:p>
        </w:tc>
        <w:tc>
          <w:tcPr>
            <w:tcW w:w="7867" w:type="dxa"/>
            <w:noWrap/>
          </w:tcPr>
          <w:p w14:paraId="71B87064">
            <w:pPr>
              <w:spacing w:line="400" w:lineRule="exact"/>
              <w:ind w:firstLine="420" w:firstLineChars="200"/>
              <w:jc w:val="left"/>
              <w:rPr>
                <w:rFonts w:ascii="宋体" w:hAnsi="宋体" w:eastAsia="宋体"/>
                <w:szCs w:val="21"/>
              </w:rPr>
            </w:pPr>
            <w:r>
              <w:rPr>
                <w:rFonts w:hint="eastAsia" w:ascii="宋体" w:hAnsi="宋体" w:eastAsia="宋体"/>
                <w:szCs w:val="21"/>
              </w:rPr>
              <w:t>3.6.1项（2）目末增加以下条款：</w:t>
            </w:r>
          </w:p>
          <w:p w14:paraId="759BB5FE">
            <w:pPr>
              <w:spacing w:line="400" w:lineRule="exact"/>
              <w:ind w:firstLine="420" w:firstLineChars="200"/>
              <w:jc w:val="left"/>
              <w:rPr>
                <w:rFonts w:ascii="宋体" w:hAnsi="宋体" w:eastAsia="宋体"/>
                <w:szCs w:val="21"/>
              </w:rPr>
            </w:pPr>
            <w:r>
              <w:rPr>
                <w:rFonts w:hint="eastAsia" w:ascii="宋体" w:hAnsi="宋体" w:eastAsia="宋体"/>
                <w:szCs w:val="21"/>
              </w:rPr>
              <w:t>g.广东省实施《中华人民共和国招标投标法》办法第十六条规定的情形。</w:t>
            </w:r>
          </w:p>
        </w:tc>
      </w:tr>
      <w:tr w14:paraId="08C74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1268" w:type="dxa"/>
            <w:noWrap/>
            <w:vAlign w:val="center"/>
          </w:tcPr>
          <w:p w14:paraId="584A2256">
            <w:pPr>
              <w:spacing w:line="400" w:lineRule="exact"/>
              <w:ind w:firstLine="147" w:firstLineChars="70"/>
              <w:jc w:val="center"/>
              <w:rPr>
                <w:rFonts w:ascii="宋体" w:hAnsi="宋体" w:eastAsia="宋体"/>
                <w:szCs w:val="21"/>
              </w:rPr>
            </w:pPr>
            <w:r>
              <w:rPr>
                <w:rFonts w:ascii="宋体" w:hAnsi="宋体" w:eastAsia="宋体"/>
                <w:szCs w:val="21"/>
              </w:rPr>
              <w:t>3.6.3</w:t>
            </w:r>
          </w:p>
        </w:tc>
        <w:tc>
          <w:tcPr>
            <w:tcW w:w="7867" w:type="dxa"/>
            <w:noWrap/>
          </w:tcPr>
          <w:p w14:paraId="4F9ACF37">
            <w:pPr>
              <w:spacing w:line="400" w:lineRule="exact"/>
              <w:ind w:firstLine="420" w:firstLineChars="200"/>
              <w:jc w:val="left"/>
              <w:rPr>
                <w:rFonts w:ascii="宋体" w:hAnsi="宋体" w:eastAsia="宋体"/>
                <w:szCs w:val="21"/>
              </w:rPr>
            </w:pPr>
            <w:r>
              <w:rPr>
                <w:rFonts w:hint="eastAsia" w:ascii="宋体" w:hAnsi="宋体" w:eastAsia="宋体"/>
                <w:szCs w:val="21"/>
              </w:rPr>
              <w:t>增加3.6.3项：</w:t>
            </w:r>
          </w:p>
          <w:p w14:paraId="4FEE070A">
            <w:pPr>
              <w:spacing w:line="400" w:lineRule="exact"/>
              <w:ind w:firstLine="420" w:firstLineChars="200"/>
              <w:jc w:val="left"/>
              <w:rPr>
                <w:rFonts w:ascii="宋体" w:hAnsi="宋体" w:eastAsia="宋体"/>
                <w:szCs w:val="21"/>
              </w:rPr>
            </w:pPr>
            <w:r>
              <w:rPr>
                <w:rFonts w:hint="eastAsia" w:ascii="宋体" w:hAnsi="宋体" w:eastAsia="宋体"/>
                <w:szCs w:val="21"/>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0795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1268" w:type="dxa"/>
            <w:noWrap/>
            <w:vAlign w:val="center"/>
          </w:tcPr>
          <w:p w14:paraId="475A47E8">
            <w:pPr>
              <w:spacing w:line="400" w:lineRule="exact"/>
              <w:ind w:firstLine="147" w:firstLineChars="70"/>
              <w:jc w:val="center"/>
              <w:rPr>
                <w:rFonts w:ascii="宋体" w:hAnsi="宋体" w:eastAsia="宋体"/>
                <w:szCs w:val="21"/>
              </w:rPr>
            </w:pPr>
            <w:r>
              <w:rPr>
                <w:rFonts w:hint="eastAsia" w:ascii="宋体" w:hAnsi="宋体" w:eastAsia="宋体"/>
                <w:szCs w:val="21"/>
              </w:rPr>
              <w:t>3.9</w:t>
            </w:r>
          </w:p>
        </w:tc>
        <w:tc>
          <w:tcPr>
            <w:tcW w:w="7867" w:type="dxa"/>
            <w:noWrap/>
          </w:tcPr>
          <w:p w14:paraId="6C03083D">
            <w:pPr>
              <w:spacing w:line="400" w:lineRule="exact"/>
              <w:ind w:firstLine="420" w:firstLineChars="200"/>
              <w:jc w:val="left"/>
              <w:rPr>
                <w:rFonts w:ascii="宋体" w:hAnsi="宋体" w:eastAsia="宋体"/>
                <w:szCs w:val="21"/>
              </w:rPr>
            </w:pPr>
            <w:r>
              <w:rPr>
                <w:rFonts w:hint="eastAsia" w:ascii="宋体" w:hAnsi="宋体" w:eastAsia="宋体" w:cs="宋体"/>
                <w:szCs w:val="21"/>
              </w:rPr>
              <w:t>增加</w:t>
            </w:r>
            <w:r>
              <w:rPr>
                <w:rFonts w:hint="eastAsia" w:ascii="宋体" w:hAnsi="宋体" w:eastAsia="宋体"/>
                <w:szCs w:val="21"/>
              </w:rPr>
              <w:t>3.9.4</w:t>
            </w:r>
            <w:r>
              <w:rPr>
                <w:rFonts w:hint="eastAsia" w:ascii="宋体" w:hAnsi="宋体" w:eastAsia="宋体" w:cs="宋体"/>
                <w:szCs w:val="21"/>
              </w:rPr>
              <w:t>、</w:t>
            </w:r>
            <w:r>
              <w:rPr>
                <w:rFonts w:hint="eastAsia" w:ascii="宋体" w:hAnsi="宋体" w:eastAsia="宋体"/>
                <w:szCs w:val="21"/>
              </w:rPr>
              <w:t>3.9.5</w:t>
            </w:r>
            <w:r>
              <w:rPr>
                <w:rFonts w:hint="eastAsia" w:ascii="宋体" w:hAnsi="宋体" w:eastAsia="宋体" w:cs="宋体"/>
                <w:szCs w:val="21"/>
              </w:rPr>
              <w:t>、</w:t>
            </w:r>
            <w:r>
              <w:rPr>
                <w:rFonts w:hint="eastAsia" w:ascii="宋体" w:hAnsi="宋体" w:eastAsia="宋体"/>
                <w:szCs w:val="21"/>
              </w:rPr>
              <w:t>3.9.6、3.9.7</w:t>
            </w:r>
            <w:r>
              <w:rPr>
                <w:rFonts w:hint="eastAsia" w:ascii="宋体" w:hAnsi="宋体" w:eastAsia="宋体" w:cs="宋体"/>
                <w:szCs w:val="21"/>
              </w:rPr>
              <w:t>条款后增加：</w:t>
            </w:r>
          </w:p>
          <w:p w14:paraId="6EC67C6D">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3.9.4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3B15838E">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1C03438D">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3.9.6如果发生无法确定推荐中标候选人的其它意外情况，评标委员会可建议招标人重新招标。</w:t>
            </w:r>
          </w:p>
          <w:p w14:paraId="0019D17D">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3.9.7本招标文件规定的否决投标条款包含在以下条款：</w:t>
            </w:r>
          </w:p>
          <w:p w14:paraId="519ADC22">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（1）招标公告第3点投标人资格要求；</w:t>
            </w:r>
          </w:p>
          <w:p w14:paraId="41483C18">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投标人须知1.4.3项、1.4.4项、1.4.5项、1.12项、3.4项、3.5项；</w:t>
            </w:r>
          </w:p>
          <w:p w14:paraId="7A9C17E1">
            <w:pPr>
              <w:spacing w:line="400" w:lineRule="exact"/>
              <w:ind w:firstLine="420" w:firstLineChars="200"/>
              <w:jc w:val="left"/>
              <w:rPr>
                <w:rFonts w:ascii="宋体" w:hAnsi="宋体" w:eastAsia="宋体" w:cs="宋体"/>
                <w:szCs w:val="21"/>
              </w:rPr>
            </w:pPr>
            <w:r>
              <w:rPr>
                <w:rFonts w:hint="eastAsia" w:ascii="宋体" w:hAnsi="宋体" w:eastAsia="宋体" w:cs="宋体"/>
                <w:szCs w:val="21"/>
              </w:rPr>
              <w:t>（3）本评标办法的否决条款。</w:t>
            </w:r>
          </w:p>
        </w:tc>
      </w:tr>
    </w:tbl>
    <w:p w14:paraId="6A785C0E">
      <w:pPr>
        <w:pStyle w:val="6"/>
        <w:ind w:firstLine="0"/>
        <w:rPr>
          <w:lang w:val="en-US"/>
        </w:rPr>
      </w:pPr>
    </w:p>
    <w:p w14:paraId="79B2E209">
      <w:pPr>
        <w:pStyle w:val="6"/>
        <w:ind w:firstLine="0"/>
        <w:rPr>
          <w:lang w:val="en-US"/>
        </w:rPr>
        <w:sectPr>
          <w:pgSz w:w="11906" w:h="16838"/>
          <w:pgMar w:top="1440" w:right="1080" w:bottom="1440" w:left="1080" w:header="851" w:footer="992" w:gutter="0"/>
          <w:cols w:space="425" w:num="1"/>
          <w:docGrid w:type="lines" w:linePitch="312" w:charSpace="0"/>
        </w:sectPr>
      </w:pPr>
    </w:p>
    <w:p w14:paraId="5B1EFB4B">
      <w:pPr>
        <w:widowControl/>
        <w:spacing w:line="400" w:lineRule="exact"/>
        <w:ind w:firstLine="422" w:firstLineChars="200"/>
        <w:jc w:val="left"/>
        <w:rPr>
          <w:rFonts w:ascii="宋体" w:hAnsi="宋体" w:eastAsia="宋体"/>
          <w:b/>
          <w:bCs/>
          <w:szCs w:val="21"/>
        </w:rPr>
      </w:pPr>
      <w:r>
        <w:rPr>
          <w:rFonts w:ascii="宋体" w:hAnsi="宋体" w:eastAsia="宋体"/>
          <w:b/>
          <w:bCs/>
          <w:szCs w:val="21"/>
        </w:rPr>
        <w:t>1.评标方法</w:t>
      </w:r>
    </w:p>
    <w:p w14:paraId="79B84EFF">
      <w:pPr>
        <w:spacing w:line="400" w:lineRule="exact"/>
        <w:ind w:firstLine="420" w:firstLineChars="200"/>
        <w:jc w:val="left"/>
        <w:rPr>
          <w:rFonts w:ascii="宋体" w:hAnsi="宋体" w:eastAsia="宋体"/>
          <w:szCs w:val="21"/>
        </w:rPr>
      </w:pPr>
      <w:r>
        <w:rPr>
          <w:rFonts w:ascii="宋体" w:hAnsi="宋体" w:eastAsia="宋体"/>
          <w:szCs w:val="21"/>
        </w:rPr>
        <w:t>本次评标采用综合评估法</w:t>
      </w:r>
      <w:r>
        <w:rPr>
          <w:rFonts w:hint="eastAsia" w:ascii="宋体" w:hAnsi="宋体" w:eastAsia="宋体"/>
          <w:szCs w:val="21"/>
        </w:rPr>
        <w:t>。</w:t>
      </w:r>
      <w:r>
        <w:rPr>
          <w:rFonts w:ascii="宋体" w:hAnsi="宋体" w:eastAsia="宋体"/>
          <w:szCs w:val="21"/>
        </w:rPr>
        <w:t>评标委员会对满足招标文件实质性要求的投标文件，按照本章第</w:t>
      </w:r>
      <w:r>
        <w:rPr>
          <w:rFonts w:hint="eastAsia" w:ascii="宋体" w:hAnsi="宋体" w:eastAsia="宋体"/>
          <w:szCs w:val="21"/>
        </w:rPr>
        <w:t>2.2</w:t>
      </w:r>
      <w:r>
        <w:rPr>
          <w:rFonts w:ascii="宋体" w:hAnsi="宋体" w:eastAsia="宋体"/>
          <w:szCs w:val="21"/>
        </w:rPr>
        <w:t>款规定的评分标准进行打分，并按得分由高到低顺序推荐中标候选人，或根据招标人授权直接确定中标人</w:t>
      </w:r>
      <w:r>
        <w:rPr>
          <w:rFonts w:hint="eastAsia" w:ascii="宋体" w:hAnsi="宋体" w:eastAsia="宋体"/>
          <w:szCs w:val="21"/>
        </w:rPr>
        <w:t>，</w:t>
      </w:r>
      <w:r>
        <w:rPr>
          <w:rFonts w:ascii="宋体" w:hAnsi="宋体" w:eastAsia="宋体"/>
          <w:szCs w:val="21"/>
        </w:rPr>
        <w:t>但投标报价低于其成本的除外。综合评分相等时，评标委员会应按照评标办法前附表规定的优先次序推荐中标候选人或确定中标人。</w:t>
      </w:r>
    </w:p>
    <w:p w14:paraId="04DB23D4">
      <w:pPr>
        <w:spacing w:line="400" w:lineRule="exact"/>
        <w:ind w:firstLine="422" w:firstLineChars="200"/>
        <w:jc w:val="left"/>
        <w:rPr>
          <w:rFonts w:ascii="宋体" w:hAnsi="宋体" w:eastAsia="宋体"/>
          <w:b/>
          <w:bCs/>
          <w:szCs w:val="21"/>
        </w:rPr>
      </w:pPr>
      <w:r>
        <w:rPr>
          <w:rFonts w:ascii="宋体" w:hAnsi="宋体" w:eastAsia="宋体"/>
          <w:b/>
          <w:bCs/>
          <w:szCs w:val="21"/>
        </w:rPr>
        <w:t>2.评审标准</w:t>
      </w:r>
    </w:p>
    <w:p w14:paraId="1C2AF84D">
      <w:pPr>
        <w:spacing w:line="400" w:lineRule="exact"/>
        <w:ind w:firstLine="422" w:firstLineChars="200"/>
        <w:jc w:val="left"/>
        <w:rPr>
          <w:rFonts w:ascii="宋体" w:hAnsi="宋体" w:eastAsia="宋体"/>
          <w:b/>
          <w:bCs/>
          <w:szCs w:val="21"/>
        </w:rPr>
      </w:pPr>
      <w:r>
        <w:rPr>
          <w:rFonts w:ascii="宋体" w:hAnsi="宋体" w:eastAsia="宋体"/>
          <w:b/>
          <w:bCs/>
          <w:szCs w:val="21"/>
        </w:rPr>
        <w:t>2.1初步评审标准</w:t>
      </w:r>
    </w:p>
    <w:p w14:paraId="0B92D575">
      <w:pPr>
        <w:spacing w:line="400" w:lineRule="exact"/>
        <w:ind w:firstLine="420" w:firstLineChars="200"/>
        <w:jc w:val="left"/>
        <w:rPr>
          <w:rFonts w:ascii="宋体" w:hAnsi="宋体" w:eastAsia="宋体"/>
          <w:szCs w:val="21"/>
        </w:rPr>
      </w:pPr>
      <w:r>
        <w:rPr>
          <w:rFonts w:ascii="宋体" w:hAnsi="宋体" w:eastAsia="宋体"/>
          <w:szCs w:val="21"/>
        </w:rPr>
        <w:t>2.1.1形式评审标准：见评标办法前附表</w:t>
      </w:r>
      <w:r>
        <w:rPr>
          <w:rFonts w:hint="eastAsia" w:ascii="宋体" w:hAnsi="宋体" w:eastAsia="宋体"/>
          <w:szCs w:val="21"/>
        </w:rPr>
        <w:t>。</w:t>
      </w:r>
    </w:p>
    <w:p w14:paraId="43490EE3">
      <w:pPr>
        <w:spacing w:line="400" w:lineRule="exact"/>
        <w:ind w:firstLine="420" w:firstLineChars="200"/>
        <w:jc w:val="left"/>
        <w:rPr>
          <w:rFonts w:ascii="宋体" w:hAnsi="宋体" w:eastAsia="宋体"/>
          <w:szCs w:val="21"/>
        </w:rPr>
      </w:pPr>
      <w:r>
        <w:rPr>
          <w:rFonts w:ascii="宋体" w:hAnsi="宋体" w:eastAsia="宋体"/>
          <w:szCs w:val="21"/>
        </w:rPr>
        <w:t>2.1.2资格评审标准</w:t>
      </w:r>
      <w:r>
        <w:rPr>
          <w:rFonts w:hint="eastAsia" w:ascii="宋体" w:hAnsi="宋体" w:eastAsia="宋体"/>
          <w:szCs w:val="21"/>
        </w:rPr>
        <w:t>：</w:t>
      </w:r>
      <w:r>
        <w:rPr>
          <w:rFonts w:ascii="宋体" w:hAnsi="宋体" w:eastAsia="宋体"/>
          <w:szCs w:val="21"/>
        </w:rPr>
        <w:t>见评标办法前附表</w:t>
      </w:r>
      <w:r>
        <w:rPr>
          <w:rFonts w:hint="eastAsia" w:ascii="宋体" w:hAnsi="宋体" w:eastAsia="宋体"/>
          <w:szCs w:val="21"/>
        </w:rPr>
        <w:t>。</w:t>
      </w:r>
      <w:r>
        <w:rPr>
          <w:rFonts w:ascii="宋体" w:hAnsi="宋体" w:eastAsia="宋体"/>
          <w:szCs w:val="21"/>
        </w:rPr>
        <w:t>（适用于未进行资格预审的）</w:t>
      </w:r>
    </w:p>
    <w:p w14:paraId="61332D79">
      <w:pPr>
        <w:spacing w:line="400" w:lineRule="exact"/>
        <w:ind w:firstLine="420" w:firstLineChars="200"/>
        <w:jc w:val="left"/>
        <w:rPr>
          <w:rFonts w:ascii="宋体" w:hAnsi="宋体" w:eastAsia="宋体"/>
          <w:szCs w:val="21"/>
        </w:rPr>
      </w:pPr>
      <w:r>
        <w:rPr>
          <w:rFonts w:ascii="宋体" w:hAnsi="宋体" w:eastAsia="宋体"/>
          <w:szCs w:val="21"/>
        </w:rPr>
        <w:t>2.1.3响应性评审标准：见评标办法前附表</w:t>
      </w:r>
      <w:r>
        <w:rPr>
          <w:rFonts w:hint="eastAsia" w:ascii="宋体" w:hAnsi="宋体" w:eastAsia="宋体"/>
          <w:szCs w:val="21"/>
        </w:rPr>
        <w:t>。</w:t>
      </w:r>
    </w:p>
    <w:p w14:paraId="63FA2205">
      <w:pPr>
        <w:spacing w:line="400" w:lineRule="exact"/>
        <w:ind w:firstLine="422" w:firstLineChars="200"/>
        <w:jc w:val="left"/>
        <w:rPr>
          <w:rFonts w:ascii="宋体" w:hAnsi="宋体" w:eastAsia="宋体"/>
          <w:b/>
          <w:bCs/>
          <w:szCs w:val="21"/>
        </w:rPr>
      </w:pPr>
      <w:r>
        <w:rPr>
          <w:rFonts w:ascii="宋体" w:hAnsi="宋体" w:eastAsia="宋体"/>
          <w:b/>
          <w:bCs/>
          <w:szCs w:val="21"/>
        </w:rPr>
        <w:t>2.2分值构成与评分标准</w:t>
      </w:r>
    </w:p>
    <w:p w14:paraId="50E1398A">
      <w:pPr>
        <w:spacing w:line="400" w:lineRule="exact"/>
        <w:ind w:firstLine="422" w:firstLineChars="200"/>
        <w:jc w:val="left"/>
        <w:rPr>
          <w:rFonts w:ascii="宋体" w:hAnsi="宋体" w:eastAsia="宋体"/>
          <w:b/>
          <w:bCs/>
          <w:szCs w:val="21"/>
        </w:rPr>
      </w:pPr>
      <w:r>
        <w:rPr>
          <w:rFonts w:ascii="宋体" w:hAnsi="宋体" w:eastAsia="宋体"/>
          <w:b/>
          <w:bCs/>
          <w:szCs w:val="21"/>
        </w:rPr>
        <w:t>2.2.1分值构成</w:t>
      </w:r>
    </w:p>
    <w:p w14:paraId="24BFE087">
      <w:pPr>
        <w:spacing w:line="400" w:lineRule="exact"/>
        <w:ind w:firstLine="420" w:firstLineChars="200"/>
        <w:jc w:val="left"/>
        <w:rPr>
          <w:rFonts w:ascii="宋体" w:hAnsi="宋体" w:eastAsia="宋体"/>
          <w:szCs w:val="21"/>
        </w:rPr>
      </w:pPr>
      <w:r>
        <w:rPr>
          <w:rFonts w:hint="eastAsia" w:ascii="宋体" w:hAnsi="宋体" w:eastAsia="宋体"/>
          <w:szCs w:val="21"/>
        </w:rPr>
        <w:t>（</w:t>
      </w:r>
      <w:r>
        <w:rPr>
          <w:rFonts w:ascii="宋体" w:hAnsi="宋体" w:eastAsia="宋体"/>
          <w:szCs w:val="21"/>
        </w:rPr>
        <w:t>1）技术建议书：见评标办法前附表；</w:t>
      </w:r>
    </w:p>
    <w:p w14:paraId="0AA34C4E">
      <w:pPr>
        <w:spacing w:line="400" w:lineRule="exact"/>
        <w:ind w:firstLine="420" w:firstLineChars="200"/>
        <w:jc w:val="left"/>
        <w:rPr>
          <w:rFonts w:ascii="宋体" w:hAnsi="宋体" w:eastAsia="宋体"/>
          <w:szCs w:val="21"/>
        </w:rPr>
      </w:pPr>
      <w:r>
        <w:rPr>
          <w:rFonts w:ascii="宋体" w:hAnsi="宋体" w:eastAsia="宋体"/>
          <w:szCs w:val="21"/>
        </w:rPr>
        <w:t>（2）主要人员：见评标办法前附表；</w:t>
      </w:r>
    </w:p>
    <w:p w14:paraId="4DB87509">
      <w:pPr>
        <w:spacing w:line="400" w:lineRule="exact"/>
        <w:ind w:firstLine="420" w:firstLineChars="200"/>
        <w:jc w:val="left"/>
        <w:rPr>
          <w:rFonts w:ascii="宋体" w:hAnsi="宋体" w:eastAsia="宋体"/>
          <w:szCs w:val="21"/>
        </w:rPr>
      </w:pPr>
      <w:r>
        <w:rPr>
          <w:rFonts w:ascii="宋体" w:hAnsi="宋体" w:eastAsia="宋体"/>
          <w:szCs w:val="21"/>
        </w:rPr>
        <w:t>（3）评标价：见评标办法前附表；</w:t>
      </w:r>
    </w:p>
    <w:p w14:paraId="6D5BCCA0">
      <w:pPr>
        <w:spacing w:line="400" w:lineRule="exact"/>
        <w:ind w:firstLine="420" w:firstLineChars="200"/>
        <w:jc w:val="left"/>
        <w:rPr>
          <w:rFonts w:ascii="宋体" w:hAnsi="宋体" w:eastAsia="宋体"/>
          <w:szCs w:val="21"/>
        </w:rPr>
      </w:pPr>
      <w:r>
        <w:rPr>
          <w:rFonts w:ascii="宋体" w:hAnsi="宋体" w:eastAsia="宋体"/>
          <w:szCs w:val="21"/>
        </w:rPr>
        <w:t>（4）其他评分因素：见评标办法前附表。</w:t>
      </w:r>
    </w:p>
    <w:p w14:paraId="78AE57B5">
      <w:pPr>
        <w:spacing w:line="400" w:lineRule="exact"/>
        <w:ind w:firstLine="422" w:firstLineChars="200"/>
        <w:jc w:val="left"/>
        <w:rPr>
          <w:rFonts w:ascii="宋体" w:hAnsi="宋体" w:eastAsia="宋体"/>
          <w:b/>
          <w:bCs/>
          <w:szCs w:val="21"/>
        </w:rPr>
      </w:pPr>
      <w:r>
        <w:rPr>
          <w:rFonts w:ascii="宋体" w:hAnsi="宋体" w:eastAsia="宋体"/>
          <w:b/>
          <w:bCs/>
          <w:szCs w:val="21"/>
        </w:rPr>
        <w:t>2.2.2评标基准价计算</w:t>
      </w:r>
    </w:p>
    <w:p w14:paraId="68CA6AE0">
      <w:pPr>
        <w:spacing w:line="400" w:lineRule="exact"/>
        <w:ind w:firstLine="420" w:firstLineChars="200"/>
        <w:jc w:val="left"/>
        <w:rPr>
          <w:rFonts w:ascii="宋体" w:hAnsi="宋体" w:eastAsia="宋体"/>
          <w:bCs/>
          <w:szCs w:val="21"/>
        </w:rPr>
      </w:pPr>
      <w:r>
        <w:rPr>
          <w:rFonts w:hint="eastAsia" w:ascii="宋体" w:hAnsi="宋体" w:eastAsia="宋体"/>
          <w:bCs/>
          <w:szCs w:val="21"/>
        </w:rPr>
        <w:t>评标基准价计算方法：见评标办法前附表。</w:t>
      </w:r>
    </w:p>
    <w:p w14:paraId="400978BD">
      <w:pPr>
        <w:spacing w:line="400" w:lineRule="exact"/>
        <w:ind w:firstLine="422" w:firstLineChars="200"/>
        <w:jc w:val="left"/>
        <w:rPr>
          <w:rFonts w:ascii="宋体" w:hAnsi="宋体" w:eastAsia="宋体"/>
          <w:b/>
          <w:bCs/>
          <w:szCs w:val="21"/>
        </w:rPr>
      </w:pPr>
      <w:r>
        <w:rPr>
          <w:rFonts w:ascii="宋体" w:hAnsi="宋体" w:eastAsia="宋体"/>
          <w:b/>
          <w:bCs/>
          <w:szCs w:val="21"/>
        </w:rPr>
        <w:t>2.2.3评标价的偏差率计算</w:t>
      </w:r>
    </w:p>
    <w:p w14:paraId="5544E6D5">
      <w:pPr>
        <w:spacing w:line="400" w:lineRule="exact"/>
        <w:ind w:firstLine="420" w:firstLineChars="200"/>
        <w:jc w:val="left"/>
        <w:rPr>
          <w:rFonts w:ascii="宋体" w:hAnsi="宋体" w:eastAsia="宋体"/>
          <w:szCs w:val="21"/>
        </w:rPr>
      </w:pPr>
      <w:r>
        <w:rPr>
          <w:rFonts w:ascii="宋体" w:hAnsi="宋体" w:eastAsia="宋体"/>
          <w:szCs w:val="21"/>
        </w:rPr>
        <w:t>评标价的偏差率计算公式：见评标办法前附表。</w:t>
      </w:r>
    </w:p>
    <w:p w14:paraId="1A50DF3E">
      <w:pPr>
        <w:spacing w:line="400" w:lineRule="exact"/>
        <w:ind w:firstLine="422" w:firstLineChars="200"/>
        <w:jc w:val="left"/>
        <w:rPr>
          <w:rFonts w:ascii="宋体" w:hAnsi="宋体" w:eastAsia="宋体"/>
          <w:b/>
          <w:bCs/>
          <w:szCs w:val="21"/>
        </w:rPr>
      </w:pPr>
      <w:r>
        <w:rPr>
          <w:rFonts w:ascii="宋体" w:hAnsi="宋体" w:eastAsia="宋体"/>
          <w:b/>
          <w:bCs/>
          <w:szCs w:val="21"/>
        </w:rPr>
        <w:t>2.2.4评分标准</w:t>
      </w:r>
    </w:p>
    <w:p w14:paraId="786F3ED0">
      <w:pPr>
        <w:spacing w:line="400" w:lineRule="exact"/>
        <w:ind w:firstLine="420" w:firstLineChars="200"/>
        <w:jc w:val="left"/>
        <w:rPr>
          <w:rFonts w:ascii="宋体" w:hAnsi="宋体" w:eastAsia="宋体"/>
          <w:szCs w:val="21"/>
        </w:rPr>
      </w:pPr>
      <w:r>
        <w:rPr>
          <w:rFonts w:ascii="宋体" w:hAnsi="宋体" w:eastAsia="宋体"/>
          <w:szCs w:val="21"/>
        </w:rPr>
        <w:t>（1）技术建议书评分标准：见评标办法前附表；</w:t>
      </w:r>
    </w:p>
    <w:p w14:paraId="0EE405ED">
      <w:pPr>
        <w:spacing w:line="400" w:lineRule="exact"/>
        <w:ind w:firstLine="420" w:firstLineChars="200"/>
        <w:jc w:val="left"/>
        <w:rPr>
          <w:rFonts w:ascii="宋体" w:hAnsi="宋体" w:eastAsia="宋体"/>
          <w:szCs w:val="21"/>
        </w:rPr>
      </w:pPr>
      <w:r>
        <w:rPr>
          <w:rFonts w:ascii="宋体" w:hAnsi="宋体" w:eastAsia="宋体"/>
          <w:szCs w:val="21"/>
        </w:rPr>
        <w:t>（2）主要人员评分标准：见评标办法前附表；</w:t>
      </w:r>
    </w:p>
    <w:p w14:paraId="38EAD553">
      <w:pPr>
        <w:spacing w:line="400" w:lineRule="exact"/>
        <w:ind w:firstLine="420" w:firstLineChars="200"/>
        <w:jc w:val="left"/>
        <w:rPr>
          <w:rFonts w:ascii="宋体" w:hAnsi="宋体" w:eastAsia="宋体"/>
          <w:szCs w:val="21"/>
        </w:rPr>
      </w:pPr>
      <w:r>
        <w:rPr>
          <w:rFonts w:ascii="宋体" w:hAnsi="宋体" w:eastAsia="宋体"/>
          <w:szCs w:val="21"/>
        </w:rPr>
        <w:t>（3）评标价评分标准：见评标办法前附表；</w:t>
      </w:r>
    </w:p>
    <w:p w14:paraId="3583D922">
      <w:pPr>
        <w:spacing w:line="400" w:lineRule="exact"/>
        <w:ind w:firstLine="420" w:firstLineChars="200"/>
        <w:jc w:val="left"/>
        <w:rPr>
          <w:rFonts w:ascii="宋体" w:hAnsi="宋体" w:eastAsia="宋体"/>
          <w:szCs w:val="21"/>
        </w:rPr>
      </w:pPr>
      <w:r>
        <w:rPr>
          <w:rFonts w:ascii="宋体" w:hAnsi="宋体" w:eastAsia="宋体"/>
          <w:szCs w:val="21"/>
        </w:rPr>
        <w:t>（4）其他因素评分标准：见评标办法前附表。</w:t>
      </w:r>
    </w:p>
    <w:p w14:paraId="6A4E0A3F">
      <w:pPr>
        <w:spacing w:line="400" w:lineRule="exact"/>
        <w:ind w:firstLine="422" w:firstLineChars="200"/>
        <w:jc w:val="left"/>
        <w:rPr>
          <w:rFonts w:ascii="宋体" w:hAnsi="宋体" w:eastAsia="宋体"/>
          <w:b/>
          <w:bCs/>
          <w:szCs w:val="21"/>
        </w:rPr>
      </w:pPr>
      <w:r>
        <w:rPr>
          <w:rFonts w:ascii="宋体" w:hAnsi="宋体" w:eastAsia="宋体"/>
          <w:b/>
          <w:bCs/>
          <w:szCs w:val="21"/>
        </w:rPr>
        <w:t>3.评标程序</w:t>
      </w:r>
    </w:p>
    <w:p w14:paraId="26D305C6">
      <w:pPr>
        <w:spacing w:line="400" w:lineRule="exact"/>
        <w:ind w:firstLine="422" w:firstLineChars="200"/>
        <w:jc w:val="left"/>
        <w:rPr>
          <w:rFonts w:ascii="宋体" w:hAnsi="宋体" w:eastAsia="宋体"/>
          <w:b/>
          <w:bCs/>
          <w:szCs w:val="21"/>
        </w:rPr>
      </w:pPr>
      <w:r>
        <w:rPr>
          <w:rFonts w:ascii="宋体" w:hAnsi="宋体" w:eastAsia="宋体"/>
          <w:b/>
          <w:bCs/>
          <w:szCs w:val="21"/>
        </w:rPr>
        <w:t>3.1第一个信封初步评审</w:t>
      </w:r>
    </w:p>
    <w:p w14:paraId="3BF10ADE">
      <w:pPr>
        <w:spacing w:line="400" w:lineRule="exact"/>
        <w:ind w:firstLine="420" w:firstLineChars="200"/>
        <w:jc w:val="left"/>
        <w:rPr>
          <w:rFonts w:ascii="宋体" w:hAnsi="宋体" w:eastAsia="宋体"/>
          <w:szCs w:val="21"/>
        </w:rPr>
      </w:pPr>
      <w:r>
        <w:rPr>
          <w:rFonts w:ascii="宋体" w:hAnsi="宋体" w:eastAsia="宋体"/>
          <w:szCs w:val="21"/>
        </w:rPr>
        <w:t>3.1.1评标委员会可以要求投标人提交第二章“投标人须知”第3.5.1项至第3.5.5项规定的有关证明和证件的原件</w:t>
      </w:r>
      <w:r>
        <w:rPr>
          <w:rFonts w:hint="eastAsia" w:ascii="宋体" w:hAnsi="宋体" w:eastAsia="宋体"/>
          <w:szCs w:val="21"/>
        </w:rPr>
        <w:t>，</w:t>
      </w:r>
      <w:r>
        <w:rPr>
          <w:rFonts w:ascii="宋体" w:hAnsi="宋体" w:eastAsia="宋体"/>
          <w:szCs w:val="21"/>
        </w:rPr>
        <w:t>以便核验。评标委员会依据本章第2.1款规定的标准对投标文件第一个信封</w:t>
      </w:r>
      <w:r>
        <w:rPr>
          <w:rFonts w:hint="eastAsia" w:ascii="宋体" w:hAnsi="宋体" w:eastAsia="宋体"/>
          <w:szCs w:val="21"/>
        </w:rPr>
        <w:t>（</w:t>
      </w:r>
      <w:r>
        <w:rPr>
          <w:rFonts w:ascii="宋体" w:hAnsi="宋体" w:eastAsia="宋体"/>
          <w:szCs w:val="21"/>
        </w:rPr>
        <w:t>商务及技术文件</w:t>
      </w:r>
      <w:r>
        <w:rPr>
          <w:rFonts w:hint="eastAsia" w:ascii="宋体" w:hAnsi="宋体" w:eastAsia="宋体"/>
          <w:szCs w:val="21"/>
        </w:rPr>
        <w:t>）</w:t>
      </w:r>
      <w:r>
        <w:rPr>
          <w:rFonts w:ascii="宋体" w:hAnsi="宋体" w:eastAsia="宋体"/>
          <w:szCs w:val="21"/>
        </w:rPr>
        <w:t>进行初步评审。有一项不符合评审标准的，评标委员会应否决其投标</w:t>
      </w:r>
      <w:r>
        <w:rPr>
          <w:rFonts w:hint="eastAsia" w:ascii="宋体" w:hAnsi="宋体" w:eastAsia="宋体"/>
          <w:szCs w:val="21"/>
        </w:rPr>
        <w:t>。</w:t>
      </w:r>
      <w:r>
        <w:rPr>
          <w:rFonts w:ascii="宋体" w:hAnsi="宋体" w:eastAsia="宋体"/>
          <w:szCs w:val="21"/>
        </w:rPr>
        <w:t>（适用于未进行资格预审的）</w:t>
      </w:r>
    </w:p>
    <w:p w14:paraId="04F40FAB">
      <w:pPr>
        <w:spacing w:line="400" w:lineRule="exact"/>
        <w:ind w:firstLine="422" w:firstLineChars="200"/>
        <w:jc w:val="left"/>
        <w:rPr>
          <w:rFonts w:ascii="宋体" w:hAnsi="宋体" w:eastAsia="宋体"/>
          <w:b/>
          <w:bCs/>
          <w:szCs w:val="21"/>
        </w:rPr>
      </w:pPr>
      <w:r>
        <w:rPr>
          <w:rFonts w:ascii="宋体" w:hAnsi="宋体" w:eastAsia="宋体"/>
          <w:b/>
          <w:bCs/>
          <w:szCs w:val="21"/>
        </w:rPr>
        <w:t>3.2第一个信封详细评审</w:t>
      </w:r>
    </w:p>
    <w:p w14:paraId="694A48D2">
      <w:pPr>
        <w:spacing w:line="400" w:lineRule="exact"/>
        <w:ind w:firstLine="420" w:firstLineChars="200"/>
        <w:jc w:val="left"/>
        <w:rPr>
          <w:rFonts w:ascii="宋体" w:hAnsi="宋体" w:eastAsia="宋体"/>
          <w:szCs w:val="21"/>
        </w:rPr>
      </w:pPr>
      <w:r>
        <w:rPr>
          <w:rFonts w:ascii="宋体" w:hAnsi="宋体" w:eastAsia="宋体"/>
          <w:szCs w:val="21"/>
        </w:rPr>
        <w:t>3.2.1评标委员会按本章第2.2款规定的量化因素和分值进行打分，并计算出各投标人的商务和技术得分。</w:t>
      </w:r>
    </w:p>
    <w:p w14:paraId="7EB65502">
      <w:pPr>
        <w:spacing w:line="400" w:lineRule="exact"/>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按本章第2.2.4项</w:t>
      </w:r>
      <w:r>
        <w:rPr>
          <w:rFonts w:hint="eastAsia" w:ascii="宋体" w:hAnsi="宋体" w:eastAsia="宋体"/>
          <w:szCs w:val="21"/>
        </w:rPr>
        <w:t>（1）</w:t>
      </w:r>
      <w:r>
        <w:rPr>
          <w:rFonts w:ascii="宋体" w:hAnsi="宋体" w:eastAsia="宋体"/>
          <w:szCs w:val="21"/>
        </w:rPr>
        <w:t>目规定的评审因素和分值对技术建议书部分计算出得分A</w:t>
      </w:r>
      <w:r>
        <w:rPr>
          <w:rFonts w:hint="eastAsia" w:ascii="宋体" w:hAnsi="宋体" w:eastAsia="宋体"/>
          <w:szCs w:val="21"/>
        </w:rPr>
        <w:t>；</w:t>
      </w:r>
    </w:p>
    <w:p w14:paraId="3508DA75">
      <w:pPr>
        <w:spacing w:line="400" w:lineRule="exact"/>
        <w:ind w:firstLine="420" w:firstLineChars="200"/>
        <w:jc w:val="left"/>
        <w:rPr>
          <w:rFonts w:ascii="宋体" w:hAnsi="宋体" w:eastAsia="宋体"/>
          <w:szCs w:val="21"/>
        </w:rPr>
      </w:pPr>
      <w:r>
        <w:rPr>
          <w:rFonts w:hint="eastAsia" w:ascii="宋体" w:hAnsi="宋体" w:eastAsia="宋体"/>
          <w:szCs w:val="21"/>
        </w:rPr>
        <w:t>（2）</w:t>
      </w:r>
      <w:r>
        <w:rPr>
          <w:rFonts w:ascii="宋体" w:hAnsi="宋体" w:eastAsia="宋体"/>
          <w:szCs w:val="21"/>
        </w:rPr>
        <w:t>按本章第2.2.4项</w:t>
      </w:r>
      <w:r>
        <w:rPr>
          <w:rFonts w:hint="eastAsia" w:ascii="宋体" w:hAnsi="宋体" w:eastAsia="宋体"/>
          <w:szCs w:val="21"/>
        </w:rPr>
        <w:t>（2）</w:t>
      </w:r>
      <w:r>
        <w:rPr>
          <w:rFonts w:ascii="宋体" w:hAnsi="宋体" w:eastAsia="宋体"/>
          <w:szCs w:val="21"/>
        </w:rPr>
        <w:t>目规定的评审因素和分值对主要人员部分计算出得分B</w:t>
      </w:r>
      <w:r>
        <w:rPr>
          <w:rFonts w:hint="eastAsia" w:ascii="宋体" w:hAnsi="宋体" w:eastAsia="宋体"/>
          <w:szCs w:val="21"/>
        </w:rPr>
        <w:t>；</w:t>
      </w:r>
    </w:p>
    <w:p w14:paraId="7687DF5D">
      <w:pPr>
        <w:spacing w:line="400" w:lineRule="exact"/>
        <w:ind w:firstLine="420" w:firstLineChars="200"/>
        <w:jc w:val="left"/>
        <w:rPr>
          <w:rFonts w:ascii="宋体" w:hAnsi="宋体" w:eastAsia="宋体"/>
          <w:szCs w:val="21"/>
        </w:rPr>
      </w:pPr>
      <w:r>
        <w:rPr>
          <w:rFonts w:hint="eastAsia" w:ascii="宋体" w:hAnsi="宋体" w:eastAsia="宋体"/>
          <w:szCs w:val="21"/>
        </w:rPr>
        <w:t>（3）</w:t>
      </w:r>
      <w:r>
        <w:rPr>
          <w:rFonts w:ascii="宋体" w:hAnsi="宋体" w:eastAsia="宋体"/>
          <w:szCs w:val="21"/>
        </w:rPr>
        <w:t>按本章第2.2.4项</w:t>
      </w:r>
      <w:r>
        <w:rPr>
          <w:rFonts w:hint="eastAsia" w:ascii="宋体" w:hAnsi="宋体" w:eastAsia="宋体"/>
          <w:szCs w:val="21"/>
        </w:rPr>
        <w:t>（4）</w:t>
      </w:r>
      <w:r>
        <w:rPr>
          <w:rFonts w:ascii="宋体" w:hAnsi="宋体" w:eastAsia="宋体"/>
          <w:szCs w:val="21"/>
        </w:rPr>
        <w:t>目规定的评审因素和分值对其他部分计算出得分D。</w:t>
      </w:r>
    </w:p>
    <w:p w14:paraId="2844E855">
      <w:pPr>
        <w:spacing w:line="400" w:lineRule="exact"/>
        <w:ind w:firstLine="420" w:firstLineChars="200"/>
        <w:jc w:val="left"/>
        <w:rPr>
          <w:rFonts w:ascii="宋体" w:hAnsi="宋体" w:eastAsia="宋体"/>
          <w:szCs w:val="21"/>
        </w:rPr>
      </w:pPr>
      <w:r>
        <w:rPr>
          <w:rFonts w:ascii="宋体" w:hAnsi="宋体" w:eastAsia="宋体"/>
          <w:szCs w:val="21"/>
        </w:rPr>
        <w:t>3.2.2投标人的商务和技术得分分值计算保留小数点后两位</w:t>
      </w:r>
      <w:r>
        <w:rPr>
          <w:rFonts w:hint="eastAsia" w:ascii="宋体" w:hAnsi="宋体" w:eastAsia="宋体"/>
          <w:szCs w:val="21"/>
        </w:rPr>
        <w:t>，</w:t>
      </w:r>
      <w:r>
        <w:rPr>
          <w:rFonts w:ascii="宋体" w:hAnsi="宋体" w:eastAsia="宋体"/>
          <w:szCs w:val="21"/>
        </w:rPr>
        <w:t>小数点后第三位“四舍五入”。</w:t>
      </w:r>
    </w:p>
    <w:p w14:paraId="541F6125">
      <w:pPr>
        <w:spacing w:line="400" w:lineRule="exact"/>
        <w:ind w:firstLine="420" w:firstLineChars="200"/>
        <w:jc w:val="left"/>
        <w:rPr>
          <w:rFonts w:ascii="宋体" w:hAnsi="宋体" w:eastAsia="宋体"/>
          <w:szCs w:val="21"/>
        </w:rPr>
      </w:pPr>
      <w:r>
        <w:rPr>
          <w:rFonts w:ascii="宋体" w:hAnsi="宋体" w:eastAsia="宋体"/>
          <w:szCs w:val="21"/>
        </w:rPr>
        <w:t>3.2.3投标人的商务和技术得分=A+B+D。</w:t>
      </w:r>
    </w:p>
    <w:p w14:paraId="0C38DB84">
      <w:pPr>
        <w:spacing w:line="400" w:lineRule="exact"/>
        <w:ind w:firstLine="422" w:firstLineChars="200"/>
        <w:jc w:val="left"/>
        <w:rPr>
          <w:rFonts w:ascii="宋体" w:hAnsi="宋体" w:eastAsia="宋体"/>
          <w:b/>
          <w:bCs/>
          <w:szCs w:val="21"/>
        </w:rPr>
      </w:pPr>
      <w:r>
        <w:rPr>
          <w:rFonts w:ascii="宋体" w:hAnsi="宋体" w:eastAsia="宋体"/>
          <w:b/>
          <w:bCs/>
          <w:szCs w:val="21"/>
        </w:rPr>
        <w:t>3.3第二个信封开标</w:t>
      </w:r>
    </w:p>
    <w:p w14:paraId="41B160A5">
      <w:pPr>
        <w:spacing w:line="400" w:lineRule="exact"/>
        <w:ind w:firstLine="420" w:firstLineChars="200"/>
        <w:jc w:val="left"/>
        <w:rPr>
          <w:rFonts w:ascii="宋体" w:hAnsi="宋体" w:eastAsia="宋体"/>
          <w:szCs w:val="21"/>
        </w:rPr>
      </w:pPr>
      <w:r>
        <w:rPr>
          <w:rFonts w:ascii="宋体" w:hAnsi="宋体" w:eastAsia="宋体"/>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6DF257E3">
      <w:pPr>
        <w:spacing w:line="400" w:lineRule="exact"/>
        <w:ind w:firstLine="422" w:firstLineChars="200"/>
        <w:jc w:val="left"/>
        <w:rPr>
          <w:rFonts w:ascii="宋体" w:hAnsi="宋体" w:eastAsia="宋体"/>
          <w:b/>
          <w:bCs/>
          <w:szCs w:val="21"/>
        </w:rPr>
      </w:pPr>
      <w:r>
        <w:rPr>
          <w:rFonts w:ascii="宋体" w:hAnsi="宋体" w:eastAsia="宋体"/>
          <w:b/>
          <w:bCs/>
          <w:szCs w:val="21"/>
        </w:rPr>
        <w:t>3.4第二个信封初步评审</w:t>
      </w:r>
    </w:p>
    <w:p w14:paraId="66F0CC19">
      <w:pPr>
        <w:spacing w:line="400" w:lineRule="exact"/>
        <w:ind w:firstLine="420" w:firstLineChars="200"/>
        <w:jc w:val="left"/>
        <w:rPr>
          <w:rFonts w:ascii="宋体" w:hAnsi="宋体" w:eastAsia="宋体"/>
          <w:szCs w:val="21"/>
        </w:rPr>
      </w:pPr>
      <w:r>
        <w:rPr>
          <w:rFonts w:ascii="宋体" w:hAnsi="宋体" w:eastAsia="宋体"/>
          <w:szCs w:val="21"/>
        </w:rPr>
        <w:t>3.4.1评标委员会依据本章第2.1.1项、第2.1.3项规定的评审标准对投标文件第二个信封（报价文件）进行初步评审。有一项不符合评审标准的，评标委员会应否决其投标。</w:t>
      </w:r>
    </w:p>
    <w:p w14:paraId="6FFE4BB8">
      <w:pPr>
        <w:spacing w:line="400" w:lineRule="exact"/>
        <w:ind w:firstLine="420" w:firstLineChars="200"/>
        <w:jc w:val="left"/>
        <w:rPr>
          <w:rFonts w:ascii="宋体" w:hAnsi="宋体" w:eastAsia="宋体"/>
          <w:szCs w:val="21"/>
        </w:rPr>
      </w:pPr>
      <w:r>
        <w:rPr>
          <w:rFonts w:ascii="宋体" w:hAnsi="宋体" w:eastAsia="宋体"/>
          <w:szCs w:val="21"/>
        </w:rPr>
        <w:t>3.4.2投标报价有算术错误的，评标委员会按以下原则对投标报价进行修正，修正的价格经投标人书面确认后具有约束力。投标人不接受修正价格的，评标委员会应否决其投标。</w:t>
      </w:r>
    </w:p>
    <w:p w14:paraId="37761019">
      <w:pPr>
        <w:spacing w:line="400" w:lineRule="exact"/>
        <w:ind w:firstLine="420" w:firstLineChars="200"/>
        <w:jc w:val="left"/>
        <w:rPr>
          <w:rFonts w:ascii="宋体" w:hAnsi="宋体" w:eastAsia="宋体"/>
          <w:szCs w:val="21"/>
        </w:rPr>
      </w:pPr>
      <w:r>
        <w:rPr>
          <w:rFonts w:ascii="宋体" w:hAnsi="宋体" w:eastAsia="宋体"/>
          <w:szCs w:val="21"/>
        </w:rPr>
        <w:t>（1）投标文件中的大写金额与小写金额不一致的，以大写金额为准；</w:t>
      </w:r>
    </w:p>
    <w:p w14:paraId="3E8C3054">
      <w:pPr>
        <w:spacing w:line="400" w:lineRule="exact"/>
        <w:ind w:firstLine="420" w:firstLineChars="200"/>
        <w:jc w:val="left"/>
        <w:rPr>
          <w:rFonts w:ascii="宋体" w:hAnsi="宋体" w:eastAsia="宋体"/>
          <w:szCs w:val="21"/>
        </w:rPr>
      </w:pPr>
      <w:r>
        <w:rPr>
          <w:rFonts w:hint="eastAsia" w:ascii="宋体" w:hAnsi="宋体" w:eastAsia="宋体"/>
          <w:szCs w:val="21"/>
        </w:rPr>
        <w:t>（2）</w:t>
      </w:r>
      <w:r>
        <w:rPr>
          <w:rFonts w:ascii="宋体" w:hAnsi="宋体" w:eastAsia="宋体"/>
          <w:szCs w:val="21"/>
        </w:rPr>
        <w:t>总价金额与依据单价计算出的结果不一致的，以单价金额为准修正总价，但单价金额小数点有明显错误的除外</w:t>
      </w:r>
      <w:r>
        <w:rPr>
          <w:rFonts w:hint="eastAsia" w:ascii="宋体" w:hAnsi="宋体" w:eastAsia="宋体"/>
          <w:szCs w:val="21"/>
        </w:rPr>
        <w:t>；</w:t>
      </w:r>
    </w:p>
    <w:p w14:paraId="10C348AF">
      <w:pPr>
        <w:spacing w:line="400" w:lineRule="exact"/>
        <w:ind w:firstLine="420" w:firstLineChars="200"/>
        <w:jc w:val="left"/>
        <w:rPr>
          <w:rFonts w:ascii="宋体" w:hAnsi="宋体" w:eastAsia="宋体"/>
          <w:szCs w:val="21"/>
        </w:rPr>
      </w:pPr>
      <w:r>
        <w:rPr>
          <w:rFonts w:hint="eastAsia" w:ascii="宋体" w:hAnsi="宋体" w:eastAsia="宋体"/>
          <w:szCs w:val="21"/>
        </w:rPr>
        <w:t>（3）</w:t>
      </w:r>
      <w:r>
        <w:rPr>
          <w:rFonts w:ascii="宋体" w:hAnsi="宋体" w:eastAsia="宋体"/>
          <w:szCs w:val="21"/>
        </w:rPr>
        <w:t>当单价与数量相乘不等于合价时，以单价计算为准，如果单价有明显的小数点位置差错，应以标出的合价为准，同时对单价予以修正</w:t>
      </w:r>
      <w:r>
        <w:rPr>
          <w:rFonts w:hint="eastAsia" w:ascii="宋体" w:hAnsi="宋体" w:eastAsia="宋体"/>
          <w:szCs w:val="21"/>
        </w:rPr>
        <w:t>；</w:t>
      </w:r>
    </w:p>
    <w:p w14:paraId="1835E22B">
      <w:pPr>
        <w:spacing w:line="400" w:lineRule="exact"/>
        <w:ind w:firstLine="420" w:firstLineChars="200"/>
        <w:jc w:val="left"/>
        <w:rPr>
          <w:rFonts w:ascii="宋体" w:hAnsi="宋体" w:eastAsia="宋体"/>
          <w:szCs w:val="21"/>
        </w:rPr>
      </w:pPr>
      <w:r>
        <w:rPr>
          <w:rFonts w:ascii="宋体" w:hAnsi="宋体" w:eastAsia="宋体"/>
          <w:szCs w:val="21"/>
        </w:rPr>
        <w:t>（4）当各子目的合价累计不等于总价时，应以各子目合价累计数为准，修正总</w:t>
      </w:r>
      <w:r>
        <w:rPr>
          <w:rFonts w:hint="eastAsia" w:ascii="宋体" w:hAnsi="宋体" w:eastAsia="宋体"/>
          <w:szCs w:val="21"/>
        </w:rPr>
        <w:t>价。</w:t>
      </w:r>
    </w:p>
    <w:p w14:paraId="356503B4">
      <w:pPr>
        <w:spacing w:line="400" w:lineRule="exact"/>
        <w:ind w:firstLine="420" w:firstLineChars="200"/>
        <w:jc w:val="left"/>
        <w:rPr>
          <w:rFonts w:ascii="宋体" w:hAnsi="宋体" w:eastAsia="宋体"/>
          <w:szCs w:val="21"/>
        </w:rPr>
      </w:pPr>
      <w:r>
        <w:rPr>
          <w:rFonts w:ascii="宋体" w:hAnsi="宋体" w:eastAsia="宋体"/>
          <w:szCs w:val="21"/>
        </w:rPr>
        <w:t>3.4.3修正后的最终投标报价若超过最高投标限价（如有），评标委员会应否决其投标。</w:t>
      </w:r>
    </w:p>
    <w:p w14:paraId="7BA94B95">
      <w:pPr>
        <w:spacing w:line="400" w:lineRule="exact"/>
        <w:ind w:firstLine="420" w:firstLineChars="200"/>
        <w:jc w:val="left"/>
        <w:rPr>
          <w:rFonts w:ascii="宋体" w:hAnsi="宋体" w:eastAsia="宋体"/>
          <w:szCs w:val="21"/>
        </w:rPr>
      </w:pPr>
      <w:r>
        <w:rPr>
          <w:rFonts w:ascii="宋体" w:hAnsi="宋体" w:eastAsia="宋体"/>
          <w:szCs w:val="21"/>
        </w:rPr>
        <w:t>3.4.4修正后的最终投标报价仅作为签订合同的一个依据，不参与评标价得分的计算。</w:t>
      </w:r>
    </w:p>
    <w:p w14:paraId="58A15ED1">
      <w:pPr>
        <w:spacing w:line="400" w:lineRule="exact"/>
        <w:ind w:firstLine="422" w:firstLineChars="200"/>
        <w:jc w:val="left"/>
        <w:rPr>
          <w:rFonts w:ascii="宋体" w:hAnsi="宋体" w:eastAsia="宋体"/>
          <w:b/>
          <w:bCs/>
          <w:szCs w:val="21"/>
        </w:rPr>
      </w:pPr>
      <w:r>
        <w:rPr>
          <w:rFonts w:ascii="宋体" w:hAnsi="宋体" w:eastAsia="宋体"/>
          <w:b/>
          <w:bCs/>
          <w:szCs w:val="21"/>
        </w:rPr>
        <w:t>3.5第二个信封详细评审</w:t>
      </w:r>
    </w:p>
    <w:p w14:paraId="4DA92831">
      <w:pPr>
        <w:spacing w:line="400" w:lineRule="exact"/>
        <w:ind w:firstLine="420" w:firstLineChars="200"/>
        <w:jc w:val="left"/>
        <w:rPr>
          <w:rFonts w:ascii="宋体" w:hAnsi="宋体" w:eastAsia="宋体"/>
          <w:szCs w:val="21"/>
        </w:rPr>
      </w:pPr>
      <w:r>
        <w:rPr>
          <w:rFonts w:ascii="宋体" w:hAnsi="宋体" w:eastAsia="宋体"/>
          <w:szCs w:val="21"/>
        </w:rPr>
        <w:t>3.5.1评标委员会按本章第2.2.4项</w:t>
      </w:r>
      <w:r>
        <w:rPr>
          <w:rFonts w:hint="eastAsia" w:ascii="宋体" w:hAnsi="宋体" w:eastAsia="宋体"/>
          <w:szCs w:val="21"/>
        </w:rPr>
        <w:t>（3）</w:t>
      </w:r>
      <w:r>
        <w:rPr>
          <w:rFonts w:ascii="宋体" w:hAnsi="宋体" w:eastAsia="宋体"/>
          <w:szCs w:val="21"/>
        </w:rPr>
        <w:t>目规定的评审因素和分值对评标价计算出得分C。评标价得分分值计算保留小数点后两位，小数点后第三位“四舍五入”。</w:t>
      </w:r>
    </w:p>
    <w:p w14:paraId="00B25641">
      <w:pPr>
        <w:spacing w:line="400" w:lineRule="exact"/>
        <w:ind w:firstLine="420" w:firstLineChars="200"/>
        <w:jc w:val="left"/>
        <w:rPr>
          <w:rFonts w:ascii="宋体" w:hAnsi="宋体" w:eastAsia="宋体"/>
          <w:szCs w:val="21"/>
        </w:rPr>
      </w:pPr>
      <w:r>
        <w:rPr>
          <w:rFonts w:ascii="宋体" w:hAnsi="宋体" w:eastAsia="宋体"/>
          <w:szCs w:val="21"/>
        </w:rPr>
        <w:t>3.5.2投标人综合得分</w:t>
      </w:r>
      <w:r>
        <w:rPr>
          <w:rFonts w:hint="eastAsia" w:ascii="宋体" w:hAnsi="宋体" w:eastAsia="宋体"/>
          <w:szCs w:val="21"/>
        </w:rPr>
        <w:t>=</w:t>
      </w:r>
      <w:r>
        <w:rPr>
          <w:rFonts w:ascii="宋体" w:hAnsi="宋体" w:eastAsia="宋体"/>
          <w:szCs w:val="21"/>
        </w:rPr>
        <w:t>投标人的商务和技术得分</w:t>
      </w:r>
      <w:r>
        <w:rPr>
          <w:rFonts w:hint="eastAsia" w:ascii="宋体" w:hAnsi="宋体" w:eastAsia="宋体"/>
          <w:szCs w:val="21"/>
        </w:rPr>
        <w:t>＋</w:t>
      </w:r>
      <w:r>
        <w:rPr>
          <w:rFonts w:ascii="宋体" w:hAnsi="宋体" w:eastAsia="宋体"/>
          <w:szCs w:val="21"/>
        </w:rPr>
        <w:t>C。</w:t>
      </w:r>
    </w:p>
    <w:p w14:paraId="7DE302FC">
      <w:pPr>
        <w:spacing w:line="400" w:lineRule="exact"/>
        <w:ind w:firstLine="420" w:firstLineChars="200"/>
        <w:jc w:val="left"/>
        <w:rPr>
          <w:rFonts w:ascii="宋体" w:hAnsi="宋体" w:eastAsia="宋体"/>
          <w:szCs w:val="21"/>
        </w:rPr>
      </w:pPr>
      <w:r>
        <w:rPr>
          <w:rFonts w:ascii="宋体" w:hAnsi="宋体" w:eastAsia="宋体"/>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r>
        <w:rPr>
          <w:rFonts w:hint="eastAsia" w:ascii="宋体" w:hAnsi="宋体" w:eastAsia="宋体"/>
          <w:szCs w:val="21"/>
        </w:rPr>
        <w:t>。</w:t>
      </w:r>
    </w:p>
    <w:p w14:paraId="53855B20">
      <w:pPr>
        <w:spacing w:line="400" w:lineRule="exact"/>
        <w:ind w:firstLine="422" w:firstLineChars="200"/>
        <w:jc w:val="left"/>
        <w:rPr>
          <w:rFonts w:ascii="宋体" w:hAnsi="宋体" w:eastAsia="宋体"/>
          <w:b/>
          <w:bCs/>
          <w:szCs w:val="21"/>
        </w:rPr>
      </w:pPr>
      <w:r>
        <w:rPr>
          <w:rFonts w:ascii="宋体" w:hAnsi="宋体" w:eastAsia="宋体"/>
          <w:b/>
          <w:bCs/>
          <w:szCs w:val="21"/>
        </w:rPr>
        <w:t>3.6投标文件相关信息的核查</w:t>
      </w:r>
    </w:p>
    <w:p w14:paraId="5EAD48C6">
      <w:pPr>
        <w:spacing w:line="400" w:lineRule="exact"/>
        <w:ind w:firstLine="420" w:firstLineChars="200"/>
        <w:jc w:val="left"/>
        <w:rPr>
          <w:rFonts w:ascii="宋体" w:hAnsi="宋体" w:eastAsia="宋体"/>
          <w:szCs w:val="21"/>
        </w:rPr>
      </w:pPr>
      <w:r>
        <w:rPr>
          <w:rFonts w:ascii="宋体" w:hAnsi="宋体" w:eastAsia="宋体"/>
          <w:szCs w:val="21"/>
        </w:rPr>
        <w:t>3.6.1在评标过程中，评标委员会应查询交通运输主管部门“</w:t>
      </w:r>
      <w:r>
        <w:rPr>
          <w:rFonts w:hint="eastAsia" w:ascii="宋体" w:hAnsi="宋体" w:eastAsia="宋体" w:cs="宋体"/>
          <w:snapToGrid w:val="0"/>
          <w:color w:val="000000"/>
          <w:kern w:val="0"/>
          <w:szCs w:val="21"/>
          <w:lang w:bidi="ar"/>
        </w:rPr>
        <w:t>全国</w:t>
      </w:r>
      <w:r>
        <w:rPr>
          <w:rFonts w:hint="eastAsia" w:ascii="宋体" w:hAnsi="宋体" w:eastAsia="宋体"/>
          <w:szCs w:val="21"/>
        </w:rPr>
        <w:t>公路建设市场监督管理系统</w:t>
      </w:r>
      <w:r>
        <w:rPr>
          <w:rFonts w:ascii="宋体" w:hAnsi="宋体" w:eastAsia="宋体"/>
          <w:szCs w:val="21"/>
        </w:rPr>
        <w:t>”，对投标人的资质、业绩、主要人员资历和目前在岗情况、信用等级等信息进行核实。若投标文件载明的信息与交通运输主管部门“</w:t>
      </w:r>
      <w:r>
        <w:rPr>
          <w:rFonts w:hint="eastAsia" w:ascii="宋体" w:hAnsi="宋体" w:eastAsia="宋体"/>
          <w:szCs w:val="21"/>
        </w:rPr>
        <w:t>全国公路建设市场监督管理系统</w:t>
      </w:r>
      <w:r>
        <w:rPr>
          <w:rFonts w:ascii="宋体" w:hAnsi="宋体" w:eastAsia="宋体"/>
          <w:szCs w:val="21"/>
        </w:rPr>
        <w:t>”发布的信息不符，使得投标人的资格条件不符合招标文件规定的，评标委员会应否决其投标。</w:t>
      </w:r>
    </w:p>
    <w:p w14:paraId="420227FD">
      <w:pPr>
        <w:spacing w:line="400" w:lineRule="exact"/>
        <w:ind w:firstLine="420" w:firstLineChars="200"/>
        <w:jc w:val="left"/>
        <w:rPr>
          <w:rFonts w:ascii="宋体" w:hAnsi="宋体" w:eastAsia="宋体"/>
          <w:szCs w:val="21"/>
        </w:rPr>
      </w:pPr>
      <w:r>
        <w:rPr>
          <w:rFonts w:ascii="宋体" w:hAnsi="宋体" w:eastAsia="宋体"/>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1DB5FB2D">
      <w:pPr>
        <w:spacing w:line="400" w:lineRule="exact"/>
        <w:ind w:firstLine="420" w:firstLineChars="200"/>
        <w:jc w:val="left"/>
        <w:rPr>
          <w:rFonts w:ascii="宋体" w:hAnsi="宋体" w:eastAsia="宋体"/>
          <w:szCs w:val="21"/>
        </w:rPr>
      </w:pPr>
      <w:r>
        <w:rPr>
          <w:rFonts w:ascii="宋体" w:hAnsi="宋体" w:eastAsia="宋体"/>
          <w:szCs w:val="21"/>
        </w:rPr>
        <w:t>（1）有下列情形之一的，属于投标人相互串通投标：</w:t>
      </w:r>
    </w:p>
    <w:p w14:paraId="6EA84E16">
      <w:pPr>
        <w:spacing w:line="400" w:lineRule="exact"/>
        <w:ind w:firstLine="420" w:firstLineChars="200"/>
        <w:jc w:val="left"/>
        <w:rPr>
          <w:rFonts w:ascii="宋体" w:hAnsi="宋体" w:eastAsia="宋体"/>
          <w:szCs w:val="21"/>
        </w:rPr>
      </w:pPr>
      <w:r>
        <w:rPr>
          <w:rFonts w:ascii="宋体" w:hAnsi="宋体" w:eastAsia="宋体"/>
          <w:szCs w:val="21"/>
        </w:rPr>
        <w:t>a.投标人之间协商投标报价等投标文件的实质性内容；</w:t>
      </w:r>
    </w:p>
    <w:p w14:paraId="10EE619A">
      <w:pPr>
        <w:spacing w:line="400" w:lineRule="exact"/>
        <w:ind w:firstLine="420" w:firstLineChars="200"/>
        <w:jc w:val="left"/>
        <w:rPr>
          <w:rFonts w:ascii="宋体" w:hAnsi="宋体" w:eastAsia="宋体"/>
          <w:szCs w:val="21"/>
        </w:rPr>
      </w:pPr>
      <w:r>
        <w:rPr>
          <w:rFonts w:ascii="宋体" w:hAnsi="宋体" w:eastAsia="宋体"/>
          <w:szCs w:val="21"/>
        </w:rPr>
        <w:t>b.投标人之间约定中标人；</w:t>
      </w:r>
    </w:p>
    <w:p w14:paraId="25E82568">
      <w:pPr>
        <w:spacing w:line="400" w:lineRule="exact"/>
        <w:ind w:firstLine="420" w:firstLineChars="200"/>
        <w:jc w:val="left"/>
        <w:rPr>
          <w:rFonts w:ascii="宋体" w:hAnsi="宋体" w:eastAsia="宋体"/>
          <w:szCs w:val="21"/>
        </w:rPr>
      </w:pPr>
      <w:r>
        <w:rPr>
          <w:rFonts w:ascii="宋体" w:hAnsi="宋体" w:eastAsia="宋体"/>
          <w:szCs w:val="21"/>
        </w:rPr>
        <w:t>c.投标人之间约定部分投标人放弃投标或中标；</w:t>
      </w:r>
    </w:p>
    <w:p w14:paraId="7B526149">
      <w:pPr>
        <w:spacing w:line="400" w:lineRule="exact"/>
        <w:ind w:firstLine="420" w:firstLineChars="200"/>
        <w:jc w:val="left"/>
        <w:rPr>
          <w:rFonts w:ascii="宋体" w:hAnsi="宋体" w:eastAsia="宋体"/>
          <w:szCs w:val="21"/>
        </w:rPr>
      </w:pPr>
      <w:r>
        <w:rPr>
          <w:rFonts w:ascii="宋体" w:hAnsi="宋体" w:eastAsia="宋体"/>
          <w:szCs w:val="21"/>
        </w:rPr>
        <w:t>d.属于同一集团、协会、商会等组织成员的投标人按照该组织要求协同投标；</w:t>
      </w:r>
    </w:p>
    <w:p w14:paraId="161B096D">
      <w:pPr>
        <w:spacing w:line="400" w:lineRule="exact"/>
        <w:ind w:firstLine="420" w:firstLineChars="200"/>
        <w:jc w:val="left"/>
        <w:rPr>
          <w:rFonts w:ascii="宋体" w:hAnsi="宋体" w:eastAsia="宋体"/>
          <w:szCs w:val="21"/>
        </w:rPr>
      </w:pPr>
      <w:r>
        <w:rPr>
          <w:rFonts w:ascii="宋体" w:hAnsi="宋体" w:eastAsia="宋体"/>
          <w:szCs w:val="21"/>
        </w:rPr>
        <w:t>e.投标人之间为谋取中标或排斥特定投标人而采取的其他联合行动。</w:t>
      </w:r>
    </w:p>
    <w:p w14:paraId="06A0C1B8">
      <w:pPr>
        <w:spacing w:line="400" w:lineRule="exact"/>
        <w:ind w:firstLine="420" w:firstLineChars="200"/>
        <w:jc w:val="left"/>
        <w:rPr>
          <w:rFonts w:ascii="宋体" w:hAnsi="宋体" w:eastAsia="宋体"/>
          <w:szCs w:val="21"/>
        </w:rPr>
      </w:pPr>
      <w:r>
        <w:rPr>
          <w:rFonts w:ascii="宋体" w:hAnsi="宋体" w:eastAsia="宋体"/>
          <w:szCs w:val="21"/>
        </w:rPr>
        <w:t>（2）有下列情形之一的，视为投标人相互串通投标：</w:t>
      </w:r>
    </w:p>
    <w:p w14:paraId="7336C51F">
      <w:pPr>
        <w:spacing w:line="400" w:lineRule="exact"/>
        <w:ind w:firstLine="420" w:firstLineChars="200"/>
        <w:jc w:val="left"/>
        <w:rPr>
          <w:rFonts w:ascii="宋体" w:hAnsi="宋体" w:eastAsia="宋体"/>
          <w:szCs w:val="21"/>
        </w:rPr>
      </w:pPr>
      <w:r>
        <w:rPr>
          <w:rFonts w:ascii="宋体" w:hAnsi="宋体" w:eastAsia="宋体"/>
          <w:szCs w:val="21"/>
        </w:rPr>
        <w:t>a.不同投标人的投标文件由同一单位或个人编制；</w:t>
      </w:r>
    </w:p>
    <w:p w14:paraId="67429F95">
      <w:pPr>
        <w:spacing w:line="400" w:lineRule="exact"/>
        <w:ind w:firstLine="420" w:firstLineChars="200"/>
        <w:jc w:val="left"/>
        <w:rPr>
          <w:rFonts w:ascii="宋体" w:hAnsi="宋体" w:eastAsia="宋体"/>
          <w:szCs w:val="21"/>
        </w:rPr>
      </w:pPr>
      <w:r>
        <w:rPr>
          <w:rFonts w:ascii="宋体" w:hAnsi="宋体" w:eastAsia="宋体"/>
          <w:szCs w:val="21"/>
        </w:rPr>
        <w:t>b.不同投标人委托同一单位或个人办理投标事宜；</w:t>
      </w:r>
    </w:p>
    <w:p w14:paraId="40AA664D">
      <w:pPr>
        <w:spacing w:line="400" w:lineRule="exact"/>
        <w:ind w:firstLine="420" w:firstLineChars="200"/>
        <w:jc w:val="left"/>
        <w:rPr>
          <w:rFonts w:ascii="宋体" w:hAnsi="宋体" w:eastAsia="宋体"/>
          <w:szCs w:val="21"/>
        </w:rPr>
      </w:pPr>
      <w:r>
        <w:rPr>
          <w:rFonts w:hint="eastAsia" w:ascii="宋体" w:hAnsi="宋体" w:eastAsia="宋体"/>
          <w:szCs w:val="21"/>
        </w:rPr>
        <w:t>c</w:t>
      </w:r>
      <w:r>
        <w:rPr>
          <w:rFonts w:ascii="宋体" w:hAnsi="宋体" w:eastAsia="宋体"/>
          <w:szCs w:val="21"/>
        </w:rPr>
        <w:t>.不同投标人的投标文件载明的项目管理成员为同一人；</w:t>
      </w:r>
    </w:p>
    <w:p w14:paraId="60F4A277">
      <w:pPr>
        <w:spacing w:line="400" w:lineRule="exact"/>
        <w:ind w:firstLine="420" w:firstLineChars="200"/>
        <w:jc w:val="left"/>
        <w:rPr>
          <w:rFonts w:ascii="宋体" w:hAnsi="宋体" w:eastAsia="宋体"/>
          <w:szCs w:val="21"/>
        </w:rPr>
      </w:pPr>
      <w:r>
        <w:rPr>
          <w:rFonts w:ascii="宋体" w:hAnsi="宋体" w:eastAsia="宋体"/>
          <w:szCs w:val="21"/>
        </w:rPr>
        <w:t>d.不同投标人的投标文件异常一致或投标报价呈规律性差异；</w:t>
      </w:r>
    </w:p>
    <w:p w14:paraId="7245CD08">
      <w:pPr>
        <w:spacing w:line="400" w:lineRule="exact"/>
        <w:ind w:firstLine="420" w:firstLineChars="200"/>
        <w:jc w:val="left"/>
        <w:rPr>
          <w:rFonts w:ascii="宋体" w:hAnsi="宋体" w:eastAsia="宋体"/>
          <w:szCs w:val="21"/>
        </w:rPr>
      </w:pPr>
      <w:r>
        <w:rPr>
          <w:rFonts w:ascii="宋体" w:hAnsi="宋体" w:eastAsia="宋体"/>
          <w:szCs w:val="21"/>
        </w:rPr>
        <w:t>e.不同投标人的投标文件相互混装；</w:t>
      </w:r>
    </w:p>
    <w:p w14:paraId="30F09939">
      <w:pPr>
        <w:spacing w:line="400" w:lineRule="exact"/>
        <w:ind w:firstLine="420" w:firstLineChars="200"/>
        <w:jc w:val="left"/>
        <w:rPr>
          <w:rFonts w:ascii="宋体" w:hAnsi="宋体" w:eastAsia="宋体"/>
          <w:szCs w:val="21"/>
        </w:rPr>
      </w:pPr>
      <w:r>
        <w:rPr>
          <w:rFonts w:ascii="宋体" w:hAnsi="宋体" w:eastAsia="宋体"/>
          <w:szCs w:val="21"/>
        </w:rPr>
        <w:t>f.不同投标人的投标保证金从同一单位或个人的账户转出。</w:t>
      </w:r>
    </w:p>
    <w:p w14:paraId="1B2CB31F">
      <w:pPr>
        <w:spacing w:line="400" w:lineRule="exact"/>
        <w:ind w:firstLine="420" w:firstLineChars="200"/>
        <w:jc w:val="left"/>
        <w:rPr>
          <w:rFonts w:ascii="宋体" w:hAnsi="宋体" w:eastAsia="宋体"/>
          <w:szCs w:val="21"/>
        </w:rPr>
      </w:pPr>
      <w:r>
        <w:rPr>
          <w:rFonts w:ascii="宋体" w:hAnsi="宋体" w:eastAsia="宋体"/>
          <w:szCs w:val="21"/>
        </w:rPr>
        <w:t>（3）有下列情形之一的，属于招标人与投标人串通投标：</w:t>
      </w:r>
    </w:p>
    <w:p w14:paraId="3FF8956B">
      <w:pPr>
        <w:spacing w:line="400" w:lineRule="exact"/>
        <w:ind w:firstLine="420" w:firstLineChars="200"/>
        <w:jc w:val="left"/>
        <w:rPr>
          <w:rFonts w:ascii="宋体" w:hAnsi="宋体" w:eastAsia="宋体"/>
          <w:szCs w:val="21"/>
        </w:rPr>
      </w:pPr>
      <w:r>
        <w:rPr>
          <w:rFonts w:ascii="宋体" w:hAnsi="宋体" w:eastAsia="宋体"/>
          <w:szCs w:val="21"/>
        </w:rPr>
        <w:t>a.招标人在开标前开启投标文件并将有关信息泄露给其他投标人；</w:t>
      </w:r>
    </w:p>
    <w:p w14:paraId="3FBF5660">
      <w:pPr>
        <w:spacing w:line="400" w:lineRule="exact"/>
        <w:ind w:firstLine="420" w:firstLineChars="200"/>
        <w:jc w:val="left"/>
        <w:rPr>
          <w:rFonts w:ascii="宋体" w:hAnsi="宋体" w:eastAsia="宋体"/>
          <w:szCs w:val="21"/>
        </w:rPr>
      </w:pPr>
      <w:r>
        <w:rPr>
          <w:rFonts w:ascii="宋体" w:hAnsi="宋体" w:eastAsia="宋体"/>
          <w:szCs w:val="21"/>
        </w:rPr>
        <w:t>b.招标人直接或间接向投标人泄露标底、评标委员会成员等信息；</w:t>
      </w:r>
    </w:p>
    <w:p w14:paraId="6EA2BE38">
      <w:pPr>
        <w:spacing w:line="400" w:lineRule="exact"/>
        <w:ind w:firstLine="420" w:firstLineChars="200"/>
        <w:jc w:val="left"/>
        <w:rPr>
          <w:rFonts w:ascii="宋体" w:hAnsi="宋体" w:eastAsia="宋体"/>
          <w:szCs w:val="21"/>
        </w:rPr>
      </w:pPr>
      <w:r>
        <w:rPr>
          <w:rFonts w:ascii="宋体" w:hAnsi="宋体" w:eastAsia="宋体"/>
          <w:szCs w:val="21"/>
        </w:rPr>
        <w:t>c.招标人明示或暗示投标人压低或抬高投标报价</w:t>
      </w:r>
      <w:r>
        <w:rPr>
          <w:rFonts w:hint="eastAsia" w:ascii="宋体" w:hAnsi="宋体" w:eastAsia="宋体"/>
          <w:szCs w:val="21"/>
        </w:rPr>
        <w:t>；</w:t>
      </w:r>
    </w:p>
    <w:p w14:paraId="43C120D4">
      <w:pPr>
        <w:spacing w:line="400" w:lineRule="exact"/>
        <w:ind w:firstLine="420" w:firstLineChars="200"/>
        <w:jc w:val="left"/>
        <w:rPr>
          <w:rFonts w:ascii="宋体" w:hAnsi="宋体" w:eastAsia="宋体"/>
          <w:szCs w:val="21"/>
        </w:rPr>
      </w:pPr>
      <w:r>
        <w:rPr>
          <w:rFonts w:ascii="宋体" w:hAnsi="宋体" w:eastAsia="宋体"/>
          <w:szCs w:val="21"/>
        </w:rPr>
        <w:t>d.招标人授意投标人撤换、修改投标文件；</w:t>
      </w:r>
    </w:p>
    <w:p w14:paraId="17C1A5F6">
      <w:pPr>
        <w:spacing w:line="400" w:lineRule="exact"/>
        <w:ind w:firstLine="420" w:firstLineChars="200"/>
        <w:jc w:val="left"/>
        <w:rPr>
          <w:rFonts w:ascii="宋体" w:hAnsi="宋体" w:eastAsia="宋体"/>
          <w:szCs w:val="21"/>
        </w:rPr>
      </w:pPr>
      <w:r>
        <w:rPr>
          <w:rFonts w:ascii="宋体" w:hAnsi="宋体" w:eastAsia="宋体"/>
          <w:szCs w:val="21"/>
        </w:rPr>
        <w:t>e.招标人明示或暗示投标人为特定投标人中标提供方便</w:t>
      </w:r>
      <w:r>
        <w:rPr>
          <w:rFonts w:hint="eastAsia" w:ascii="宋体" w:hAnsi="宋体" w:eastAsia="宋体"/>
          <w:szCs w:val="21"/>
        </w:rPr>
        <w:t>；</w:t>
      </w:r>
    </w:p>
    <w:p w14:paraId="0672FA99">
      <w:pPr>
        <w:spacing w:line="400" w:lineRule="exact"/>
        <w:ind w:firstLine="420" w:firstLineChars="200"/>
        <w:jc w:val="left"/>
        <w:rPr>
          <w:rFonts w:ascii="宋体" w:hAnsi="宋体" w:eastAsia="宋体"/>
          <w:szCs w:val="21"/>
        </w:rPr>
      </w:pPr>
      <w:r>
        <w:rPr>
          <w:rFonts w:ascii="宋体" w:hAnsi="宋体" w:eastAsia="宋体"/>
          <w:szCs w:val="21"/>
        </w:rPr>
        <w:t>f.招标人与投标人为谋求特定投标人中标而采取的其他串通行为。</w:t>
      </w:r>
    </w:p>
    <w:p w14:paraId="2D373C25">
      <w:pPr>
        <w:spacing w:line="400" w:lineRule="exact"/>
        <w:ind w:firstLine="420" w:firstLineChars="200"/>
        <w:jc w:val="left"/>
        <w:rPr>
          <w:rFonts w:ascii="宋体" w:hAnsi="宋体" w:eastAsia="宋体"/>
          <w:szCs w:val="21"/>
        </w:rPr>
      </w:pPr>
      <w:r>
        <w:rPr>
          <w:rFonts w:ascii="宋体" w:hAnsi="宋体" w:eastAsia="宋体"/>
          <w:szCs w:val="21"/>
        </w:rPr>
        <w:t>（4）投标人有下列情形之一的，属于弄虚作假的行为：</w:t>
      </w:r>
    </w:p>
    <w:p w14:paraId="41BBD233">
      <w:pPr>
        <w:spacing w:line="400" w:lineRule="exact"/>
        <w:ind w:firstLine="420" w:firstLineChars="200"/>
        <w:jc w:val="left"/>
        <w:rPr>
          <w:rFonts w:ascii="宋体" w:hAnsi="宋体" w:eastAsia="宋体"/>
          <w:szCs w:val="21"/>
        </w:rPr>
      </w:pPr>
      <w:r>
        <w:rPr>
          <w:rFonts w:ascii="宋体" w:hAnsi="宋体" w:eastAsia="宋体"/>
          <w:szCs w:val="21"/>
        </w:rPr>
        <w:t>a.使用通过受让或租借等方式获取的资格、资质证书投标</w:t>
      </w:r>
      <w:r>
        <w:rPr>
          <w:rFonts w:hint="eastAsia" w:ascii="宋体" w:hAnsi="宋体" w:eastAsia="宋体"/>
          <w:szCs w:val="21"/>
        </w:rPr>
        <w:t>；</w:t>
      </w:r>
    </w:p>
    <w:p w14:paraId="6D5159D8">
      <w:pPr>
        <w:spacing w:line="400" w:lineRule="exact"/>
        <w:ind w:firstLine="420" w:firstLineChars="200"/>
        <w:jc w:val="left"/>
        <w:rPr>
          <w:rFonts w:ascii="宋体" w:hAnsi="宋体" w:eastAsia="宋体"/>
          <w:szCs w:val="21"/>
        </w:rPr>
      </w:pPr>
      <w:r>
        <w:rPr>
          <w:rFonts w:ascii="宋体" w:hAnsi="宋体" w:eastAsia="宋体"/>
          <w:szCs w:val="21"/>
        </w:rPr>
        <w:t>b.使用伪造、变造的许可证</w:t>
      </w:r>
      <w:r>
        <w:rPr>
          <w:rFonts w:hint="eastAsia" w:ascii="宋体" w:hAnsi="宋体" w:eastAsia="宋体"/>
          <w:szCs w:val="21"/>
        </w:rPr>
        <w:t>；</w:t>
      </w:r>
    </w:p>
    <w:p w14:paraId="0B88C1E0">
      <w:pPr>
        <w:spacing w:line="400" w:lineRule="exact"/>
        <w:ind w:firstLine="420" w:firstLineChars="200"/>
        <w:jc w:val="left"/>
        <w:rPr>
          <w:rFonts w:ascii="宋体" w:hAnsi="宋体" w:eastAsia="宋体"/>
          <w:szCs w:val="21"/>
        </w:rPr>
      </w:pPr>
      <w:r>
        <w:rPr>
          <w:rFonts w:hint="eastAsia" w:ascii="宋体" w:hAnsi="宋体" w:eastAsia="宋体"/>
          <w:szCs w:val="21"/>
        </w:rPr>
        <w:t>c</w:t>
      </w:r>
      <w:r>
        <w:rPr>
          <w:rFonts w:ascii="宋体" w:hAnsi="宋体" w:eastAsia="宋体"/>
          <w:szCs w:val="21"/>
        </w:rPr>
        <w:t>.提供虚假的业绩；</w:t>
      </w:r>
    </w:p>
    <w:p w14:paraId="3326ED0E">
      <w:pPr>
        <w:spacing w:line="400" w:lineRule="exact"/>
        <w:ind w:firstLine="420" w:firstLineChars="200"/>
        <w:jc w:val="left"/>
        <w:rPr>
          <w:rFonts w:ascii="宋体" w:hAnsi="宋体" w:eastAsia="宋体"/>
          <w:szCs w:val="21"/>
        </w:rPr>
      </w:pPr>
      <w:r>
        <w:rPr>
          <w:rFonts w:ascii="宋体" w:hAnsi="宋体" w:eastAsia="宋体"/>
          <w:szCs w:val="21"/>
        </w:rPr>
        <w:t>d.提供虚假的项目负责人或主要技术人员简历、劳动关系证明</w:t>
      </w:r>
      <w:r>
        <w:rPr>
          <w:rFonts w:hint="eastAsia" w:ascii="宋体" w:hAnsi="宋体" w:eastAsia="宋体"/>
          <w:szCs w:val="21"/>
        </w:rPr>
        <w:t>；</w:t>
      </w:r>
    </w:p>
    <w:p w14:paraId="27D9A385">
      <w:pPr>
        <w:spacing w:line="400" w:lineRule="exact"/>
        <w:ind w:firstLine="420" w:firstLineChars="200"/>
        <w:jc w:val="left"/>
        <w:rPr>
          <w:rFonts w:ascii="宋体" w:hAnsi="宋体" w:eastAsia="宋体"/>
          <w:szCs w:val="21"/>
        </w:rPr>
      </w:pPr>
      <w:r>
        <w:rPr>
          <w:rFonts w:ascii="宋体" w:hAnsi="宋体" w:eastAsia="宋体"/>
          <w:szCs w:val="21"/>
        </w:rPr>
        <w:t>e.提供虚假的信用状况</w:t>
      </w:r>
      <w:r>
        <w:rPr>
          <w:rFonts w:hint="eastAsia" w:ascii="宋体" w:hAnsi="宋体" w:eastAsia="宋体"/>
          <w:szCs w:val="21"/>
        </w:rPr>
        <w:t>；</w:t>
      </w:r>
    </w:p>
    <w:p w14:paraId="2DD78437">
      <w:pPr>
        <w:spacing w:line="400" w:lineRule="exact"/>
        <w:ind w:firstLine="420" w:firstLineChars="200"/>
        <w:jc w:val="left"/>
        <w:rPr>
          <w:rFonts w:ascii="宋体" w:hAnsi="宋体" w:eastAsia="宋体"/>
          <w:szCs w:val="21"/>
        </w:rPr>
      </w:pPr>
      <w:r>
        <w:rPr>
          <w:rFonts w:ascii="宋体" w:hAnsi="宋体" w:eastAsia="宋体"/>
          <w:szCs w:val="21"/>
        </w:rPr>
        <w:t>f.其他弄虚作假的行为。</w:t>
      </w:r>
    </w:p>
    <w:p w14:paraId="10F46C46">
      <w:pPr>
        <w:spacing w:line="400" w:lineRule="exact"/>
        <w:ind w:firstLine="422" w:firstLineChars="200"/>
        <w:jc w:val="left"/>
        <w:rPr>
          <w:rFonts w:ascii="宋体" w:hAnsi="宋体" w:eastAsia="宋体"/>
          <w:b/>
          <w:bCs/>
          <w:szCs w:val="21"/>
        </w:rPr>
      </w:pPr>
      <w:r>
        <w:rPr>
          <w:rFonts w:ascii="宋体" w:hAnsi="宋体" w:eastAsia="宋体"/>
          <w:b/>
          <w:bCs/>
          <w:szCs w:val="21"/>
        </w:rPr>
        <w:t>3.7投标文件的澄清和说明</w:t>
      </w:r>
    </w:p>
    <w:p w14:paraId="2C27090E">
      <w:pPr>
        <w:spacing w:line="400" w:lineRule="exact"/>
        <w:ind w:firstLine="420" w:firstLineChars="200"/>
        <w:jc w:val="left"/>
        <w:rPr>
          <w:rFonts w:ascii="宋体" w:hAnsi="宋体" w:eastAsia="宋体"/>
          <w:szCs w:val="21"/>
        </w:rPr>
      </w:pPr>
      <w:r>
        <w:rPr>
          <w:rFonts w:ascii="宋体" w:hAnsi="宋体" w:eastAsia="宋体"/>
          <w:szCs w:val="21"/>
        </w:rPr>
        <w:t>3.7.1在评标过程中</w:t>
      </w:r>
      <w:r>
        <w:rPr>
          <w:rFonts w:hint="eastAsia" w:ascii="宋体" w:hAnsi="宋体" w:eastAsia="宋体"/>
          <w:szCs w:val="21"/>
        </w:rPr>
        <w:t>，</w:t>
      </w:r>
      <w:r>
        <w:rPr>
          <w:rFonts w:ascii="宋体" w:hAnsi="宋体" w:eastAsia="宋体"/>
          <w:szCs w:val="21"/>
        </w:rPr>
        <w:t>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8F95026">
      <w:pPr>
        <w:spacing w:line="400" w:lineRule="exact"/>
        <w:ind w:firstLine="420" w:firstLineChars="200"/>
        <w:jc w:val="left"/>
        <w:rPr>
          <w:rFonts w:ascii="宋体" w:hAnsi="宋体" w:eastAsia="宋体"/>
          <w:szCs w:val="21"/>
        </w:rPr>
      </w:pPr>
      <w:r>
        <w:rPr>
          <w:rFonts w:ascii="宋体" w:hAnsi="宋体" w:eastAsia="宋体"/>
          <w:szCs w:val="21"/>
        </w:rPr>
        <w:t>3.7.2澄清和说明不得超出投标文件的范围或改变投标文件的实质性内容（算术性错误的修正除外）。投标人的书面澄清、说明属于投标文件的组成部分。</w:t>
      </w:r>
    </w:p>
    <w:p w14:paraId="5483B566">
      <w:pPr>
        <w:spacing w:line="400" w:lineRule="exact"/>
        <w:ind w:firstLine="420" w:firstLineChars="200"/>
        <w:jc w:val="left"/>
        <w:rPr>
          <w:rFonts w:ascii="宋体" w:hAnsi="宋体" w:eastAsia="宋体"/>
          <w:szCs w:val="21"/>
        </w:rPr>
      </w:pPr>
      <w:r>
        <w:rPr>
          <w:rFonts w:ascii="宋体" w:hAnsi="宋体" w:eastAsia="宋体"/>
          <w:szCs w:val="21"/>
        </w:rPr>
        <w:t>3.7.3评标委员会不得暗示或诱导投标人作出澄清、说明，对投标人提交的澄清、说明有疑问的，可以要求投标人进一步澄清或说明，直至满足评标委员会的要求。</w:t>
      </w:r>
    </w:p>
    <w:p w14:paraId="72E4EA68">
      <w:pPr>
        <w:spacing w:line="400" w:lineRule="exact"/>
        <w:ind w:firstLine="420" w:firstLineChars="200"/>
        <w:jc w:val="left"/>
        <w:rPr>
          <w:rFonts w:ascii="宋体" w:hAnsi="宋体" w:eastAsia="宋体"/>
          <w:szCs w:val="21"/>
        </w:rPr>
      </w:pPr>
      <w:r>
        <w:rPr>
          <w:rFonts w:ascii="宋体" w:hAnsi="宋体" w:eastAsia="宋体"/>
          <w:szCs w:val="21"/>
        </w:rPr>
        <w:t>3.7.4凡超出招标文件规定的或给委托人带来未曾要求的利益的变化、偏差或其他因素在评标时不予考虑。</w:t>
      </w:r>
    </w:p>
    <w:p w14:paraId="48FADCBE">
      <w:pPr>
        <w:spacing w:line="400" w:lineRule="exact"/>
        <w:ind w:firstLine="422" w:firstLineChars="200"/>
        <w:jc w:val="left"/>
        <w:rPr>
          <w:rFonts w:ascii="宋体" w:hAnsi="宋体" w:eastAsia="宋体"/>
          <w:b/>
          <w:bCs/>
          <w:szCs w:val="21"/>
        </w:rPr>
      </w:pPr>
      <w:r>
        <w:rPr>
          <w:rFonts w:ascii="宋体" w:hAnsi="宋体" w:eastAsia="宋体"/>
          <w:b/>
          <w:bCs/>
          <w:szCs w:val="21"/>
        </w:rPr>
        <w:t>3.8不得否决投标的情形</w:t>
      </w:r>
    </w:p>
    <w:p w14:paraId="49A7E520">
      <w:pPr>
        <w:spacing w:line="400" w:lineRule="exact"/>
        <w:ind w:firstLine="420" w:firstLineChars="200"/>
        <w:jc w:val="left"/>
        <w:rPr>
          <w:rFonts w:ascii="宋体" w:hAnsi="宋体" w:eastAsia="宋体"/>
          <w:szCs w:val="21"/>
        </w:rPr>
      </w:pPr>
      <w:r>
        <w:rPr>
          <w:rFonts w:ascii="宋体" w:hAnsi="宋体" w:eastAsia="宋体"/>
          <w:szCs w:val="21"/>
        </w:rPr>
        <w:t>投标文件存在第二章“投标人须知”第1.12.3项所列情形的，均视为细微偏差，评标委员会不得否决投标人的投标，应按照第二章“投标人须知”第1.12.4项规定的原则处理。</w:t>
      </w:r>
    </w:p>
    <w:p w14:paraId="60186983">
      <w:pPr>
        <w:spacing w:line="400" w:lineRule="exact"/>
        <w:ind w:firstLine="422" w:firstLineChars="200"/>
        <w:jc w:val="left"/>
        <w:rPr>
          <w:rFonts w:ascii="宋体" w:hAnsi="宋体" w:eastAsia="宋体"/>
          <w:b/>
          <w:bCs/>
          <w:szCs w:val="21"/>
        </w:rPr>
      </w:pPr>
      <w:r>
        <w:rPr>
          <w:rFonts w:ascii="宋体" w:hAnsi="宋体" w:eastAsia="宋体"/>
          <w:b/>
          <w:bCs/>
          <w:szCs w:val="21"/>
        </w:rPr>
        <w:t>3.9评标结果</w:t>
      </w:r>
    </w:p>
    <w:p w14:paraId="55485A64">
      <w:pPr>
        <w:spacing w:line="400" w:lineRule="exact"/>
        <w:ind w:firstLine="420" w:firstLineChars="200"/>
        <w:jc w:val="left"/>
        <w:rPr>
          <w:rFonts w:ascii="宋体" w:hAnsi="宋体" w:eastAsia="宋体"/>
          <w:szCs w:val="21"/>
        </w:rPr>
      </w:pPr>
      <w:r>
        <w:rPr>
          <w:rFonts w:ascii="宋体" w:hAnsi="宋体" w:eastAsia="宋体"/>
          <w:szCs w:val="21"/>
        </w:rPr>
        <w:t>3.9.1除第二章“投标人须知”前附表授权直接确定中标人外，评标委员会按照得分由高到低的顺序推荐中标候选人，并标明排序。</w:t>
      </w:r>
    </w:p>
    <w:p w14:paraId="330DB5B7">
      <w:pPr>
        <w:spacing w:line="400" w:lineRule="exact"/>
        <w:ind w:firstLine="420" w:firstLineChars="200"/>
        <w:jc w:val="left"/>
        <w:rPr>
          <w:lang w:val="en-US"/>
        </w:rPr>
        <w:sectPr>
          <w:pgSz w:w="11906" w:h="16838"/>
          <w:pgMar w:top="1440" w:right="1080" w:bottom="1440" w:left="1080" w:header="851" w:footer="992" w:gutter="0"/>
          <w:cols w:space="425" w:num="1"/>
          <w:docGrid w:type="lines" w:linePitch="312" w:charSpace="0"/>
        </w:sectPr>
      </w:pPr>
      <w:r>
        <w:rPr>
          <w:rFonts w:ascii="宋体" w:hAnsi="宋体" w:eastAsia="宋体"/>
          <w:szCs w:val="21"/>
        </w:rPr>
        <w:t>3.9.2评标委员会完成评标后，应向招标人提交书面评标报告</w:t>
      </w:r>
      <w:r>
        <w:rPr>
          <w:rFonts w:hint="eastAsia" w:ascii="宋体" w:hAnsi="宋体" w:eastAsia="宋体"/>
          <w:szCs w:val="21"/>
        </w:rPr>
        <w:t>。</w:t>
      </w:r>
    </w:p>
    <w:p w14:paraId="693163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429CE"/>
    <w:multiLevelType w:val="singleLevel"/>
    <w:tmpl w:val="EB6429CE"/>
    <w:lvl w:ilvl="0" w:tentative="0">
      <w:start w:val="3"/>
      <w:numFmt w:val="chineseCounting"/>
      <w:suff w:val="space"/>
      <w:lvlText w:val="第%1章"/>
      <w:lvlJc w:val="left"/>
      <w:rPr>
        <w:rFonts w:hint="eastAsia" w:ascii="黑体" w:hAns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NTQ3NjFlM2FlODg2ODkwZTE5M2ZmYTQ1OTg2MWQifQ=="/>
  </w:docVars>
  <w:rsids>
    <w:rsidRoot w:val="00000000"/>
    <w:rsid w:val="3954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widowControl/>
      <w:spacing w:after="120" w:line="480" w:lineRule="auto"/>
    </w:pPr>
    <w:rPr>
      <w:rFonts w:ascii="Calibri" w:hAnsi="Calibri"/>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空2字"/>
    <w:basedOn w:val="2"/>
    <w:autoRedefine/>
    <w:qFormat/>
    <w:uiPriority w:val="0"/>
    <w:pPr>
      <w:widowControl w:val="0"/>
      <w:snapToGrid w:val="0"/>
      <w:spacing w:after="0" w:line="560" w:lineRule="exact"/>
      <w:ind w:firstLine="648"/>
    </w:pPr>
    <w:rPr>
      <w:rFonts w:ascii="仿宋_GB2312" w:hAnsi="微软雅黑"/>
      <w:color w:val="000000"/>
      <w:spacing w:val="2"/>
      <w:szCs w:val="26"/>
      <w:shd w:val="clear" w:color="auto" w:fill="FFFFFF"/>
      <w:lang w:val="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2024-08-13T07:09:59Z</dcterms:created>
  <dc:creator>Administrator</dc:creator>
  <cp:lastModifiedBy>Administrator</cp:lastModifiedBy>
  <dcterms:modified xsi:type="dcterms:W3CDTF">2024-08-13T07:16:25Z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B826A7A2D1DE4A3682ED1DFCA6A82F7F_12</vt:lpwstr>
  </property>
</Properties>
</file>