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88E5F">
      <w:pPr>
        <w:jc w:val="left"/>
        <w:rPr>
          <w:rFonts w:eastAsia="仿宋_GB2312"/>
          <w:bCs/>
          <w:color w:val="auto"/>
          <w:sz w:val="28"/>
          <w:szCs w:val="28"/>
          <w:highlight w:val="none"/>
        </w:rPr>
      </w:pPr>
      <w:bookmarkStart w:id="1033" w:name="_GoBack"/>
      <w:bookmarkEnd w:id="1033"/>
      <w:r>
        <w:rPr>
          <w:rFonts w:eastAsia="仿宋_GB2312"/>
          <w:bCs/>
          <w:color w:val="auto"/>
          <w:sz w:val="28"/>
          <w:szCs w:val="28"/>
          <w:highlight w:val="none"/>
        </w:rPr>
        <w:t>（GF—201</w:t>
      </w:r>
      <w:r>
        <w:rPr>
          <w:rFonts w:hint="eastAsia" w:eastAsia="仿宋_GB2312"/>
          <w:bCs/>
          <w:color w:val="auto"/>
          <w:sz w:val="28"/>
          <w:szCs w:val="28"/>
          <w:highlight w:val="none"/>
        </w:rPr>
        <w:t>7</w:t>
      </w:r>
      <w:r>
        <w:rPr>
          <w:rFonts w:eastAsia="仿宋_GB2312"/>
          <w:bCs/>
          <w:color w:val="auto"/>
          <w:sz w:val="28"/>
          <w:szCs w:val="28"/>
          <w:highlight w:val="none"/>
        </w:rPr>
        <w:t>—</w:t>
      </w:r>
      <w:r>
        <w:rPr>
          <w:rFonts w:hint="eastAsia" w:eastAsia="仿宋_GB2312"/>
          <w:bCs/>
          <w:color w:val="auto"/>
          <w:sz w:val="28"/>
          <w:szCs w:val="28"/>
          <w:highlight w:val="none"/>
        </w:rPr>
        <w:t>0201）</w:t>
      </w:r>
    </w:p>
    <w:p w14:paraId="2C7C7A48">
      <w:pPr>
        <w:jc w:val="center"/>
        <w:rPr>
          <w:rFonts w:eastAsia="华文中宋"/>
          <w:b/>
          <w:color w:val="auto"/>
          <w:sz w:val="48"/>
          <w:szCs w:val="48"/>
          <w:highlight w:val="none"/>
        </w:rPr>
      </w:pPr>
    </w:p>
    <w:p w14:paraId="1F9D46F1">
      <w:pPr>
        <w:jc w:val="center"/>
        <w:rPr>
          <w:rFonts w:eastAsia="华文中宋"/>
          <w:b/>
          <w:color w:val="auto"/>
          <w:sz w:val="48"/>
          <w:szCs w:val="48"/>
          <w:highlight w:val="none"/>
        </w:rPr>
      </w:pPr>
    </w:p>
    <w:p w14:paraId="7F626F59">
      <w:pPr>
        <w:jc w:val="center"/>
        <w:rPr>
          <w:rFonts w:eastAsia="华文中宋"/>
          <w:b/>
          <w:color w:val="auto"/>
          <w:sz w:val="48"/>
          <w:szCs w:val="48"/>
          <w:highlight w:val="none"/>
        </w:rPr>
      </w:pPr>
    </w:p>
    <w:p w14:paraId="6280832B">
      <w:pPr>
        <w:jc w:val="center"/>
        <w:rPr>
          <w:rFonts w:eastAsia="华文中宋"/>
          <w:b/>
          <w:color w:val="auto"/>
          <w:sz w:val="56"/>
          <w:szCs w:val="48"/>
          <w:highlight w:val="none"/>
        </w:rPr>
      </w:pPr>
      <w:r>
        <w:rPr>
          <w:rFonts w:hint="eastAsia" w:eastAsia="华文中宋"/>
          <w:b/>
          <w:color w:val="auto"/>
          <w:sz w:val="56"/>
          <w:szCs w:val="48"/>
          <w:highlight w:val="none"/>
          <w:u w:val="single"/>
        </w:rPr>
        <w:t xml:space="preserve"> 新兴县新华书店综合楼 </w:t>
      </w:r>
      <w:r>
        <w:rPr>
          <w:rFonts w:hint="eastAsia" w:eastAsia="华文中宋"/>
          <w:b/>
          <w:color w:val="auto"/>
          <w:sz w:val="56"/>
          <w:szCs w:val="48"/>
          <w:highlight w:val="none"/>
        </w:rPr>
        <w:t>项目</w:t>
      </w:r>
    </w:p>
    <w:p w14:paraId="7A43806B">
      <w:pPr>
        <w:jc w:val="center"/>
        <w:rPr>
          <w:rFonts w:eastAsia="华文中宋"/>
          <w:b/>
          <w:color w:val="auto"/>
          <w:sz w:val="48"/>
          <w:szCs w:val="48"/>
          <w:highlight w:val="none"/>
        </w:rPr>
      </w:pPr>
      <w:r>
        <w:rPr>
          <w:rFonts w:eastAsia="华文中宋"/>
          <w:b/>
          <w:color w:val="auto"/>
          <w:sz w:val="56"/>
          <w:szCs w:val="48"/>
          <w:highlight w:val="none"/>
        </w:rPr>
        <w:t>建设工程施工</w:t>
      </w:r>
      <w:r>
        <w:rPr>
          <w:rFonts w:hint="eastAsia" w:eastAsia="华文中宋"/>
          <w:b/>
          <w:color w:val="auto"/>
          <w:sz w:val="56"/>
          <w:szCs w:val="48"/>
          <w:highlight w:val="none"/>
        </w:rPr>
        <w:t>总承包</w:t>
      </w:r>
      <w:r>
        <w:rPr>
          <w:rFonts w:eastAsia="华文中宋"/>
          <w:b/>
          <w:color w:val="auto"/>
          <w:sz w:val="56"/>
          <w:szCs w:val="48"/>
          <w:highlight w:val="none"/>
        </w:rPr>
        <w:t>合同</w:t>
      </w:r>
      <w:r>
        <w:rPr>
          <w:rFonts w:eastAsia="华文中宋"/>
          <w:b/>
          <w:color w:val="auto"/>
          <w:sz w:val="48"/>
          <w:szCs w:val="48"/>
          <w:highlight w:val="none"/>
        </w:rPr>
        <w:br w:type="textWrapping"/>
      </w:r>
    </w:p>
    <w:p w14:paraId="4BC58B10">
      <w:pPr>
        <w:jc w:val="center"/>
        <w:rPr>
          <w:rFonts w:eastAsia="华文中宋"/>
          <w:b/>
          <w:color w:val="auto"/>
          <w:sz w:val="48"/>
          <w:szCs w:val="48"/>
          <w:highlight w:val="none"/>
        </w:rPr>
      </w:pPr>
    </w:p>
    <w:p w14:paraId="1D84B699">
      <w:pPr>
        <w:jc w:val="center"/>
        <w:rPr>
          <w:rFonts w:eastAsia="黑体"/>
          <w:b/>
          <w:color w:val="auto"/>
          <w:sz w:val="56"/>
          <w:szCs w:val="56"/>
          <w:highlight w:val="none"/>
        </w:rPr>
      </w:pPr>
    </w:p>
    <w:p w14:paraId="421B8DD3">
      <w:pPr>
        <w:jc w:val="center"/>
        <w:rPr>
          <w:rFonts w:eastAsia="楷体_GB2312"/>
          <w:b/>
          <w:color w:val="auto"/>
          <w:sz w:val="56"/>
          <w:szCs w:val="56"/>
          <w:highlight w:val="none"/>
        </w:rPr>
      </w:pPr>
    </w:p>
    <w:p w14:paraId="64CC4EE8">
      <w:pPr>
        <w:jc w:val="center"/>
        <w:rPr>
          <w:rFonts w:eastAsia="黑体"/>
          <w:b/>
          <w:color w:val="auto"/>
          <w:sz w:val="48"/>
          <w:szCs w:val="48"/>
          <w:highlight w:val="none"/>
        </w:rPr>
      </w:pPr>
    </w:p>
    <w:p w14:paraId="6076E03A">
      <w:pPr>
        <w:rPr>
          <w:b/>
          <w:color w:val="auto"/>
          <w:sz w:val="24"/>
          <w:szCs w:val="24"/>
          <w:highlight w:val="none"/>
        </w:rPr>
      </w:pPr>
    </w:p>
    <w:p w14:paraId="5BB27E24">
      <w:pPr>
        <w:rPr>
          <w:b/>
          <w:color w:val="auto"/>
          <w:sz w:val="24"/>
          <w:szCs w:val="24"/>
          <w:highlight w:val="none"/>
        </w:rPr>
      </w:pPr>
    </w:p>
    <w:p w14:paraId="7060C5C1">
      <w:pPr>
        <w:rPr>
          <w:b/>
          <w:color w:val="auto"/>
          <w:sz w:val="24"/>
          <w:szCs w:val="24"/>
          <w:highlight w:val="none"/>
        </w:rPr>
      </w:pPr>
    </w:p>
    <w:p w14:paraId="238AD09D">
      <w:pPr>
        <w:ind w:right="2719" w:rightChars="1295" w:firstLine="2608" w:firstLineChars="1304"/>
        <w:jc w:val="distribute"/>
        <w:rPr>
          <w:b/>
          <w:color w:val="auto"/>
          <w:sz w:val="28"/>
          <w:szCs w:val="24"/>
          <w:highlight w:val="none"/>
        </w:rPr>
      </w:pPr>
      <w:r>
        <w:rPr>
          <w:color w:val="auto"/>
          <w:sz w:val="20"/>
          <w:szCs w:val="21"/>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1E4012FF">
                            <w:pPr>
                              <w:rPr>
                                <w:rFonts w:hint="eastAsia"/>
                                <w:b/>
                                <w:bCs/>
                                <w:sz w:val="32"/>
                              </w:rPr>
                            </w:pPr>
                            <w:r>
                              <w:rPr>
                                <w:rFonts w:hint="eastAsia"/>
                                <w:b/>
                                <w:bCs/>
                                <w:sz w:val="32"/>
                              </w:rPr>
                              <w:t>制定</w:t>
                            </w:r>
                          </w:p>
                        </w:txbxContent>
                      </wps:txbx>
                      <wps:bodyPr wrap="square"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zS1x2AAAAAkBAAAPAAAAAAAA&#10;AAEAIAAAACIAAABkcnMvZG93bnJldi54bWxQSwECFAAUAAAACACHTuJAkB1oMRICAAAoBAAADgAA&#10;AAAAAAABACAAAAAnAQAAZHJzL2Uyb0RvYy54bWxQSwUGAAAAAAYABgBZAQAAqwUAAAAA&#10;">
                <v:fill on="f" focussize="0,0"/>
                <v:stroke color="#FFFFFF" joinstyle="miter"/>
                <v:imagedata o:title=""/>
                <o:lock v:ext="edit" aspectratio="f"/>
                <v:textbox>
                  <w:txbxContent>
                    <w:p w14:paraId="1E4012FF">
                      <w:pPr>
                        <w:rPr>
                          <w:rFonts w:hint="eastAsia"/>
                          <w:b/>
                          <w:bCs/>
                          <w:sz w:val="32"/>
                        </w:rPr>
                      </w:pPr>
                      <w:r>
                        <w:rPr>
                          <w:rFonts w:hint="eastAsia"/>
                          <w:b/>
                          <w:bCs/>
                          <w:sz w:val="32"/>
                        </w:rPr>
                        <w:t>制定</w:t>
                      </w:r>
                    </w:p>
                  </w:txbxContent>
                </v:textbox>
              </v:shape>
            </w:pict>
          </mc:Fallback>
        </mc:AlternateContent>
      </w:r>
      <w:r>
        <w:rPr>
          <w:b/>
          <w:color w:val="auto"/>
          <w:sz w:val="28"/>
          <w:szCs w:val="24"/>
          <w:highlight w:val="none"/>
        </w:rPr>
        <w:t>住房城乡建设部</w:t>
      </w:r>
    </w:p>
    <w:p w14:paraId="52E8CA01">
      <w:pPr>
        <w:ind w:right="2719" w:rightChars="1295" w:firstLine="2406" w:firstLineChars="856"/>
        <w:jc w:val="distribute"/>
        <w:rPr>
          <w:b/>
          <w:color w:val="auto"/>
          <w:sz w:val="28"/>
          <w:szCs w:val="24"/>
          <w:highlight w:val="none"/>
        </w:rPr>
      </w:pPr>
      <w:r>
        <w:rPr>
          <w:b/>
          <w:color w:val="auto"/>
          <w:sz w:val="28"/>
          <w:szCs w:val="24"/>
          <w:highlight w:val="none"/>
        </w:rPr>
        <w:t>国家工商行政管理总局</w:t>
      </w:r>
    </w:p>
    <w:p w14:paraId="5523D55D">
      <w:pPr>
        <w:rPr>
          <w:rFonts w:hint="eastAsia"/>
          <w:b/>
          <w:color w:val="auto"/>
          <w:sz w:val="20"/>
          <w:szCs w:val="21"/>
          <w:highlight w:val="none"/>
        </w:rPr>
      </w:pPr>
    </w:p>
    <w:p w14:paraId="265650BD">
      <w:pPr>
        <w:rPr>
          <w:rFonts w:hint="eastAsia"/>
          <w:b/>
          <w:color w:val="auto"/>
          <w:sz w:val="20"/>
          <w:szCs w:val="21"/>
          <w:highlight w:val="none"/>
        </w:rPr>
      </w:pPr>
    </w:p>
    <w:p w14:paraId="422C6F52">
      <w:pPr>
        <w:rPr>
          <w:rFonts w:hint="eastAsia"/>
          <w:b/>
          <w:color w:val="auto"/>
          <w:sz w:val="20"/>
          <w:szCs w:val="21"/>
          <w:highlight w:val="none"/>
        </w:rPr>
      </w:pPr>
    </w:p>
    <w:p w14:paraId="0CD27CFB">
      <w:pPr>
        <w:rPr>
          <w:rFonts w:hint="eastAsia"/>
          <w:b/>
          <w:color w:val="auto"/>
          <w:sz w:val="20"/>
          <w:szCs w:val="21"/>
          <w:highlight w:val="none"/>
        </w:rPr>
      </w:pPr>
    </w:p>
    <w:p w14:paraId="0569A47E">
      <w:pPr>
        <w:rPr>
          <w:rFonts w:hint="eastAsia"/>
          <w:b/>
          <w:color w:val="auto"/>
          <w:sz w:val="20"/>
          <w:szCs w:val="21"/>
          <w:highlight w:val="none"/>
        </w:rPr>
      </w:pPr>
    </w:p>
    <w:p w14:paraId="51FB7016">
      <w:pPr>
        <w:rPr>
          <w:rFonts w:hint="eastAsia"/>
          <w:b/>
          <w:color w:val="auto"/>
          <w:sz w:val="20"/>
          <w:szCs w:val="21"/>
          <w:highlight w:val="none"/>
        </w:rPr>
      </w:pPr>
    </w:p>
    <w:p w14:paraId="6E6422A1">
      <w:pPr>
        <w:rPr>
          <w:rFonts w:hint="eastAsia"/>
          <w:b/>
          <w:color w:val="auto"/>
          <w:sz w:val="20"/>
          <w:szCs w:val="21"/>
          <w:highlight w:val="none"/>
        </w:rPr>
      </w:pPr>
    </w:p>
    <w:p w14:paraId="3599AF06">
      <w:pPr>
        <w:rPr>
          <w:b/>
          <w:color w:val="auto"/>
          <w:sz w:val="20"/>
          <w:szCs w:val="21"/>
          <w:highlight w:val="none"/>
        </w:rPr>
      </w:pPr>
    </w:p>
    <w:p w14:paraId="01928E1A">
      <w:pPr>
        <w:pStyle w:val="27"/>
        <w:spacing w:before="120" w:after="120"/>
        <w:jc w:val="center"/>
        <w:rPr>
          <w:rFonts w:ascii="仿宋" w:hAnsi="仿宋" w:eastAsia="仿宋"/>
          <w:color w:val="auto"/>
          <w:sz w:val="40"/>
          <w:szCs w:val="40"/>
          <w:highlight w:val="none"/>
          <w:lang w:val="zh-CN"/>
        </w:rPr>
      </w:pPr>
      <w:bookmarkStart w:id="0" w:name="_Toc296503025"/>
      <w:bookmarkStart w:id="1" w:name="_Toc296890982"/>
      <w:r>
        <w:rPr>
          <w:rFonts w:ascii="仿宋" w:hAnsi="仿宋" w:eastAsia="仿宋"/>
          <w:color w:val="auto"/>
          <w:sz w:val="40"/>
          <w:szCs w:val="40"/>
          <w:highlight w:val="none"/>
          <w:lang w:val="zh-CN"/>
        </w:rPr>
        <w:t>目</w:t>
      </w:r>
      <w:r>
        <w:rPr>
          <w:rFonts w:hint="eastAsia" w:ascii="仿宋" w:hAnsi="仿宋" w:eastAsia="仿宋"/>
          <w:color w:val="auto"/>
          <w:sz w:val="40"/>
          <w:szCs w:val="40"/>
          <w:highlight w:val="none"/>
          <w:lang w:val="zh-CN"/>
        </w:rPr>
        <w:t xml:space="preserve">  </w:t>
      </w:r>
      <w:r>
        <w:rPr>
          <w:rFonts w:ascii="仿宋" w:hAnsi="仿宋" w:eastAsia="仿宋"/>
          <w:color w:val="auto"/>
          <w:sz w:val="40"/>
          <w:szCs w:val="40"/>
          <w:highlight w:val="none"/>
          <w:lang w:val="zh-CN"/>
        </w:rPr>
        <w:t>录</w:t>
      </w:r>
    </w:p>
    <w:p w14:paraId="51689E48">
      <w:pPr>
        <w:pStyle w:val="11"/>
        <w:tabs>
          <w:tab w:val="right" w:leader="dot" w:pos="8810"/>
        </w:tabs>
        <w:ind w:left="0" w:leftChars="0" w:firstLine="241" w:firstLineChars="100"/>
        <w:rPr>
          <w:rFonts w:hint="eastAsia" w:eastAsia="仿宋_GB2312"/>
          <w:b/>
          <w:color w:val="auto"/>
          <w:sz w:val="24"/>
          <w:szCs w:val="24"/>
          <w:highlight w:val="none"/>
        </w:rPr>
      </w:pPr>
      <w:r>
        <w:rPr>
          <w:rFonts w:eastAsia="仿宋_GB2312"/>
          <w:b/>
          <w:color w:val="auto"/>
          <w:sz w:val="24"/>
          <w:szCs w:val="24"/>
          <w:highlight w:val="none"/>
        </w:rPr>
        <w:t>第一部分 合同协议书</w:t>
      </w:r>
      <w:r>
        <w:rPr>
          <w:rFonts w:eastAsia="仿宋_GB2312"/>
          <w:color w:val="auto"/>
          <w:sz w:val="24"/>
          <w:szCs w:val="24"/>
          <w:highlight w:val="none"/>
        </w:rPr>
        <w:t>……………………</w:t>
      </w:r>
      <w:r>
        <w:rPr>
          <w:rFonts w:eastAsia="仿宋_GB2312"/>
          <w:color w:val="auto"/>
          <w:spacing w:val="34"/>
          <w:sz w:val="24"/>
          <w:szCs w:val="24"/>
          <w:highlight w:val="none"/>
        </w:rPr>
        <w:t>…</w:t>
      </w:r>
      <w:bookmarkStart w:id="2" w:name="_Hlt34127796"/>
      <w:bookmarkStart w:id="3" w:name="_Hlt34127797"/>
      <w:r>
        <w:rPr>
          <w:rFonts w:eastAsia="仿宋_GB2312"/>
          <w:color w:val="auto"/>
          <w:sz w:val="24"/>
          <w:szCs w:val="24"/>
          <w:highlight w:val="none"/>
        </w:rPr>
        <w:t>…</w:t>
      </w:r>
      <w:bookmarkEnd w:id="2"/>
      <w:bookmarkEnd w:id="3"/>
      <w:r>
        <w:rPr>
          <w:rFonts w:hint="eastAsia" w:eastAsia="仿宋_GB2312"/>
          <w:color w:val="auto"/>
          <w:sz w:val="24"/>
          <w:szCs w:val="24"/>
          <w:highlight w:val="none"/>
        </w:rPr>
        <w:t>...................................</w:t>
      </w:r>
      <w:r>
        <w:rPr>
          <w:rFonts w:eastAsia="仿宋_GB2312"/>
          <w:color w:val="auto"/>
          <w:sz w:val="24"/>
          <w:szCs w:val="24"/>
          <w:highlight w:val="none"/>
        </w:rPr>
        <w:t>…</w:t>
      </w:r>
      <w:r>
        <w:rPr>
          <w:rFonts w:hint="eastAsia" w:eastAsia="仿宋_GB2312"/>
          <w:color w:val="auto"/>
          <w:sz w:val="24"/>
          <w:szCs w:val="24"/>
          <w:highlight w:val="none"/>
        </w:rPr>
        <w:t>........1</w:t>
      </w:r>
    </w:p>
    <w:p w14:paraId="3A784C86">
      <w:pPr>
        <w:pStyle w:val="16"/>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一、工程概况</w:t>
      </w:r>
      <w:bookmarkStart w:id="4" w:name="_Hlt34127778"/>
      <w:r>
        <w:rPr>
          <w:rFonts w:hint="eastAsia" w:ascii="仿宋" w:hAnsi="仿宋" w:eastAsia="仿宋" w:cs="仿宋"/>
          <w:color w:val="auto"/>
          <w:sz w:val="24"/>
          <w:szCs w:val="24"/>
          <w:highlight w:val="none"/>
        </w:rPr>
        <w:tab/>
      </w:r>
      <w:bookmarkEnd w:id="4"/>
      <w:r>
        <w:rPr>
          <w:rFonts w:hint="eastAsia" w:ascii="仿宋" w:hAnsi="仿宋" w:eastAsia="仿宋" w:cs="仿宋"/>
          <w:color w:val="auto"/>
          <w:sz w:val="24"/>
          <w:szCs w:val="24"/>
          <w:highlight w:val="none"/>
        </w:rPr>
        <w:t>1</w:t>
      </w:r>
    </w:p>
    <w:p w14:paraId="0464D1A0">
      <w:pPr>
        <w:pStyle w:val="16"/>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instrText xml:space="preserve">HYPERLINK \l "_Toc351203482"</w:instrText>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fldChar w:fldCharType="separate"/>
      </w:r>
      <w:r>
        <w:rPr>
          <w:rStyle w:val="22"/>
          <w:rFonts w:hint="eastAsia" w:ascii="仿宋" w:hAnsi="仿宋" w:eastAsia="仿宋" w:cs="仿宋"/>
          <w:color w:val="auto"/>
          <w:sz w:val="24"/>
          <w:szCs w:val="24"/>
          <w:highlight w:val="none"/>
          <w:u w:val="none"/>
        </w:rPr>
        <w:t>二、合同工期</w:t>
      </w:r>
      <w:bookmarkStart w:id="5" w:name="_Hlt34127779"/>
      <w:r>
        <w:rPr>
          <w:rFonts w:hint="eastAsia" w:ascii="仿宋" w:hAnsi="仿宋" w:eastAsia="仿宋" w:cs="仿宋"/>
          <w:color w:val="auto"/>
          <w:sz w:val="24"/>
          <w:szCs w:val="24"/>
          <w:highlight w:val="none"/>
        </w:rPr>
        <w:tab/>
      </w:r>
      <w:bookmarkEnd w:id="5"/>
      <w:bookmarkStart w:id="6" w:name="_Hlt34059871"/>
      <w:bookmarkStart w:id="7" w:name="_Hlt34059797"/>
      <w:bookmarkStart w:id="8" w:name="_Hlt34059796"/>
      <w:bookmarkStart w:id="9" w:name="_Hlt34059962"/>
      <w:bookmarkStart w:id="10" w:name="_Hlt34059869"/>
      <w:r>
        <w:rPr>
          <w:rFonts w:hint="eastAsia" w:ascii="仿宋" w:hAnsi="仿宋" w:eastAsia="仿宋" w:cs="仿宋"/>
          <w:color w:val="auto"/>
          <w:sz w:val="24"/>
          <w:szCs w:val="24"/>
          <w:highlight w:val="none"/>
        </w:rPr>
        <w:t>3</w:t>
      </w:r>
      <w:bookmarkEnd w:id="6"/>
      <w:bookmarkEnd w:id="7"/>
      <w:bookmarkEnd w:id="8"/>
      <w:bookmarkEnd w:id="9"/>
      <w:bookmarkEnd w:id="10"/>
      <w:r>
        <w:rPr>
          <w:rFonts w:hint="eastAsia" w:ascii="仿宋" w:hAnsi="仿宋" w:eastAsia="仿宋" w:cs="仿宋"/>
          <w:color w:val="auto"/>
          <w:sz w:val="24"/>
          <w:szCs w:val="24"/>
          <w:highlight w:val="none"/>
        </w:rPr>
        <w:fldChar w:fldCharType="end"/>
      </w:r>
    </w:p>
    <w:p w14:paraId="67BFE599">
      <w:pPr>
        <w:pStyle w:val="16"/>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三、质量标准</w:t>
      </w:r>
      <w:bookmarkStart w:id="11" w:name="_Hlt34127781"/>
      <w:bookmarkStart w:id="12" w:name="_Hlt34136252"/>
      <w:bookmarkStart w:id="13" w:name="_Hlt34059872"/>
      <w:r>
        <w:rPr>
          <w:rFonts w:hint="eastAsia" w:ascii="仿宋" w:hAnsi="仿宋" w:eastAsia="仿宋" w:cs="仿宋"/>
          <w:color w:val="auto"/>
          <w:sz w:val="24"/>
          <w:szCs w:val="24"/>
          <w:highlight w:val="none"/>
        </w:rPr>
        <w:tab/>
      </w:r>
      <w:bookmarkEnd w:id="11"/>
      <w:bookmarkEnd w:id="12"/>
      <w:bookmarkEnd w:id="13"/>
      <w:r>
        <w:rPr>
          <w:rFonts w:hint="eastAsia" w:ascii="仿宋" w:hAnsi="仿宋" w:eastAsia="仿宋" w:cs="仿宋"/>
          <w:color w:val="auto"/>
          <w:sz w:val="24"/>
          <w:szCs w:val="24"/>
          <w:highlight w:val="none"/>
        </w:rPr>
        <w:t>4</w:t>
      </w:r>
    </w:p>
    <w:p w14:paraId="10063F41">
      <w:pPr>
        <w:pStyle w:val="16"/>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instrText xml:space="preserve">HYPERLINK \l "_Toc351203484"</w:instrText>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fldChar w:fldCharType="separate"/>
      </w:r>
      <w:r>
        <w:rPr>
          <w:rStyle w:val="22"/>
          <w:rFonts w:hint="eastAsia" w:ascii="仿宋" w:hAnsi="仿宋" w:eastAsia="仿宋" w:cs="仿宋"/>
          <w:color w:val="auto"/>
          <w:sz w:val="24"/>
          <w:szCs w:val="24"/>
          <w:highlight w:val="none"/>
          <w:u w:val="none"/>
        </w:rPr>
        <w:t>四、签约</w:t>
      </w:r>
      <w:bookmarkStart w:id="14" w:name="_Hlt34136243"/>
      <w:r>
        <w:rPr>
          <w:rStyle w:val="22"/>
          <w:rFonts w:hint="eastAsia" w:ascii="仿宋" w:hAnsi="仿宋" w:eastAsia="仿宋" w:cs="仿宋"/>
          <w:color w:val="auto"/>
          <w:sz w:val="24"/>
          <w:szCs w:val="24"/>
          <w:highlight w:val="none"/>
          <w:u w:val="none"/>
        </w:rPr>
        <w:t>合</w:t>
      </w:r>
      <w:bookmarkEnd w:id="14"/>
      <w:r>
        <w:rPr>
          <w:rStyle w:val="22"/>
          <w:rFonts w:hint="eastAsia" w:ascii="仿宋" w:hAnsi="仿宋" w:eastAsia="仿宋" w:cs="仿宋"/>
          <w:color w:val="auto"/>
          <w:sz w:val="24"/>
          <w:szCs w:val="24"/>
          <w:highlight w:val="none"/>
          <w:u w:val="none"/>
        </w:rPr>
        <w:t>同价与</w:t>
      </w:r>
      <w:bookmarkStart w:id="15" w:name="_Hlt34127782"/>
      <w:r>
        <w:rPr>
          <w:rStyle w:val="22"/>
          <w:rFonts w:hint="eastAsia" w:ascii="仿宋" w:hAnsi="仿宋" w:eastAsia="仿宋" w:cs="仿宋"/>
          <w:color w:val="auto"/>
          <w:sz w:val="24"/>
          <w:szCs w:val="24"/>
          <w:highlight w:val="none"/>
          <w:u w:val="none"/>
        </w:rPr>
        <w:t>合</w:t>
      </w:r>
      <w:bookmarkEnd w:id="15"/>
      <w:bookmarkStart w:id="16" w:name="_Hlt34136250"/>
      <w:bookmarkEnd w:id="16"/>
      <w:r>
        <w:rPr>
          <w:rStyle w:val="22"/>
          <w:rFonts w:hint="eastAsia" w:ascii="仿宋" w:hAnsi="仿宋" w:eastAsia="仿宋" w:cs="仿宋"/>
          <w:color w:val="auto"/>
          <w:sz w:val="24"/>
          <w:szCs w:val="24"/>
          <w:highlight w:val="none"/>
          <w:u w:val="none"/>
        </w:rPr>
        <w:t>同价格形式</w:t>
      </w:r>
      <w:bookmarkStart w:id="17" w:name="_Hlt34059964"/>
      <w:r>
        <w:rPr>
          <w:rFonts w:hint="eastAsia" w:ascii="仿宋" w:hAnsi="仿宋" w:eastAsia="仿宋" w:cs="仿宋"/>
          <w:color w:val="auto"/>
          <w:sz w:val="24"/>
          <w:szCs w:val="24"/>
          <w:highlight w:val="none"/>
        </w:rPr>
        <w:tab/>
      </w:r>
      <w:bookmarkEnd w:id="17"/>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p>
    <w:p w14:paraId="06EA5660">
      <w:pPr>
        <w:pStyle w:val="16"/>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instrText xml:space="preserve">HYPERLINK \l "_Toc351203485"</w:instrText>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fldChar w:fldCharType="separate"/>
      </w:r>
      <w:r>
        <w:rPr>
          <w:rStyle w:val="22"/>
          <w:rFonts w:hint="eastAsia" w:ascii="仿宋" w:hAnsi="仿宋" w:eastAsia="仿宋" w:cs="仿宋"/>
          <w:color w:val="auto"/>
          <w:sz w:val="24"/>
          <w:szCs w:val="24"/>
          <w:highlight w:val="none"/>
          <w:u w:val="none"/>
        </w:rPr>
        <w:t>五、项目经理</w:t>
      </w:r>
      <w:r>
        <w:rPr>
          <w:rFonts w:hint="eastAsia" w:ascii="仿宋" w:hAnsi="仿宋" w:eastAsia="仿宋" w:cs="仿宋"/>
          <w:color w:val="auto"/>
          <w:sz w:val="24"/>
          <w:szCs w:val="24"/>
          <w:highlight w:val="none"/>
        </w:rPr>
        <w:tab/>
      </w:r>
      <w:bookmarkStart w:id="18" w:name="_Hlt34059965"/>
      <w:bookmarkStart w:id="19" w:name="_Hlt34059802"/>
      <w:r>
        <w:rPr>
          <w:rFonts w:hint="eastAsia" w:ascii="仿宋" w:hAnsi="仿宋" w:eastAsia="仿宋" w:cs="仿宋"/>
          <w:color w:val="auto"/>
          <w:sz w:val="24"/>
          <w:szCs w:val="24"/>
          <w:highlight w:val="none"/>
        </w:rPr>
        <w:t>5</w:t>
      </w:r>
      <w:bookmarkEnd w:id="18"/>
      <w:bookmarkEnd w:id="19"/>
      <w:r>
        <w:rPr>
          <w:rFonts w:hint="eastAsia" w:ascii="仿宋" w:hAnsi="仿宋" w:eastAsia="仿宋" w:cs="仿宋"/>
          <w:color w:val="auto"/>
          <w:sz w:val="24"/>
          <w:szCs w:val="24"/>
          <w:highlight w:val="none"/>
        </w:rPr>
        <w:fldChar w:fldCharType="end"/>
      </w:r>
    </w:p>
    <w:p w14:paraId="7E1D73B5">
      <w:pPr>
        <w:pStyle w:val="16"/>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instrText xml:space="preserve">HYPERLINK \l "_Toc351203486"</w:instrText>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fldChar w:fldCharType="separate"/>
      </w:r>
      <w:r>
        <w:rPr>
          <w:rStyle w:val="22"/>
          <w:rFonts w:hint="eastAsia" w:ascii="仿宋" w:hAnsi="仿宋" w:eastAsia="仿宋" w:cs="仿宋"/>
          <w:color w:val="auto"/>
          <w:sz w:val="24"/>
          <w:szCs w:val="24"/>
          <w:highlight w:val="none"/>
          <w:u w:val="none"/>
        </w:rPr>
        <w:t>六、合同文件构成</w:t>
      </w:r>
      <w:bookmarkStart w:id="20" w:name="_Hlt34059967"/>
      <w:r>
        <w:rPr>
          <w:rFonts w:hint="eastAsia" w:ascii="仿宋" w:hAnsi="仿宋" w:eastAsia="仿宋" w:cs="仿宋"/>
          <w:color w:val="auto"/>
          <w:sz w:val="24"/>
          <w:szCs w:val="24"/>
          <w:highlight w:val="none"/>
        </w:rPr>
        <w:tab/>
      </w:r>
      <w:bookmarkEnd w:id="20"/>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p>
    <w:p w14:paraId="481205F2">
      <w:pPr>
        <w:pStyle w:val="16"/>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instrText xml:space="preserve">HYPERLINK \l "_Toc351203487"</w:instrText>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fldChar w:fldCharType="separate"/>
      </w:r>
      <w:r>
        <w:rPr>
          <w:rStyle w:val="22"/>
          <w:rFonts w:hint="eastAsia" w:ascii="仿宋" w:hAnsi="仿宋" w:eastAsia="仿宋" w:cs="仿宋"/>
          <w:color w:val="auto"/>
          <w:sz w:val="24"/>
          <w:szCs w:val="24"/>
          <w:highlight w:val="none"/>
          <w:u w:val="none"/>
        </w:rPr>
        <w:t>七、承诺</w:t>
      </w:r>
      <w:r>
        <w:rPr>
          <w:rFonts w:hint="eastAsia" w:ascii="仿宋" w:hAnsi="仿宋" w:eastAsia="仿宋" w:cs="仿宋"/>
          <w:color w:val="auto"/>
          <w:sz w:val="24"/>
          <w:szCs w:val="24"/>
          <w:highlight w:val="none"/>
        </w:rPr>
        <w:tab/>
      </w:r>
      <w:bookmarkStart w:id="21" w:name="_Hlt34059968"/>
      <w:r>
        <w:rPr>
          <w:rFonts w:hint="eastAsia" w:ascii="仿宋" w:hAnsi="仿宋" w:eastAsia="仿宋" w:cs="仿宋"/>
          <w:color w:val="auto"/>
          <w:sz w:val="24"/>
          <w:szCs w:val="24"/>
          <w:highlight w:val="none"/>
        </w:rPr>
        <w:t>7</w:t>
      </w:r>
      <w:bookmarkEnd w:id="21"/>
      <w:r>
        <w:rPr>
          <w:rFonts w:hint="eastAsia" w:ascii="仿宋" w:hAnsi="仿宋" w:eastAsia="仿宋" w:cs="仿宋"/>
          <w:color w:val="auto"/>
          <w:sz w:val="24"/>
          <w:szCs w:val="24"/>
          <w:highlight w:val="none"/>
        </w:rPr>
        <w:fldChar w:fldCharType="end"/>
      </w:r>
    </w:p>
    <w:p w14:paraId="6E03DA79">
      <w:pPr>
        <w:pStyle w:val="16"/>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instrText xml:space="preserve">HYPERLINK \l "_Toc351203488"</w:instrText>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fldChar w:fldCharType="separate"/>
      </w:r>
      <w:r>
        <w:rPr>
          <w:rStyle w:val="22"/>
          <w:rFonts w:hint="eastAsia" w:ascii="仿宋" w:hAnsi="仿宋" w:eastAsia="仿宋" w:cs="仿宋"/>
          <w:color w:val="auto"/>
          <w:sz w:val="24"/>
          <w:szCs w:val="24"/>
          <w:highlight w:val="none"/>
          <w:u w:val="none"/>
        </w:rPr>
        <w:t>八、词语含义</w:t>
      </w:r>
      <w:r>
        <w:rPr>
          <w:rFonts w:hint="eastAsia" w:ascii="仿宋" w:hAnsi="仿宋" w:eastAsia="仿宋" w:cs="仿宋"/>
          <w:color w:val="auto"/>
          <w:sz w:val="24"/>
          <w:szCs w:val="24"/>
          <w:highlight w:val="none"/>
        </w:rPr>
        <w:tab/>
      </w:r>
      <w:bookmarkStart w:id="22" w:name="_Hlt34059971"/>
      <w:r>
        <w:rPr>
          <w:rFonts w:hint="eastAsia" w:ascii="仿宋" w:hAnsi="仿宋" w:eastAsia="仿宋" w:cs="仿宋"/>
          <w:color w:val="auto"/>
          <w:sz w:val="24"/>
          <w:szCs w:val="24"/>
          <w:highlight w:val="none"/>
        </w:rPr>
        <w:t>7</w:t>
      </w:r>
      <w:bookmarkEnd w:id="22"/>
      <w:r>
        <w:rPr>
          <w:rFonts w:hint="eastAsia" w:ascii="仿宋" w:hAnsi="仿宋" w:eastAsia="仿宋" w:cs="仿宋"/>
          <w:color w:val="auto"/>
          <w:sz w:val="24"/>
          <w:szCs w:val="24"/>
          <w:highlight w:val="none"/>
        </w:rPr>
        <w:fldChar w:fldCharType="end"/>
      </w:r>
    </w:p>
    <w:p w14:paraId="0A2902EC">
      <w:pPr>
        <w:pStyle w:val="16"/>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instrText xml:space="preserve">HYPERLINK \l "_Toc351203489"</w:instrText>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fldChar w:fldCharType="separate"/>
      </w:r>
      <w:r>
        <w:rPr>
          <w:rStyle w:val="22"/>
          <w:rFonts w:hint="eastAsia" w:ascii="仿宋" w:hAnsi="仿宋" w:eastAsia="仿宋" w:cs="仿宋"/>
          <w:color w:val="auto"/>
          <w:sz w:val="24"/>
          <w:szCs w:val="24"/>
          <w:highlight w:val="none"/>
          <w:u w:val="none"/>
        </w:rPr>
        <w:t>九、签订时间</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fldChar w:fldCharType="end"/>
      </w:r>
    </w:p>
    <w:p w14:paraId="59F0036B">
      <w:pPr>
        <w:pStyle w:val="16"/>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instrText xml:space="preserve">HYPERLINK \l "_Toc351203490"</w:instrText>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fldChar w:fldCharType="separate"/>
      </w:r>
      <w:r>
        <w:rPr>
          <w:rStyle w:val="22"/>
          <w:rFonts w:hint="eastAsia" w:ascii="仿宋" w:hAnsi="仿宋" w:eastAsia="仿宋" w:cs="仿宋"/>
          <w:color w:val="auto"/>
          <w:sz w:val="24"/>
          <w:szCs w:val="24"/>
          <w:highlight w:val="none"/>
          <w:u w:val="none"/>
        </w:rPr>
        <w:t>十、签订地点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fldChar w:fldCharType="end"/>
      </w:r>
    </w:p>
    <w:p w14:paraId="1ABDEED5">
      <w:pPr>
        <w:pStyle w:val="16"/>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instrText xml:space="preserve">HYPERLINK \l "_Toc351203491"</w:instrText>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fldChar w:fldCharType="separate"/>
      </w:r>
      <w:r>
        <w:rPr>
          <w:rStyle w:val="22"/>
          <w:rFonts w:hint="eastAsia" w:ascii="仿宋" w:hAnsi="仿宋" w:eastAsia="仿宋" w:cs="仿宋"/>
          <w:color w:val="auto"/>
          <w:sz w:val="24"/>
          <w:szCs w:val="24"/>
          <w:highlight w:val="none"/>
          <w:u w:val="none"/>
        </w:rPr>
        <w:t>十一、补充协议</w:t>
      </w:r>
      <w:r>
        <w:rPr>
          <w:rFonts w:hint="eastAsia" w:ascii="仿宋" w:hAnsi="仿宋" w:eastAsia="仿宋" w:cs="仿宋"/>
          <w:color w:val="auto"/>
          <w:sz w:val="24"/>
          <w:szCs w:val="24"/>
          <w:highlight w:val="none"/>
        </w:rPr>
        <w:tab/>
      </w:r>
      <w:bookmarkStart w:id="23" w:name="_Hlt34059973"/>
      <w:r>
        <w:rPr>
          <w:rFonts w:hint="eastAsia" w:ascii="仿宋" w:hAnsi="仿宋" w:eastAsia="仿宋" w:cs="仿宋"/>
          <w:color w:val="auto"/>
          <w:sz w:val="24"/>
          <w:szCs w:val="24"/>
          <w:highlight w:val="none"/>
        </w:rPr>
        <w:t>7</w:t>
      </w:r>
      <w:bookmarkEnd w:id="23"/>
      <w:r>
        <w:rPr>
          <w:rFonts w:hint="eastAsia" w:ascii="仿宋" w:hAnsi="仿宋" w:eastAsia="仿宋" w:cs="仿宋"/>
          <w:color w:val="auto"/>
          <w:sz w:val="24"/>
          <w:szCs w:val="24"/>
          <w:highlight w:val="none"/>
        </w:rPr>
        <w:fldChar w:fldCharType="end"/>
      </w:r>
    </w:p>
    <w:p w14:paraId="242784D1">
      <w:pPr>
        <w:pStyle w:val="16"/>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instrText xml:space="preserve">HYPERLINK \l "_Toc351203492"</w:instrText>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fldChar w:fldCharType="separate"/>
      </w:r>
      <w:r>
        <w:rPr>
          <w:rStyle w:val="22"/>
          <w:rFonts w:hint="eastAsia" w:ascii="仿宋" w:hAnsi="仿宋" w:eastAsia="仿宋" w:cs="仿宋"/>
          <w:color w:val="auto"/>
          <w:sz w:val="24"/>
          <w:szCs w:val="24"/>
          <w:highlight w:val="none"/>
          <w:u w:val="none"/>
        </w:rPr>
        <w:t>十二、合同生效</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fldChar w:fldCharType="end"/>
      </w:r>
    </w:p>
    <w:p w14:paraId="31A93E73">
      <w:pPr>
        <w:pStyle w:val="16"/>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instrText xml:space="preserve">HYPERLINK \l "_Toc351203493"</w:instrText>
      </w:r>
      <w:r>
        <w:rPr>
          <w:rStyle w:val="22"/>
          <w:rFonts w:hint="eastAsia" w:ascii="仿宋" w:hAnsi="仿宋" w:eastAsia="仿宋" w:cs="仿宋"/>
          <w:color w:val="auto"/>
          <w:sz w:val="24"/>
          <w:szCs w:val="24"/>
          <w:highlight w:val="none"/>
          <w:u w:val="none"/>
        </w:rPr>
        <w:instrText xml:space="preserve"> </w:instrText>
      </w:r>
      <w:r>
        <w:rPr>
          <w:rFonts w:hint="eastAsia" w:ascii="仿宋" w:hAnsi="仿宋" w:eastAsia="仿宋" w:cs="仿宋"/>
          <w:color w:val="auto"/>
          <w:sz w:val="24"/>
          <w:szCs w:val="24"/>
          <w:highlight w:val="none"/>
        </w:rPr>
        <w:fldChar w:fldCharType="separate"/>
      </w:r>
      <w:r>
        <w:rPr>
          <w:rStyle w:val="22"/>
          <w:rFonts w:hint="eastAsia" w:ascii="仿宋" w:hAnsi="仿宋" w:eastAsia="仿宋" w:cs="仿宋"/>
          <w:color w:val="auto"/>
          <w:sz w:val="24"/>
          <w:szCs w:val="24"/>
          <w:highlight w:val="none"/>
          <w:u w:val="none"/>
        </w:rPr>
        <w:t>十三、合同份数</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fldChar w:fldCharType="end"/>
      </w:r>
    </w:p>
    <w:p w14:paraId="0F778FEF">
      <w:pPr>
        <w:pStyle w:val="10"/>
        <w:ind w:left="0" w:leftChars="0" w:firstLine="241" w:firstLineChars="100"/>
        <w:rPr>
          <w:rFonts w:ascii="仿宋" w:hAnsi="仿宋" w:eastAsia="仿宋"/>
          <w:b/>
          <w:bCs/>
          <w:color w:val="auto"/>
          <w:sz w:val="24"/>
          <w:szCs w:val="24"/>
          <w:highlight w:val="none"/>
        </w:rPr>
      </w:pPr>
      <w:r>
        <w:rPr>
          <w:rFonts w:ascii="仿宋" w:hAnsi="仿宋" w:eastAsia="仿宋"/>
          <w:b/>
          <w:bCs/>
          <w:color w:val="auto"/>
          <w:sz w:val="24"/>
          <w:szCs w:val="24"/>
          <w:highlight w:val="none"/>
        </w:rPr>
        <w:fldChar w:fldCharType="begin"/>
      </w:r>
      <w:r>
        <w:rPr>
          <w:rFonts w:ascii="仿宋" w:hAnsi="仿宋" w:eastAsia="仿宋"/>
          <w:b/>
          <w:bCs/>
          <w:color w:val="auto"/>
          <w:sz w:val="24"/>
          <w:szCs w:val="24"/>
          <w:highlight w:val="none"/>
        </w:rPr>
        <w:instrText xml:space="preserve"> HYPERLINK \l "_Toc32835742" </w:instrText>
      </w:r>
      <w:r>
        <w:rPr>
          <w:rFonts w:ascii="仿宋" w:hAnsi="仿宋" w:eastAsia="仿宋"/>
          <w:b/>
          <w:bCs/>
          <w:color w:val="auto"/>
          <w:sz w:val="24"/>
          <w:szCs w:val="24"/>
          <w:highlight w:val="none"/>
        </w:rPr>
        <w:fldChar w:fldCharType="separate"/>
      </w:r>
      <w:r>
        <w:rPr>
          <w:rFonts w:hint="eastAsia" w:ascii="仿宋" w:hAnsi="仿宋" w:eastAsia="仿宋"/>
          <w:b/>
          <w:bCs/>
          <w:color w:val="auto"/>
          <w:sz w:val="24"/>
          <w:szCs w:val="24"/>
          <w:highlight w:val="none"/>
        </w:rPr>
        <w:t>第二部分</w:t>
      </w:r>
      <w:r>
        <w:rPr>
          <w:rFonts w:ascii="仿宋" w:hAnsi="仿宋" w:eastAsia="仿宋"/>
          <w:b/>
          <w:bCs/>
          <w:color w:val="auto"/>
          <w:sz w:val="24"/>
          <w:szCs w:val="24"/>
          <w:highlight w:val="none"/>
        </w:rPr>
        <w:t xml:space="preserve"> </w:t>
      </w:r>
      <w:r>
        <w:rPr>
          <w:rFonts w:hint="eastAsia" w:ascii="仿宋" w:hAnsi="仿宋" w:eastAsia="仿宋"/>
          <w:b/>
          <w:bCs/>
          <w:color w:val="auto"/>
          <w:sz w:val="24"/>
          <w:szCs w:val="24"/>
          <w:highlight w:val="none"/>
        </w:rPr>
        <w:t>通用合同条款</w:t>
      </w:r>
      <w:r>
        <w:rPr>
          <w:rFonts w:ascii="仿宋" w:hAnsi="仿宋" w:eastAsia="仿宋"/>
          <w:b/>
          <w:bCs/>
          <w:color w:val="auto"/>
          <w:sz w:val="24"/>
          <w:szCs w:val="24"/>
          <w:highlight w:val="none"/>
        </w:rPr>
        <w:tab/>
      </w:r>
      <w:bookmarkStart w:id="24" w:name="_Hlt34127814"/>
      <w:r>
        <w:rPr>
          <w:rFonts w:ascii="仿宋" w:hAnsi="仿宋" w:eastAsia="仿宋"/>
          <w:b/>
          <w:bCs/>
          <w:color w:val="auto"/>
          <w:sz w:val="24"/>
          <w:szCs w:val="24"/>
          <w:highlight w:val="none"/>
        </w:rPr>
        <w:fldChar w:fldCharType="begin"/>
      </w:r>
      <w:r>
        <w:rPr>
          <w:rFonts w:ascii="仿宋" w:hAnsi="仿宋" w:eastAsia="仿宋"/>
          <w:b/>
          <w:bCs/>
          <w:color w:val="auto"/>
          <w:sz w:val="24"/>
          <w:szCs w:val="24"/>
          <w:highlight w:val="none"/>
        </w:rPr>
        <w:instrText xml:space="preserve"> PAGEREF _Toc32835742 \h </w:instrText>
      </w:r>
      <w:r>
        <w:rPr>
          <w:rFonts w:ascii="仿宋" w:hAnsi="仿宋" w:eastAsia="仿宋"/>
          <w:b/>
          <w:bCs/>
          <w:color w:val="auto"/>
          <w:sz w:val="24"/>
          <w:szCs w:val="24"/>
          <w:highlight w:val="none"/>
        </w:rPr>
        <w:fldChar w:fldCharType="separate"/>
      </w:r>
      <w:r>
        <w:rPr>
          <w:rFonts w:ascii="仿宋" w:hAnsi="仿宋" w:eastAsia="仿宋"/>
          <w:b/>
          <w:bCs/>
          <w:color w:val="auto"/>
          <w:sz w:val="24"/>
          <w:szCs w:val="24"/>
          <w:highlight w:val="none"/>
        </w:rPr>
        <w:t>101</w:t>
      </w:r>
      <w:r>
        <w:rPr>
          <w:rFonts w:ascii="仿宋" w:hAnsi="仿宋" w:eastAsia="仿宋"/>
          <w:b/>
          <w:bCs/>
          <w:color w:val="auto"/>
          <w:sz w:val="24"/>
          <w:szCs w:val="24"/>
          <w:highlight w:val="none"/>
        </w:rPr>
        <w:fldChar w:fldCharType="end"/>
      </w:r>
      <w:bookmarkEnd w:id="24"/>
      <w:r>
        <w:rPr>
          <w:rFonts w:ascii="仿宋" w:hAnsi="仿宋" w:eastAsia="仿宋"/>
          <w:b/>
          <w:bCs/>
          <w:color w:val="auto"/>
          <w:sz w:val="24"/>
          <w:szCs w:val="24"/>
          <w:highlight w:val="none"/>
        </w:rPr>
        <w:fldChar w:fldCharType="end"/>
      </w:r>
    </w:p>
    <w:p w14:paraId="7862EEEE">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t xml:space="preserve">1. </w:t>
      </w:r>
      <w:r>
        <w:rPr>
          <w:rFonts w:hint="eastAsia" w:ascii="仿宋" w:hAnsi="仿宋" w:eastAsia="仿宋"/>
          <w:color w:val="auto"/>
          <w:sz w:val="24"/>
          <w:szCs w:val="24"/>
          <w:highlight w:val="none"/>
        </w:rPr>
        <w:t>一般</w:t>
      </w:r>
      <w:bookmarkStart w:id="25" w:name="_Hlt32836713"/>
      <w:r>
        <w:rPr>
          <w:rFonts w:hint="eastAsia" w:ascii="仿宋" w:hAnsi="仿宋" w:eastAsia="仿宋"/>
          <w:color w:val="auto"/>
          <w:sz w:val="24"/>
          <w:szCs w:val="24"/>
          <w:highlight w:val="none"/>
        </w:rPr>
        <w:t>约</w:t>
      </w:r>
      <w:bookmarkEnd w:id="25"/>
      <w:r>
        <w:rPr>
          <w:rFonts w:hint="eastAsia" w:ascii="仿宋" w:hAnsi="仿宋" w:eastAsia="仿宋"/>
          <w:color w:val="auto"/>
          <w:sz w:val="24"/>
          <w:szCs w:val="24"/>
          <w:highlight w:val="none"/>
        </w:rPr>
        <w:t>定</w:t>
      </w:r>
      <w:bookmarkStart w:id="26" w:name="_Hlt34127834"/>
      <w:r>
        <w:rPr>
          <w:rFonts w:ascii="仿宋" w:hAnsi="仿宋" w:eastAsia="仿宋"/>
          <w:color w:val="auto"/>
          <w:sz w:val="24"/>
          <w:szCs w:val="24"/>
          <w:highlight w:val="none"/>
        </w:rPr>
        <w:tab/>
      </w:r>
      <w:bookmarkEnd w:id="26"/>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_Toc32835743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101</w:t>
      </w:r>
      <w:r>
        <w:rPr>
          <w:rFonts w:ascii="仿宋" w:hAnsi="仿宋" w:eastAsia="仿宋"/>
          <w:color w:val="auto"/>
          <w:sz w:val="24"/>
          <w:szCs w:val="24"/>
          <w:highlight w:val="none"/>
        </w:rPr>
        <w:fldChar w:fldCharType="end"/>
      </w:r>
    </w:p>
    <w:p w14:paraId="67F179E0">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t xml:space="preserve">2. </w:t>
      </w:r>
      <w:r>
        <w:rPr>
          <w:rFonts w:hint="eastAsia" w:ascii="仿宋" w:hAnsi="仿宋" w:eastAsia="仿宋"/>
          <w:color w:val="auto"/>
          <w:sz w:val="24"/>
          <w:szCs w:val="24"/>
          <w:highlight w:val="none"/>
        </w:rPr>
        <w:t>发包人</w:t>
      </w:r>
      <w:bookmarkStart w:id="27" w:name="_Hlt34136169"/>
      <w:r>
        <w:rPr>
          <w:rFonts w:ascii="仿宋" w:hAnsi="仿宋" w:eastAsia="仿宋"/>
          <w:color w:val="auto"/>
          <w:sz w:val="24"/>
          <w:szCs w:val="24"/>
          <w:highlight w:val="none"/>
        </w:rPr>
        <w:tab/>
      </w:r>
      <w:bookmarkEnd w:id="27"/>
      <w:r>
        <w:rPr>
          <w:rFonts w:hint="eastAsia" w:ascii="仿宋" w:hAnsi="仿宋" w:eastAsia="仿宋"/>
          <w:color w:val="auto"/>
          <w:sz w:val="24"/>
          <w:szCs w:val="24"/>
          <w:highlight w:val="none"/>
        </w:rPr>
        <w:t>22</w:t>
      </w:r>
    </w:p>
    <w:p w14:paraId="75232CD9">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t xml:space="preserve">3. </w:t>
      </w:r>
      <w:r>
        <w:rPr>
          <w:rFonts w:hint="eastAsia" w:ascii="仿宋" w:hAnsi="仿宋" w:eastAsia="仿宋"/>
          <w:color w:val="auto"/>
          <w:sz w:val="24"/>
          <w:szCs w:val="24"/>
          <w:highlight w:val="none"/>
        </w:rPr>
        <w:t>承包人</w:t>
      </w:r>
      <w:bookmarkStart w:id="28" w:name="_Hlt34059806"/>
      <w:r>
        <w:rPr>
          <w:rFonts w:ascii="仿宋" w:hAnsi="仿宋" w:eastAsia="仿宋"/>
          <w:color w:val="auto"/>
          <w:sz w:val="24"/>
          <w:szCs w:val="24"/>
          <w:highlight w:val="none"/>
        </w:rPr>
        <w:tab/>
      </w:r>
      <w:bookmarkEnd w:id="28"/>
      <w:r>
        <w:rPr>
          <w:rFonts w:hint="eastAsia" w:ascii="仿宋" w:hAnsi="仿宋" w:eastAsia="仿宋"/>
          <w:color w:val="auto"/>
          <w:sz w:val="24"/>
          <w:szCs w:val="24"/>
          <w:highlight w:val="none"/>
        </w:rPr>
        <w:t>26</w:t>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TOC \o "1-5" \h \z \u </w:instrText>
      </w:r>
      <w:r>
        <w:rPr>
          <w:rFonts w:ascii="仿宋" w:hAnsi="仿宋" w:eastAsia="仿宋"/>
          <w:color w:val="auto"/>
          <w:sz w:val="24"/>
          <w:szCs w:val="24"/>
          <w:highlight w:val="none"/>
        </w:rPr>
        <w:fldChar w:fldCharType="separate"/>
      </w:r>
    </w:p>
    <w:p w14:paraId="7235BCB7">
      <w:pPr>
        <w:pStyle w:val="16"/>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instrText xml:space="preserve">HYPERLINK \l "_Toc32835632"</w:instrText>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Style w:val="22"/>
          <w:rFonts w:ascii="仿宋" w:hAnsi="仿宋" w:eastAsia="仿宋"/>
          <w:color w:val="auto"/>
          <w:sz w:val="24"/>
          <w:szCs w:val="24"/>
          <w:highlight w:val="none"/>
        </w:rPr>
        <w:t xml:space="preserve">4. </w:t>
      </w:r>
      <w:r>
        <w:rPr>
          <w:rStyle w:val="22"/>
          <w:rFonts w:hint="eastAsia" w:ascii="仿宋" w:hAnsi="仿宋" w:eastAsia="仿宋"/>
          <w:color w:val="auto"/>
          <w:sz w:val="24"/>
          <w:szCs w:val="24"/>
          <w:highlight w:val="none"/>
        </w:rPr>
        <w:t xml:space="preserve">监理人 </w:t>
      </w:r>
      <w:bookmarkStart w:id="29" w:name="_Hlt34136195"/>
      <w:r>
        <w:rPr>
          <w:rFonts w:ascii="仿宋" w:hAnsi="仿宋" w:eastAsia="仿宋"/>
          <w:color w:val="auto"/>
          <w:sz w:val="24"/>
          <w:szCs w:val="24"/>
          <w:highlight w:val="none"/>
        </w:rPr>
        <w:tab/>
      </w:r>
      <w:bookmarkEnd w:id="29"/>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_Toc32835632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21</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4AB2E42D">
      <w:pPr>
        <w:pStyle w:val="16"/>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instrText xml:space="preserve">HYPERLINK \l "_Toc32835637"</w:instrText>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Style w:val="22"/>
          <w:rFonts w:ascii="仿宋" w:hAnsi="仿宋" w:eastAsia="仿宋"/>
          <w:color w:val="auto"/>
          <w:sz w:val="24"/>
          <w:szCs w:val="24"/>
          <w:highlight w:val="none"/>
        </w:rPr>
        <w:t xml:space="preserve">5. </w:t>
      </w:r>
      <w:r>
        <w:rPr>
          <w:rStyle w:val="22"/>
          <w:rFonts w:hint="eastAsia" w:ascii="仿宋" w:hAnsi="仿宋" w:eastAsia="仿宋"/>
          <w:color w:val="auto"/>
          <w:sz w:val="24"/>
          <w:szCs w:val="24"/>
          <w:highlight w:val="none"/>
        </w:rPr>
        <w:t>工程质量</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_Toc32835637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22</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0F5D9402">
      <w:pPr>
        <w:pStyle w:val="16"/>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instrText xml:space="preserve">HYPERLINK \l "_Toc32835645"</w:instrText>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Style w:val="22"/>
          <w:rFonts w:ascii="仿宋" w:hAnsi="仿宋" w:eastAsia="仿宋"/>
          <w:color w:val="auto"/>
          <w:sz w:val="24"/>
          <w:szCs w:val="24"/>
          <w:highlight w:val="none"/>
        </w:rPr>
        <w:t xml:space="preserve">6. </w:t>
      </w:r>
      <w:r>
        <w:rPr>
          <w:rStyle w:val="22"/>
          <w:rFonts w:hint="eastAsia" w:ascii="仿宋" w:hAnsi="仿宋" w:eastAsia="仿宋"/>
          <w:color w:val="auto"/>
          <w:sz w:val="24"/>
          <w:szCs w:val="24"/>
          <w:highlight w:val="none"/>
        </w:rPr>
        <w:t>安全文明施工与环境保护</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_Toc32835645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24</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1F57FD35">
      <w:pPr>
        <w:pStyle w:val="16"/>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instrText xml:space="preserve">HYPERLINK \l "_Toc32835649"</w:instrText>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Style w:val="22"/>
          <w:rFonts w:ascii="仿宋" w:hAnsi="仿宋" w:eastAsia="仿宋"/>
          <w:color w:val="auto"/>
          <w:sz w:val="24"/>
          <w:szCs w:val="24"/>
          <w:highlight w:val="none"/>
        </w:rPr>
        <w:t xml:space="preserve">7. </w:t>
      </w:r>
      <w:r>
        <w:rPr>
          <w:rStyle w:val="22"/>
          <w:rFonts w:hint="eastAsia" w:ascii="仿宋" w:hAnsi="仿宋" w:eastAsia="仿宋"/>
          <w:color w:val="auto"/>
          <w:sz w:val="24"/>
          <w:szCs w:val="24"/>
          <w:highlight w:val="none"/>
        </w:rPr>
        <w:t>工期和进度</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_Toc32835649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28</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4F865DDA">
      <w:pPr>
        <w:pStyle w:val="16"/>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instrText xml:space="preserve">HYPERLINK \l "_Toc32835659"</w:instrText>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Style w:val="22"/>
          <w:rFonts w:ascii="仿宋" w:hAnsi="仿宋" w:eastAsia="仿宋"/>
          <w:color w:val="auto"/>
          <w:sz w:val="24"/>
          <w:szCs w:val="24"/>
          <w:highlight w:val="none"/>
        </w:rPr>
        <w:t xml:space="preserve">8. </w:t>
      </w:r>
      <w:r>
        <w:rPr>
          <w:rStyle w:val="22"/>
          <w:rFonts w:hint="eastAsia" w:ascii="仿宋" w:hAnsi="仿宋" w:eastAsia="仿宋"/>
          <w:color w:val="auto"/>
          <w:sz w:val="24"/>
          <w:szCs w:val="24"/>
          <w:highlight w:val="none"/>
        </w:rPr>
        <w:t>材料与设备</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_Toc32835659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33</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34F6C9E0">
      <w:pPr>
        <w:pStyle w:val="16"/>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instrText xml:space="preserve">HYPERLINK \l "_Toc32835669"</w:instrText>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Style w:val="22"/>
          <w:rFonts w:ascii="仿宋" w:hAnsi="仿宋" w:eastAsia="仿宋"/>
          <w:color w:val="auto"/>
          <w:sz w:val="24"/>
          <w:szCs w:val="24"/>
          <w:highlight w:val="none"/>
        </w:rPr>
        <w:t xml:space="preserve">9. </w:t>
      </w:r>
      <w:r>
        <w:rPr>
          <w:rStyle w:val="22"/>
          <w:rFonts w:hint="eastAsia" w:ascii="仿宋" w:hAnsi="仿宋" w:eastAsia="仿宋"/>
          <w:color w:val="auto"/>
          <w:sz w:val="24"/>
          <w:szCs w:val="24"/>
          <w:highlight w:val="none"/>
        </w:rPr>
        <w:t>试验与检验</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_Toc32835669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37</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7AD3AF26">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"_Toc32835674"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10. </w:t>
      </w:r>
      <w:r>
        <w:rPr>
          <w:rFonts w:hint="eastAsia" w:ascii="仿宋" w:hAnsi="仿宋" w:eastAsia="仿宋"/>
          <w:color w:val="auto"/>
          <w:sz w:val="24"/>
          <w:szCs w:val="24"/>
          <w:highlight w:val="none"/>
        </w:rPr>
        <w:t>变更</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_Toc32835674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38</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4558AC44">
      <w:pPr>
        <w:pStyle w:val="16"/>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instrText xml:space="preserve">HYPERLINK \l "_Toc32835684"</w:instrText>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Style w:val="22"/>
          <w:rFonts w:ascii="仿宋" w:hAnsi="仿宋" w:eastAsia="仿宋"/>
          <w:color w:val="auto"/>
          <w:sz w:val="24"/>
          <w:szCs w:val="24"/>
          <w:highlight w:val="none"/>
        </w:rPr>
        <w:t xml:space="preserve">11. </w:t>
      </w:r>
      <w:r>
        <w:rPr>
          <w:rStyle w:val="22"/>
          <w:rFonts w:hint="eastAsia" w:ascii="仿宋" w:hAnsi="仿宋" w:eastAsia="仿宋"/>
          <w:color w:val="auto"/>
          <w:sz w:val="24"/>
          <w:szCs w:val="24"/>
          <w:highlight w:val="none"/>
        </w:rPr>
        <w:t>价格调整</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_Toc32835684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42</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0DF1A2B6">
      <w:pPr>
        <w:pStyle w:val="16"/>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instrText xml:space="preserve">HYPERLINK \l "_Toc32835687"</w:instrText>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Style w:val="22"/>
          <w:rFonts w:ascii="仿宋" w:hAnsi="仿宋" w:eastAsia="仿宋"/>
          <w:color w:val="auto"/>
          <w:sz w:val="24"/>
          <w:szCs w:val="24"/>
          <w:highlight w:val="none"/>
        </w:rPr>
        <w:t xml:space="preserve">12. </w:t>
      </w:r>
      <w:r>
        <w:rPr>
          <w:rStyle w:val="22"/>
          <w:rFonts w:hint="eastAsia" w:ascii="仿宋" w:hAnsi="仿宋" w:eastAsia="仿宋"/>
          <w:color w:val="auto"/>
          <w:sz w:val="24"/>
          <w:szCs w:val="24"/>
          <w:highlight w:val="none"/>
        </w:rPr>
        <w:t>合同价格、计量与支付</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_Toc32835687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45</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6E8BD354">
      <w:pPr>
        <w:pStyle w:val="16"/>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instrText xml:space="preserve">HYPERLINK \l "_Toc32835695"</w:instrText>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Style w:val="22"/>
          <w:rFonts w:ascii="仿宋" w:hAnsi="仿宋" w:eastAsia="仿宋"/>
          <w:color w:val="auto"/>
          <w:sz w:val="24"/>
          <w:szCs w:val="24"/>
          <w:highlight w:val="none"/>
        </w:rPr>
        <w:t xml:space="preserve">13. </w:t>
      </w:r>
      <w:r>
        <w:rPr>
          <w:rStyle w:val="22"/>
          <w:rFonts w:hint="eastAsia" w:ascii="仿宋" w:hAnsi="仿宋" w:eastAsia="仿宋"/>
          <w:color w:val="auto"/>
          <w:sz w:val="24"/>
          <w:szCs w:val="24"/>
          <w:highlight w:val="none"/>
        </w:rPr>
        <w:t>验收和工程试车</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_Toc32835695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50</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269E87F3">
      <w:pPr>
        <w:pStyle w:val="16"/>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instrText xml:space="preserve">HYPERLINK \l "_Toc32835703"</w:instrText>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Style w:val="22"/>
          <w:rFonts w:ascii="仿宋" w:hAnsi="仿宋" w:eastAsia="仿宋"/>
          <w:color w:val="auto"/>
          <w:sz w:val="24"/>
          <w:szCs w:val="24"/>
          <w:highlight w:val="none"/>
        </w:rPr>
        <w:t xml:space="preserve">14. </w:t>
      </w:r>
      <w:r>
        <w:rPr>
          <w:rStyle w:val="22"/>
          <w:rFonts w:hint="eastAsia" w:ascii="仿宋" w:hAnsi="仿宋" w:eastAsia="仿宋"/>
          <w:color w:val="auto"/>
          <w:sz w:val="24"/>
          <w:szCs w:val="24"/>
          <w:highlight w:val="none"/>
        </w:rPr>
        <w:t>竣工结算</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_Toc32835703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54</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0991B131">
      <w:pPr>
        <w:pStyle w:val="16"/>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instrText xml:space="preserve">HYPERLINK \l "_Toc32835708"</w:instrText>
      </w:r>
      <w:r>
        <w:rPr>
          <w:rStyle w:val="22"/>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Style w:val="22"/>
          <w:rFonts w:ascii="仿宋" w:hAnsi="仿宋" w:eastAsia="仿宋"/>
          <w:color w:val="auto"/>
          <w:sz w:val="24"/>
          <w:szCs w:val="24"/>
          <w:highlight w:val="none"/>
        </w:rPr>
        <w:t xml:space="preserve">15. </w:t>
      </w:r>
      <w:r>
        <w:rPr>
          <w:rStyle w:val="22"/>
          <w:rFonts w:hint="eastAsia" w:ascii="仿宋" w:hAnsi="仿宋" w:eastAsia="仿宋"/>
          <w:color w:val="auto"/>
          <w:sz w:val="24"/>
          <w:szCs w:val="24"/>
          <w:highlight w:val="none"/>
        </w:rPr>
        <w:t>缺陷责任与保修</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_Toc32835708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56</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6CD22739">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"_Toc32835713"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16. </w:t>
      </w:r>
      <w:r>
        <w:rPr>
          <w:rFonts w:hint="eastAsia" w:ascii="仿宋" w:hAnsi="仿宋" w:eastAsia="仿宋"/>
          <w:color w:val="auto"/>
          <w:sz w:val="24"/>
          <w:szCs w:val="24"/>
          <w:highlight w:val="none"/>
        </w:rPr>
        <w:t>违约</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_Toc32835713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59</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5FEB4AD0">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"_Toc32835717"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17. </w:t>
      </w:r>
      <w:r>
        <w:rPr>
          <w:rFonts w:hint="eastAsia" w:ascii="仿宋" w:hAnsi="仿宋" w:eastAsia="仿宋"/>
          <w:color w:val="auto"/>
          <w:sz w:val="24"/>
          <w:szCs w:val="24"/>
          <w:highlight w:val="none"/>
        </w:rPr>
        <w:t>不可抗力</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_Toc32835717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62</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4E731618">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"_Toc32835722"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18. </w:t>
      </w:r>
      <w:r>
        <w:rPr>
          <w:rFonts w:hint="eastAsia" w:ascii="仿宋" w:hAnsi="仿宋" w:eastAsia="仿宋"/>
          <w:color w:val="auto"/>
          <w:sz w:val="24"/>
          <w:szCs w:val="24"/>
          <w:highlight w:val="none"/>
        </w:rPr>
        <w:t>保险</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_Toc32835722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64</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488209EE">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"_Toc32835730"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19. </w:t>
      </w:r>
      <w:r>
        <w:rPr>
          <w:rFonts w:hint="eastAsia" w:ascii="仿宋" w:hAnsi="仿宋" w:eastAsia="仿宋"/>
          <w:color w:val="auto"/>
          <w:sz w:val="24"/>
          <w:szCs w:val="24"/>
          <w:highlight w:val="none"/>
        </w:rPr>
        <w:t>索赔</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_Toc32835730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65</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5BD8CC7D">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"_Toc32835736"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20. </w:t>
      </w:r>
      <w:r>
        <w:rPr>
          <w:rFonts w:hint="eastAsia" w:ascii="仿宋" w:hAnsi="仿宋" w:eastAsia="仿宋"/>
          <w:color w:val="auto"/>
          <w:sz w:val="24"/>
          <w:szCs w:val="24"/>
          <w:highlight w:val="none"/>
        </w:rPr>
        <w:t>争议解决</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_Toc32835736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67</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49C4AE44">
      <w:pPr>
        <w:pStyle w:val="10"/>
        <w:ind w:left="0" w:leftChars="0" w:firstLine="482" w:firstLineChars="200"/>
        <w:rPr>
          <w:rFonts w:ascii="仿宋" w:hAnsi="仿宋" w:eastAsia="仿宋"/>
          <w:b/>
          <w:bCs/>
          <w:color w:val="auto"/>
          <w:sz w:val="24"/>
          <w:szCs w:val="24"/>
          <w:highlight w:val="none"/>
        </w:rPr>
      </w:pPr>
      <w:r>
        <w:rPr>
          <w:rFonts w:ascii="仿宋" w:hAnsi="仿宋" w:eastAsia="仿宋"/>
          <w:b/>
          <w:bCs/>
          <w:color w:val="auto"/>
          <w:sz w:val="24"/>
          <w:szCs w:val="24"/>
          <w:highlight w:val="none"/>
        </w:rPr>
        <w:fldChar w:fldCharType="begin"/>
      </w:r>
      <w:r>
        <w:rPr>
          <w:rFonts w:ascii="仿宋" w:hAnsi="仿宋" w:eastAsia="仿宋"/>
          <w:b/>
          <w:bCs/>
          <w:color w:val="auto"/>
          <w:sz w:val="24"/>
          <w:szCs w:val="24"/>
          <w:highlight w:val="none"/>
        </w:rPr>
        <w:instrText xml:space="preserve"> HYPERLINK \l "_Toc32835742" </w:instrText>
      </w:r>
      <w:r>
        <w:rPr>
          <w:rFonts w:ascii="仿宋" w:hAnsi="仿宋" w:eastAsia="仿宋"/>
          <w:b/>
          <w:bCs/>
          <w:color w:val="auto"/>
          <w:sz w:val="24"/>
          <w:szCs w:val="24"/>
          <w:highlight w:val="none"/>
        </w:rPr>
        <w:fldChar w:fldCharType="separate"/>
      </w:r>
      <w:r>
        <w:rPr>
          <w:rFonts w:hint="eastAsia" w:ascii="仿宋" w:hAnsi="仿宋" w:eastAsia="仿宋"/>
          <w:b/>
          <w:bCs/>
          <w:color w:val="auto"/>
          <w:sz w:val="24"/>
          <w:szCs w:val="24"/>
          <w:highlight w:val="none"/>
        </w:rPr>
        <w:t>第三部分</w:t>
      </w:r>
      <w:r>
        <w:rPr>
          <w:rFonts w:ascii="仿宋" w:hAnsi="仿宋" w:eastAsia="仿宋"/>
          <w:b/>
          <w:bCs/>
          <w:color w:val="auto"/>
          <w:sz w:val="24"/>
          <w:szCs w:val="24"/>
          <w:highlight w:val="none"/>
        </w:rPr>
        <w:t xml:space="preserve"> </w:t>
      </w:r>
      <w:r>
        <w:rPr>
          <w:rFonts w:hint="eastAsia" w:ascii="仿宋" w:hAnsi="仿宋" w:eastAsia="仿宋"/>
          <w:b/>
          <w:bCs/>
          <w:color w:val="auto"/>
          <w:sz w:val="24"/>
          <w:szCs w:val="24"/>
          <w:highlight w:val="none"/>
        </w:rPr>
        <w:t>专用合同条款</w:t>
      </w:r>
      <w:r>
        <w:rPr>
          <w:rFonts w:ascii="仿宋" w:hAnsi="仿宋" w:eastAsia="仿宋"/>
          <w:b/>
          <w:bCs/>
          <w:color w:val="auto"/>
          <w:sz w:val="24"/>
          <w:szCs w:val="24"/>
          <w:highlight w:val="none"/>
        </w:rPr>
        <w:tab/>
      </w:r>
      <w:r>
        <w:rPr>
          <w:rFonts w:ascii="仿宋" w:hAnsi="仿宋" w:eastAsia="仿宋"/>
          <w:b/>
          <w:bCs/>
          <w:color w:val="auto"/>
          <w:sz w:val="24"/>
          <w:szCs w:val="24"/>
          <w:highlight w:val="none"/>
        </w:rPr>
        <w:fldChar w:fldCharType="begin"/>
      </w:r>
      <w:r>
        <w:rPr>
          <w:rFonts w:ascii="仿宋" w:hAnsi="仿宋" w:eastAsia="仿宋"/>
          <w:b/>
          <w:bCs/>
          <w:color w:val="auto"/>
          <w:sz w:val="24"/>
          <w:szCs w:val="24"/>
          <w:highlight w:val="none"/>
        </w:rPr>
        <w:instrText xml:space="preserve"> PAGEREF _Toc32835742 \h </w:instrText>
      </w:r>
      <w:r>
        <w:rPr>
          <w:rFonts w:ascii="仿宋" w:hAnsi="仿宋" w:eastAsia="仿宋"/>
          <w:b/>
          <w:bCs/>
          <w:color w:val="auto"/>
          <w:sz w:val="24"/>
          <w:szCs w:val="24"/>
          <w:highlight w:val="none"/>
        </w:rPr>
        <w:fldChar w:fldCharType="separate"/>
      </w:r>
      <w:r>
        <w:rPr>
          <w:rFonts w:ascii="仿宋" w:hAnsi="仿宋" w:eastAsia="仿宋"/>
          <w:b/>
          <w:bCs/>
          <w:color w:val="auto"/>
          <w:sz w:val="24"/>
          <w:szCs w:val="24"/>
          <w:highlight w:val="none"/>
        </w:rPr>
        <w:t>69</w:t>
      </w:r>
      <w:r>
        <w:rPr>
          <w:rFonts w:ascii="仿宋" w:hAnsi="仿宋" w:eastAsia="仿宋"/>
          <w:b/>
          <w:bCs/>
          <w:color w:val="auto"/>
          <w:sz w:val="24"/>
          <w:szCs w:val="24"/>
          <w:highlight w:val="none"/>
        </w:rPr>
        <w:fldChar w:fldCharType="end"/>
      </w:r>
      <w:r>
        <w:rPr>
          <w:rFonts w:ascii="仿宋" w:hAnsi="仿宋" w:eastAsia="仿宋"/>
          <w:b/>
          <w:bCs/>
          <w:color w:val="auto"/>
          <w:sz w:val="24"/>
          <w:szCs w:val="24"/>
          <w:highlight w:val="none"/>
        </w:rPr>
        <w:fldChar w:fldCharType="end"/>
      </w:r>
    </w:p>
    <w:p w14:paraId="74823B42">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"_Toc32835743"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 </w:t>
      </w:r>
      <w:r>
        <w:rPr>
          <w:rFonts w:hint="eastAsia" w:ascii="仿宋" w:hAnsi="仿宋" w:eastAsia="仿宋"/>
          <w:color w:val="auto"/>
          <w:sz w:val="24"/>
          <w:szCs w:val="24"/>
          <w:highlight w:val="none"/>
        </w:rPr>
        <w:t>一般约定</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_Toc32835743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69</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5ADC98E4">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"_Toc32835769"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2. </w:t>
      </w:r>
      <w:r>
        <w:rPr>
          <w:rFonts w:hint="eastAsia" w:ascii="仿宋" w:hAnsi="仿宋" w:eastAsia="仿宋"/>
          <w:color w:val="auto"/>
          <w:sz w:val="24"/>
          <w:szCs w:val="24"/>
          <w:highlight w:val="none"/>
        </w:rPr>
        <w:t>发包人</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_Toc32835769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75</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268A0BBF">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"_Toc32835772"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3. </w:t>
      </w:r>
      <w:r>
        <w:rPr>
          <w:rFonts w:hint="eastAsia" w:ascii="仿宋" w:hAnsi="仿宋" w:eastAsia="仿宋"/>
          <w:color w:val="auto"/>
          <w:sz w:val="24"/>
          <w:szCs w:val="24"/>
          <w:highlight w:val="none"/>
        </w:rPr>
        <w:t>承包人</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_Toc32835772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77</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3CC7E2A0">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"_Toc32835773"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4. </w:t>
      </w:r>
      <w:r>
        <w:rPr>
          <w:rFonts w:hint="eastAsia" w:ascii="仿宋" w:hAnsi="仿宋" w:eastAsia="仿宋"/>
          <w:color w:val="auto"/>
          <w:sz w:val="24"/>
          <w:szCs w:val="24"/>
          <w:highlight w:val="none"/>
        </w:rPr>
        <w:t>监理人</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_Toc32835773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93</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36C4C0A1">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"_Toc32835774"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5. </w:t>
      </w:r>
      <w:r>
        <w:rPr>
          <w:rFonts w:hint="eastAsia" w:ascii="仿宋" w:hAnsi="仿宋" w:eastAsia="仿宋"/>
          <w:color w:val="auto"/>
          <w:sz w:val="24"/>
          <w:szCs w:val="24"/>
          <w:highlight w:val="none"/>
        </w:rPr>
        <w:t>工程质量</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_Toc32835774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94</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0DF7CE3F">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"_Toc32835777"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6. </w:t>
      </w:r>
      <w:r>
        <w:rPr>
          <w:rFonts w:hint="eastAsia" w:ascii="仿宋" w:hAnsi="仿宋" w:eastAsia="仿宋"/>
          <w:color w:val="auto"/>
          <w:sz w:val="24"/>
          <w:szCs w:val="24"/>
          <w:highlight w:val="none"/>
        </w:rPr>
        <w:t>安全文明施工与环境保护</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_Toc32835777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96</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06F66A02">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"_Toc32835778"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7. </w:t>
      </w:r>
      <w:r>
        <w:rPr>
          <w:rFonts w:hint="eastAsia" w:ascii="仿宋" w:hAnsi="仿宋" w:eastAsia="仿宋"/>
          <w:color w:val="auto"/>
          <w:sz w:val="24"/>
          <w:szCs w:val="24"/>
          <w:highlight w:val="none"/>
        </w:rPr>
        <w:t>工期和进度</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_Toc32835778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100</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194D0F33">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"_Toc32835780"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8. </w:t>
      </w:r>
      <w:r>
        <w:rPr>
          <w:rFonts w:hint="eastAsia" w:ascii="仿宋" w:hAnsi="仿宋" w:eastAsia="仿宋"/>
          <w:color w:val="auto"/>
          <w:sz w:val="24"/>
          <w:szCs w:val="24"/>
          <w:highlight w:val="none"/>
        </w:rPr>
        <w:t>材料与设备</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_Toc32835780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108</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262D14EA">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"_Toc32835783"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9. </w:t>
      </w:r>
      <w:r>
        <w:rPr>
          <w:rFonts w:hint="eastAsia" w:ascii="仿宋" w:hAnsi="仿宋" w:eastAsia="仿宋"/>
          <w:color w:val="auto"/>
          <w:sz w:val="24"/>
          <w:szCs w:val="24"/>
          <w:highlight w:val="none"/>
        </w:rPr>
        <w:t>试验与检验</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_Toc32835783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113</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774825F8">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"_Toc32835784"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10. </w:t>
      </w:r>
      <w:r>
        <w:rPr>
          <w:rFonts w:hint="eastAsia" w:ascii="仿宋" w:hAnsi="仿宋" w:eastAsia="仿宋"/>
          <w:color w:val="auto"/>
          <w:sz w:val="24"/>
          <w:szCs w:val="24"/>
          <w:highlight w:val="none"/>
        </w:rPr>
        <w:t>变更</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_Toc32835784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115</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420F7307">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"_Toc32835786"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11. </w:t>
      </w:r>
      <w:r>
        <w:rPr>
          <w:rFonts w:hint="eastAsia" w:ascii="仿宋" w:hAnsi="仿宋" w:eastAsia="仿宋"/>
          <w:color w:val="auto"/>
          <w:sz w:val="24"/>
          <w:szCs w:val="24"/>
          <w:highlight w:val="none"/>
        </w:rPr>
        <w:t>价格调整</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_Toc32835786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120</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6E5ED41B">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"_Toc32835787"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12. </w:t>
      </w:r>
      <w:r>
        <w:rPr>
          <w:rFonts w:hint="eastAsia" w:ascii="仿宋" w:hAnsi="仿宋" w:eastAsia="仿宋"/>
          <w:color w:val="auto"/>
          <w:sz w:val="24"/>
          <w:szCs w:val="24"/>
          <w:highlight w:val="none"/>
        </w:rPr>
        <w:t>合同价格、计量与支付</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_Toc32835787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122</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0BB0BDDC">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"_Toc32835788"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13. </w:t>
      </w:r>
      <w:r>
        <w:rPr>
          <w:rFonts w:hint="eastAsia" w:ascii="仿宋" w:hAnsi="仿宋" w:eastAsia="仿宋"/>
          <w:color w:val="auto"/>
          <w:sz w:val="24"/>
          <w:szCs w:val="24"/>
          <w:highlight w:val="none"/>
        </w:rPr>
        <w:t>验收和工程试车</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_Toc32835788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129</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2F42D23D">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"_Toc32835790"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14. </w:t>
      </w:r>
      <w:r>
        <w:rPr>
          <w:rFonts w:hint="eastAsia" w:ascii="仿宋" w:hAnsi="仿宋" w:eastAsia="仿宋"/>
          <w:color w:val="auto"/>
          <w:sz w:val="24"/>
          <w:szCs w:val="24"/>
          <w:highlight w:val="none"/>
        </w:rPr>
        <w:t>竣工结算</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_Toc32835790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131</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65E68AC0">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"_Toc32835791"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15. </w:t>
      </w:r>
      <w:r>
        <w:rPr>
          <w:rFonts w:hint="eastAsia" w:ascii="仿宋" w:hAnsi="仿宋" w:eastAsia="仿宋"/>
          <w:color w:val="auto"/>
          <w:sz w:val="24"/>
          <w:szCs w:val="24"/>
          <w:highlight w:val="none"/>
        </w:rPr>
        <w:t>缺陷责任期与保修</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_Toc32835791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136</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3E258F8B">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"_Toc32835792"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16. </w:t>
      </w:r>
      <w:r>
        <w:rPr>
          <w:rFonts w:hint="eastAsia" w:ascii="仿宋" w:hAnsi="仿宋" w:eastAsia="仿宋"/>
          <w:color w:val="auto"/>
          <w:sz w:val="24"/>
          <w:szCs w:val="24"/>
          <w:highlight w:val="none"/>
        </w:rPr>
        <w:t>违约</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_Toc32835792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138</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72385AD0">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"_Toc32835793"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17. </w:t>
      </w:r>
      <w:r>
        <w:rPr>
          <w:rFonts w:hint="eastAsia" w:ascii="仿宋" w:hAnsi="仿宋" w:eastAsia="仿宋"/>
          <w:color w:val="auto"/>
          <w:sz w:val="24"/>
          <w:szCs w:val="24"/>
          <w:highlight w:val="none"/>
        </w:rPr>
        <w:t>不可抗力</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_Toc32835793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146</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74A3823F">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"_Toc32835794"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18. </w:t>
      </w:r>
      <w:r>
        <w:rPr>
          <w:rFonts w:hint="eastAsia" w:ascii="仿宋" w:hAnsi="仿宋" w:eastAsia="仿宋"/>
          <w:color w:val="auto"/>
          <w:sz w:val="24"/>
          <w:szCs w:val="24"/>
          <w:highlight w:val="none"/>
        </w:rPr>
        <w:t>保险</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_Toc32835794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147</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5735B57B">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"_Toc32835796"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19. </w:t>
      </w:r>
      <w:r>
        <w:rPr>
          <w:rFonts w:hint="eastAsia" w:ascii="仿宋" w:hAnsi="仿宋" w:eastAsia="仿宋"/>
          <w:color w:val="auto"/>
          <w:sz w:val="24"/>
          <w:szCs w:val="24"/>
          <w:highlight w:val="none"/>
        </w:rPr>
        <w:t>索赔</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_Toc32835796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149</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53894791">
      <w:pPr>
        <w:pStyle w:val="10"/>
        <w:ind w:left="0" w:leftChars="0"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HYPERLINK \l "_Toc32835797"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 xml:space="preserve">20. </w:t>
      </w:r>
      <w:r>
        <w:rPr>
          <w:rFonts w:hint="eastAsia" w:ascii="仿宋" w:hAnsi="仿宋" w:eastAsia="仿宋"/>
          <w:color w:val="auto"/>
          <w:sz w:val="24"/>
          <w:szCs w:val="24"/>
          <w:highlight w:val="none"/>
        </w:rPr>
        <w:t>争议解决</w:t>
      </w:r>
      <w:r>
        <w:rPr>
          <w:rFonts w:ascii="仿宋" w:hAnsi="仿宋" w:eastAsia="仿宋"/>
          <w:color w:val="auto"/>
          <w:sz w:val="24"/>
          <w:szCs w:val="24"/>
          <w:highlight w:val="none"/>
        </w:rPr>
        <w:tab/>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_Toc32835797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150</w:t>
      </w:r>
      <w:r>
        <w:rPr>
          <w:rFonts w:ascii="仿宋" w:hAnsi="仿宋" w:eastAsia="仿宋"/>
          <w:color w:val="auto"/>
          <w:sz w:val="24"/>
          <w:szCs w:val="24"/>
          <w:highlight w:val="none"/>
        </w:rPr>
        <w:fldChar w:fldCharType="end"/>
      </w:r>
      <w:r>
        <w:rPr>
          <w:rFonts w:ascii="仿宋" w:hAnsi="仿宋" w:eastAsia="仿宋"/>
          <w:color w:val="auto"/>
          <w:sz w:val="24"/>
          <w:szCs w:val="24"/>
          <w:highlight w:val="none"/>
        </w:rPr>
        <w:fldChar w:fldCharType="end"/>
      </w:r>
    </w:p>
    <w:p w14:paraId="131EFD90">
      <w:pPr>
        <w:pStyle w:val="5"/>
        <w:spacing w:before="0" w:after="0" w:line="240" w:lineRule="auto"/>
        <w:ind w:firstLine="482" w:firstLineChars="200"/>
        <w:jc w:val="center"/>
        <w:rPr>
          <w:rFonts w:hint="eastAsia" w:eastAsia="仿宋_GB2312"/>
          <w:b w:val="0"/>
          <w:color w:val="auto"/>
          <w:sz w:val="24"/>
          <w:szCs w:val="24"/>
          <w:highlight w:val="none"/>
        </w:rPr>
        <w:sectPr>
          <w:footerReference r:id="rId4" w:type="first"/>
          <w:footerReference r:id="rId3" w:type="default"/>
          <w:pgSz w:w="11906" w:h="16838"/>
          <w:pgMar w:top="1418" w:right="1555" w:bottom="1418" w:left="1531" w:header="851" w:footer="992" w:gutter="0"/>
          <w:pgNumType w:fmt="upperRoman" w:start="1"/>
          <w:cols w:space="720" w:num="1"/>
          <w:titlePg/>
          <w:docGrid w:type="lines" w:linePitch="312" w:charSpace="0"/>
        </w:sectPr>
      </w:pPr>
      <w:r>
        <w:rPr>
          <w:rFonts w:ascii="仿宋" w:hAnsi="仿宋" w:eastAsia="仿宋"/>
          <w:color w:val="auto"/>
          <w:sz w:val="24"/>
          <w:szCs w:val="24"/>
          <w:highlight w:val="none"/>
        </w:rPr>
        <w:fldChar w:fldCharType="end"/>
      </w:r>
      <w:r>
        <w:rPr>
          <w:rFonts w:hint="eastAsia" w:ascii="仿宋" w:hAnsi="仿宋" w:eastAsia="仿宋"/>
          <w:bCs w:val="0"/>
          <w:color w:val="auto"/>
          <w:sz w:val="24"/>
          <w:szCs w:val="24"/>
          <w:highlight w:val="none"/>
        </w:rPr>
        <w:t>附件</w:t>
      </w:r>
      <w:r>
        <w:rPr>
          <w:rFonts w:ascii="仿宋" w:hAnsi="仿宋" w:eastAsia="仿宋"/>
          <w:b w:val="0"/>
          <w:color w:val="auto"/>
          <w:sz w:val="24"/>
          <w:szCs w:val="24"/>
          <w:highlight w:val="none"/>
        </w:rPr>
        <w:t>…………………………………………………………152</w:t>
      </w:r>
    </w:p>
    <w:p w14:paraId="4A27A473">
      <w:pPr>
        <w:pStyle w:val="5"/>
        <w:jc w:val="center"/>
        <w:rPr>
          <w:rFonts w:eastAsia="华文中宋"/>
          <w:b w:val="0"/>
          <w:color w:val="auto"/>
          <w:sz w:val="36"/>
          <w:szCs w:val="36"/>
          <w:highlight w:val="none"/>
        </w:rPr>
      </w:pPr>
      <w:bookmarkStart w:id="30" w:name="_Toc32835587"/>
      <w:r>
        <w:rPr>
          <w:rFonts w:ascii="华文中宋" w:hAnsi="华文中宋" w:eastAsia="华文中宋"/>
          <w:color w:val="auto"/>
          <w:sz w:val="36"/>
          <w:szCs w:val="36"/>
          <w:highlight w:val="none"/>
        </w:rPr>
        <w:t>第一部分 合同协议书</w:t>
      </w:r>
      <w:bookmarkEnd w:id="0"/>
      <w:bookmarkEnd w:id="1"/>
      <w:bookmarkEnd w:id="30"/>
    </w:p>
    <w:p w14:paraId="4D5F5726">
      <w:pPr>
        <w:spacing w:line="360" w:lineRule="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rPr>
        <w:t>发包人（甲方）：</w:t>
      </w:r>
      <w:r>
        <w:rPr>
          <w:rFonts w:hint="eastAsia" w:ascii="仿宋_GB2312" w:hAnsi="仿宋_GB2312" w:eastAsia="仿宋_GB2312" w:cs="仿宋_GB2312"/>
          <w:b/>
          <w:color w:val="auto"/>
          <w:sz w:val="24"/>
          <w:szCs w:val="24"/>
          <w:highlight w:val="none"/>
          <w:u w:val="single"/>
        </w:rPr>
        <w:t>广东新华发行集团新兴新华书店有限公司</w:t>
      </w:r>
    </w:p>
    <w:p w14:paraId="43F170E0">
      <w:pPr>
        <w:spacing w:line="360" w:lineRule="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rPr>
        <w:t>承包人（乙方）：</w:t>
      </w:r>
      <w:r>
        <w:rPr>
          <w:rFonts w:hint="eastAsia" w:ascii="仿宋_GB2312" w:hAnsi="仿宋_GB2312" w:eastAsia="仿宋_GB2312" w:cs="仿宋_GB2312"/>
          <w:b/>
          <w:color w:val="auto"/>
          <w:sz w:val="24"/>
          <w:szCs w:val="24"/>
          <w:highlight w:val="none"/>
          <w:u w:val="single"/>
        </w:rPr>
        <w:t>                      </w:t>
      </w:r>
    </w:p>
    <w:p w14:paraId="4A42119D">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根据《中华人民共和国民法典》、《中华人民共和国建筑法》及有关法律规定，遵循平等、自愿、公平和诚实信用的原则，双方就</w:t>
      </w:r>
      <w:r>
        <w:rPr>
          <w:rFonts w:hint="eastAsia" w:eastAsia="仿宋_GB2312"/>
          <w:color w:val="auto"/>
          <w:sz w:val="24"/>
          <w:szCs w:val="24"/>
          <w:highlight w:val="none"/>
          <w:u w:val="single"/>
        </w:rPr>
        <w:t xml:space="preserve"> 新兴县新华书店综合楼工程 </w:t>
      </w:r>
      <w:r>
        <w:rPr>
          <w:rFonts w:eastAsia="仿宋_GB2312"/>
          <w:color w:val="auto"/>
          <w:sz w:val="24"/>
          <w:szCs w:val="24"/>
          <w:highlight w:val="none"/>
        </w:rPr>
        <w:t>有关事项协商一致</w:t>
      </w:r>
      <w:r>
        <w:rPr>
          <w:rFonts w:hint="eastAsia" w:eastAsia="仿宋_GB2312"/>
          <w:color w:val="auto"/>
          <w:sz w:val="24"/>
          <w:szCs w:val="24"/>
          <w:highlight w:val="none"/>
        </w:rPr>
        <w:t>，</w:t>
      </w:r>
      <w:r>
        <w:rPr>
          <w:rFonts w:eastAsia="仿宋_GB2312"/>
          <w:color w:val="auto"/>
          <w:sz w:val="24"/>
          <w:szCs w:val="24"/>
          <w:highlight w:val="none"/>
        </w:rPr>
        <w:t>共同达成如下协议：</w:t>
      </w:r>
    </w:p>
    <w:p w14:paraId="3A8527C2">
      <w:pPr>
        <w:pStyle w:val="6"/>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r>
        <w:rPr>
          <w:rFonts w:ascii="Times New Roman" w:hAnsi="Times New Roman" w:eastAsia="黑体"/>
          <w:b w:val="0"/>
          <w:color w:val="auto"/>
          <w:sz w:val="24"/>
          <w:szCs w:val="24"/>
          <w:highlight w:val="none"/>
        </w:rPr>
        <w:t xml:space="preserve"> </w:t>
      </w:r>
      <w:bookmarkStart w:id="31" w:name="_Toc32835588"/>
      <w:r>
        <w:rPr>
          <w:rFonts w:ascii="Times New Roman" w:hAnsi="Times New Roman" w:eastAsia="黑体"/>
          <w:b w:val="0"/>
          <w:color w:val="auto"/>
          <w:sz w:val="24"/>
          <w:szCs w:val="24"/>
          <w:highlight w:val="none"/>
        </w:rPr>
        <w:t>一、工程概况</w:t>
      </w:r>
      <w:bookmarkEnd w:id="31"/>
    </w:p>
    <w:p w14:paraId="4CCDB600">
      <w:pPr>
        <w:spacing w:line="360" w:lineRule="auto"/>
        <w:ind w:firstLine="470" w:firstLineChars="196"/>
        <w:rPr>
          <w:rFonts w:eastAsia="仿宋_GB2312"/>
          <w:color w:val="auto"/>
          <w:sz w:val="24"/>
          <w:szCs w:val="24"/>
          <w:highlight w:val="none"/>
          <w:u w:val="single"/>
        </w:rPr>
      </w:pPr>
      <w:r>
        <w:rPr>
          <w:rFonts w:eastAsia="仿宋_GB2312"/>
          <w:bCs/>
          <w:color w:val="auto"/>
          <w:sz w:val="24"/>
          <w:szCs w:val="24"/>
          <w:highlight w:val="none"/>
        </w:rPr>
        <w:t>1.工程名称</w:t>
      </w:r>
      <w:r>
        <w:rPr>
          <w:rFonts w:eastAsia="仿宋_GB2312"/>
          <w:color w:val="auto"/>
          <w:sz w:val="24"/>
          <w:szCs w:val="24"/>
          <w:highlight w:val="none"/>
        </w:rPr>
        <w:t>：</w:t>
      </w:r>
      <w:r>
        <w:rPr>
          <w:rFonts w:hint="eastAsia" w:eastAsia="仿宋_GB2312"/>
          <w:color w:val="auto"/>
          <w:sz w:val="24"/>
          <w:szCs w:val="24"/>
          <w:highlight w:val="none"/>
          <w:u w:val="single"/>
        </w:rPr>
        <w:t xml:space="preserve"> 新兴县新华书店综合楼工程。</w:t>
      </w:r>
    </w:p>
    <w:p w14:paraId="693CD473">
      <w:pPr>
        <w:spacing w:line="360" w:lineRule="auto"/>
        <w:ind w:firstLine="470" w:firstLineChars="196"/>
        <w:rPr>
          <w:rFonts w:eastAsia="仿宋_GB2312"/>
          <w:bCs/>
          <w:color w:val="auto"/>
          <w:sz w:val="24"/>
          <w:szCs w:val="24"/>
          <w:highlight w:val="none"/>
        </w:rPr>
      </w:pPr>
      <w:r>
        <w:rPr>
          <w:rFonts w:eastAsia="仿宋_GB2312"/>
          <w:bCs/>
          <w:color w:val="auto"/>
          <w:sz w:val="24"/>
          <w:szCs w:val="24"/>
          <w:highlight w:val="none"/>
        </w:rPr>
        <w:t>2.工程地点：</w:t>
      </w:r>
      <w:r>
        <w:rPr>
          <w:rFonts w:hint="eastAsia" w:eastAsia="仿宋_GB2312"/>
          <w:color w:val="auto"/>
          <w:sz w:val="24"/>
          <w:szCs w:val="24"/>
          <w:highlight w:val="none"/>
          <w:u w:val="single"/>
        </w:rPr>
        <w:t xml:space="preserve"> 云浮市新兴县裕华南路。</w:t>
      </w:r>
    </w:p>
    <w:p w14:paraId="33DCF372">
      <w:pPr>
        <w:spacing w:line="360" w:lineRule="auto"/>
        <w:ind w:firstLine="470" w:firstLineChars="196"/>
        <w:rPr>
          <w:rFonts w:eastAsia="仿宋_GB2312"/>
          <w:color w:val="auto"/>
          <w:sz w:val="24"/>
          <w:szCs w:val="24"/>
          <w:highlight w:val="none"/>
          <w:u w:val="single"/>
        </w:rPr>
      </w:pPr>
      <w:r>
        <w:rPr>
          <w:rFonts w:eastAsia="仿宋_GB2312"/>
          <w:bCs/>
          <w:color w:val="auto"/>
          <w:sz w:val="24"/>
          <w:szCs w:val="24"/>
          <w:highlight w:val="none"/>
        </w:rPr>
        <w:t>3.工程立项批准文号：</w:t>
      </w:r>
      <w:r>
        <w:rPr>
          <w:rFonts w:eastAsia="仿宋_GB2312"/>
          <w:color w:val="auto"/>
          <w:sz w:val="24"/>
          <w:szCs w:val="24"/>
          <w:highlight w:val="none"/>
          <w:u w:val="single"/>
        </w:rPr>
        <w:t>广东省企业投资项目备案证（编号</w:t>
      </w:r>
      <w:r>
        <w:rPr>
          <w:rFonts w:hint="eastAsia" w:eastAsia="仿宋_GB2312"/>
          <w:color w:val="auto"/>
          <w:sz w:val="24"/>
          <w:szCs w:val="24"/>
          <w:highlight w:val="none"/>
          <w:u w:val="single"/>
        </w:rPr>
        <w:t>2015-445321-52-03-007310</w:t>
      </w:r>
      <w:r>
        <w:rPr>
          <w:rFonts w:eastAsia="仿宋_GB2312"/>
          <w:color w:val="auto"/>
          <w:sz w:val="24"/>
          <w:szCs w:val="24"/>
          <w:highlight w:val="none"/>
          <w:u w:val="single"/>
        </w:rPr>
        <w:t>）。</w:t>
      </w:r>
    </w:p>
    <w:p w14:paraId="201F257A">
      <w:pPr>
        <w:spacing w:line="360" w:lineRule="auto"/>
        <w:ind w:firstLine="470" w:firstLineChars="196"/>
        <w:rPr>
          <w:rFonts w:hint="eastAsia" w:eastAsia="仿宋_GB2312"/>
          <w:bCs/>
          <w:color w:val="auto"/>
          <w:sz w:val="24"/>
          <w:szCs w:val="24"/>
          <w:highlight w:val="none"/>
        </w:rPr>
      </w:pPr>
      <w:r>
        <w:rPr>
          <w:rFonts w:eastAsia="仿宋_GB2312"/>
          <w:bCs/>
          <w:color w:val="auto"/>
          <w:sz w:val="24"/>
          <w:szCs w:val="24"/>
          <w:highlight w:val="none"/>
        </w:rPr>
        <w:t>4.资金来源：</w:t>
      </w:r>
      <w:r>
        <w:rPr>
          <w:rFonts w:hint="eastAsia" w:eastAsia="仿宋_GB2312"/>
          <w:color w:val="auto"/>
          <w:sz w:val="24"/>
          <w:szCs w:val="24"/>
          <w:highlight w:val="none"/>
          <w:u w:val="single"/>
        </w:rPr>
        <w:t>企业自筹</w:t>
      </w:r>
      <w:r>
        <w:rPr>
          <w:rFonts w:eastAsia="仿宋_GB2312"/>
          <w:bCs/>
          <w:color w:val="auto"/>
          <w:sz w:val="24"/>
          <w:szCs w:val="24"/>
          <w:highlight w:val="none"/>
        </w:rPr>
        <w:t>。</w:t>
      </w:r>
    </w:p>
    <w:p w14:paraId="22293150">
      <w:pPr>
        <w:spacing w:line="360" w:lineRule="auto"/>
        <w:ind w:firstLine="470" w:firstLineChars="196"/>
        <w:rPr>
          <w:rFonts w:hint="eastAsia" w:eastAsia="仿宋_GB2312"/>
          <w:bCs/>
          <w:color w:val="auto"/>
          <w:sz w:val="24"/>
          <w:szCs w:val="24"/>
          <w:highlight w:val="none"/>
        </w:rPr>
      </w:pPr>
      <w:r>
        <w:rPr>
          <w:rFonts w:hint="eastAsia" w:eastAsia="仿宋_GB2312"/>
          <w:bCs/>
          <w:color w:val="auto"/>
          <w:sz w:val="24"/>
          <w:szCs w:val="24"/>
          <w:highlight w:val="none"/>
        </w:rPr>
        <w:t>5.工程内容：按发包人提供的图纸和有关资料、文件及说明，完成施工总承包工程及提供总承包管理配合服务，包括但不限于下列的工作内容:</w:t>
      </w:r>
    </w:p>
    <w:p w14:paraId="31944A62">
      <w:pPr>
        <w:spacing w:line="360" w:lineRule="auto"/>
        <w:ind w:firstLine="470" w:firstLineChars="196"/>
        <w:rPr>
          <w:rFonts w:ascii="Times New Roman" w:hAnsi="Times New Roman" w:eastAsia="仿宋_GB2312"/>
          <w:bCs/>
          <w:color w:val="auto"/>
          <w:sz w:val="24"/>
          <w:szCs w:val="24"/>
          <w:highlight w:val="none"/>
        </w:rPr>
      </w:pPr>
      <w:r>
        <w:rPr>
          <w:rFonts w:hint="eastAsia" w:ascii="Times New Roman" w:hAnsi="Times New Roman" w:eastAsia="仿宋_GB2312"/>
          <w:bCs/>
          <w:color w:val="auto"/>
          <w:sz w:val="24"/>
          <w:szCs w:val="24"/>
          <w:highlight w:val="none"/>
        </w:rPr>
        <w:t>5.1 施工总承包工程：</w:t>
      </w:r>
    </w:p>
    <w:p w14:paraId="7D65EABD">
      <w:pPr>
        <w:spacing w:line="360" w:lineRule="auto"/>
        <w:ind w:firstLine="420"/>
        <w:rPr>
          <w:color w:val="auto"/>
          <w:sz w:val="20"/>
          <w:szCs w:val="20"/>
          <w:highlight w:val="none"/>
        </w:rPr>
      </w:pPr>
      <w:r>
        <w:rPr>
          <w:rFonts w:hint="eastAsia" w:ascii="仿宋_GB2312" w:eastAsia="仿宋_GB2312"/>
          <w:color w:val="auto"/>
          <w:sz w:val="24"/>
          <w:szCs w:val="24"/>
          <w:highlight w:val="none"/>
        </w:rPr>
        <w:t>按发包人提供的图纸和有关资料、文件及说明，完成全部施工总承包工程及提供总承包管理配合服务，包括但不限于下列的工作内容: 本项目各专业工程施工及相关配套设施安装等，含土石方工程、防水工程、给排水工程、电气工程、电梯工程、消防工程（含防排烟）、室外工程等，以及为通过项目竣工验收所必须的已完工程质量缺陷修复工作（如有），不含二次装修范围内的室内墙面、天花涂料和地面铺装工程。（具体施工内容以施工图、清单、施工界面确认单及发包人书面通知为准）。</w:t>
      </w:r>
    </w:p>
    <w:p w14:paraId="40B05AE5">
      <w:pPr>
        <w:spacing w:line="360" w:lineRule="auto"/>
        <w:ind w:firstLine="470" w:firstLineChars="196"/>
        <w:rPr>
          <w:rFonts w:hint="eastAsia" w:eastAsia="仿宋_GB2312"/>
          <w:bCs/>
          <w:color w:val="auto"/>
          <w:sz w:val="24"/>
          <w:szCs w:val="24"/>
          <w:highlight w:val="none"/>
        </w:rPr>
      </w:pPr>
      <w:r>
        <w:rPr>
          <w:rFonts w:hint="eastAsia" w:ascii="Times New Roman" w:hAnsi="Times New Roman" w:eastAsia="仿宋_GB2312"/>
          <w:bCs/>
          <w:color w:val="auto"/>
          <w:sz w:val="24"/>
          <w:szCs w:val="24"/>
          <w:highlight w:val="none"/>
        </w:rPr>
        <w:t>5.2承包人</w:t>
      </w:r>
      <w:r>
        <w:rPr>
          <w:rFonts w:hint="eastAsia" w:eastAsia="仿宋_GB2312"/>
          <w:bCs/>
          <w:color w:val="auto"/>
          <w:sz w:val="24"/>
          <w:szCs w:val="24"/>
          <w:highlight w:val="none"/>
        </w:rPr>
        <w:t>负责本项目的施工总承包管理及配合服务，即对本项目发包人直接平行发包工程提供总承包管理和配合服务，包括但不限于：</w:t>
      </w:r>
    </w:p>
    <w:p w14:paraId="61FFC513">
      <w:pPr>
        <w:spacing w:line="360" w:lineRule="auto"/>
        <w:ind w:firstLine="470" w:firstLineChars="196"/>
        <w:rPr>
          <w:rFonts w:hint="eastAsia" w:eastAsia="仿宋_GB2312"/>
          <w:bCs/>
          <w:color w:val="auto"/>
          <w:sz w:val="24"/>
          <w:szCs w:val="24"/>
          <w:highlight w:val="none"/>
        </w:rPr>
      </w:pPr>
      <w:r>
        <w:rPr>
          <w:rFonts w:hint="eastAsia" w:eastAsia="仿宋_GB2312"/>
          <w:bCs/>
          <w:color w:val="auto"/>
          <w:sz w:val="24"/>
          <w:szCs w:val="24"/>
          <w:highlight w:val="none"/>
        </w:rPr>
        <w:t>①提供垂直运输设备（塔吊、施工电梯）的运输服务；</w:t>
      </w:r>
    </w:p>
    <w:p w14:paraId="5EFD6428">
      <w:pPr>
        <w:spacing w:line="360" w:lineRule="auto"/>
        <w:ind w:firstLine="470" w:firstLineChars="196"/>
        <w:rPr>
          <w:rFonts w:hint="eastAsia" w:eastAsia="仿宋_GB2312"/>
          <w:bCs/>
          <w:color w:val="auto"/>
          <w:sz w:val="24"/>
          <w:szCs w:val="24"/>
          <w:highlight w:val="none"/>
        </w:rPr>
      </w:pPr>
      <w:r>
        <w:rPr>
          <w:rFonts w:hint="eastAsia" w:eastAsia="仿宋_GB2312"/>
          <w:bCs/>
          <w:color w:val="auto"/>
          <w:sz w:val="24"/>
          <w:szCs w:val="24"/>
          <w:highlight w:val="none"/>
        </w:rPr>
        <w:t>②提供外墙及满堂脚手架的使用；</w:t>
      </w:r>
    </w:p>
    <w:p w14:paraId="2D7741DB">
      <w:pPr>
        <w:spacing w:line="360" w:lineRule="auto"/>
        <w:ind w:firstLine="470" w:firstLineChars="196"/>
        <w:rPr>
          <w:rFonts w:hint="eastAsia" w:eastAsia="仿宋_GB2312"/>
          <w:bCs/>
          <w:color w:val="auto"/>
          <w:sz w:val="24"/>
          <w:szCs w:val="24"/>
          <w:highlight w:val="none"/>
        </w:rPr>
      </w:pPr>
      <w:r>
        <w:rPr>
          <w:rFonts w:hint="eastAsia" w:eastAsia="仿宋_GB2312"/>
          <w:bCs/>
          <w:color w:val="auto"/>
          <w:sz w:val="24"/>
          <w:szCs w:val="24"/>
          <w:highlight w:val="none"/>
        </w:rPr>
        <w:t>③施工总承包单位负责向各专业施工单位提供施工及生活用水、用电接驳点，根据工期要求提供各项专业工程进场计划，合理安排穿插施工，对施工组织设计实施技术管理，对其他各专业系统的交叉施工进行综合协调和管理，并对各系统调试及竣工验收实施组织与管理；</w:t>
      </w:r>
    </w:p>
    <w:p w14:paraId="66940B08">
      <w:pPr>
        <w:spacing w:line="360" w:lineRule="auto"/>
        <w:ind w:firstLine="470" w:firstLineChars="196"/>
        <w:rPr>
          <w:rFonts w:hint="eastAsia" w:eastAsia="仿宋_GB2312"/>
          <w:bCs/>
          <w:color w:val="auto"/>
          <w:sz w:val="24"/>
          <w:szCs w:val="24"/>
          <w:highlight w:val="none"/>
        </w:rPr>
      </w:pPr>
      <w:r>
        <w:rPr>
          <w:rFonts w:hint="eastAsia" w:ascii="微软雅黑" w:hAnsi="微软雅黑" w:eastAsia="微软雅黑" w:cs="微软雅黑"/>
          <w:bCs/>
          <w:color w:val="auto"/>
          <w:sz w:val="24"/>
          <w:szCs w:val="24"/>
          <w:highlight w:val="none"/>
        </w:rPr>
        <w:t>④</w:t>
      </w:r>
      <w:r>
        <w:rPr>
          <w:rFonts w:hint="eastAsia" w:eastAsia="仿宋_GB2312"/>
          <w:bCs/>
          <w:color w:val="auto"/>
          <w:sz w:val="24"/>
          <w:szCs w:val="24"/>
          <w:highlight w:val="none"/>
        </w:rPr>
        <w:t>负责指导各专业工程过程中工程资料的编制，并收集、整理各专业分包竣工资料。</w:t>
      </w:r>
    </w:p>
    <w:p w14:paraId="35B21544">
      <w:pPr>
        <w:spacing w:line="360" w:lineRule="auto"/>
        <w:ind w:firstLine="470" w:firstLineChars="196"/>
        <w:jc w:val="left"/>
        <w:rPr>
          <w:rFonts w:hint="eastAsia" w:eastAsia="仿宋_GB2312"/>
          <w:bCs/>
          <w:color w:val="auto"/>
          <w:sz w:val="24"/>
          <w:szCs w:val="24"/>
          <w:highlight w:val="none"/>
        </w:rPr>
      </w:pPr>
      <w:r>
        <w:rPr>
          <w:rFonts w:hint="eastAsia" w:eastAsia="仿宋_GB2312"/>
          <w:bCs/>
          <w:color w:val="auto"/>
          <w:sz w:val="24"/>
          <w:szCs w:val="24"/>
          <w:highlight w:val="none"/>
        </w:rPr>
        <w:t>6.</w:t>
      </w:r>
      <w:r>
        <w:rPr>
          <w:rFonts w:eastAsia="仿宋_GB2312"/>
          <w:bCs/>
          <w:color w:val="auto"/>
          <w:sz w:val="24"/>
          <w:szCs w:val="24"/>
          <w:highlight w:val="none"/>
        </w:rPr>
        <w:t>工程承包范围：</w:t>
      </w:r>
      <w:r>
        <w:rPr>
          <w:rFonts w:hint="eastAsia" w:eastAsia="仿宋_GB2312"/>
          <w:bCs/>
          <w:color w:val="auto"/>
          <w:sz w:val="24"/>
          <w:szCs w:val="24"/>
          <w:highlight w:val="none"/>
        </w:rPr>
        <w:t>按发包人确认的设计图纸、图纸会审记录和有关变更文件、资料、招标文件、承包人投标文件、合同清单、施工界面确认资料以及双方签订的有关协议所包含的内容。</w:t>
      </w:r>
    </w:p>
    <w:p w14:paraId="413C3313">
      <w:pPr>
        <w:pStyle w:val="6"/>
        <w:spacing w:before="120" w:after="120" w:line="360" w:lineRule="auto"/>
        <w:rPr>
          <w:rFonts w:ascii="Times New Roman" w:hAnsi="Times New Roman" w:eastAsia="黑体"/>
          <w:b w:val="0"/>
          <w:color w:val="auto"/>
          <w:sz w:val="24"/>
          <w:szCs w:val="24"/>
          <w:highlight w:val="none"/>
        </w:rPr>
      </w:pPr>
      <w:r>
        <w:rPr>
          <w:rFonts w:ascii="Times New Roman" w:hAnsi="Times New Roman" w:eastAsia="黑体"/>
          <w:b w:val="0"/>
          <w:color w:val="auto"/>
          <w:sz w:val="24"/>
          <w:szCs w:val="24"/>
          <w:highlight w:val="none"/>
        </w:rPr>
        <w:t xml:space="preserve">   </w:t>
      </w:r>
      <w:bookmarkStart w:id="32" w:name="_Toc32835589"/>
      <w:r>
        <w:rPr>
          <w:rFonts w:ascii="Times New Roman" w:hAnsi="Times New Roman" w:eastAsia="黑体"/>
          <w:b w:val="0"/>
          <w:color w:val="auto"/>
          <w:sz w:val="24"/>
          <w:szCs w:val="24"/>
          <w:highlight w:val="none"/>
        </w:rPr>
        <w:t>二、合同工期</w:t>
      </w:r>
      <w:bookmarkEnd w:id="32"/>
    </w:p>
    <w:p w14:paraId="228FBCBB">
      <w:pPr>
        <w:spacing w:line="360" w:lineRule="auto"/>
        <w:ind w:firstLine="459"/>
        <w:rPr>
          <w:rFonts w:eastAsia="仿宋_GB2312"/>
          <w:color w:val="auto"/>
          <w:sz w:val="24"/>
          <w:szCs w:val="24"/>
          <w:highlight w:val="none"/>
        </w:rPr>
      </w:pPr>
      <w:r>
        <w:rPr>
          <w:rFonts w:eastAsia="仿宋_GB2312"/>
          <w:color w:val="auto"/>
          <w:sz w:val="24"/>
          <w:szCs w:val="24"/>
          <w:highlight w:val="none"/>
        </w:rPr>
        <w:t>计划开工日期：</w:t>
      </w:r>
      <w:r>
        <w:rPr>
          <w:rFonts w:eastAsia="仿宋_GB2312"/>
          <w:color w:val="auto"/>
          <w:sz w:val="24"/>
          <w:szCs w:val="24"/>
          <w:highlight w:val="none"/>
          <w:u w:val="single"/>
        </w:rPr>
        <w:t>202</w:t>
      </w:r>
      <w:r>
        <w:rPr>
          <w:rFonts w:hint="eastAsia" w:eastAsia="仿宋_GB2312"/>
          <w:color w:val="auto"/>
          <w:sz w:val="24"/>
          <w:szCs w:val="24"/>
          <w:highlight w:val="none"/>
          <w:u w:val="single"/>
        </w:rPr>
        <w:t>4</w:t>
      </w:r>
      <w:r>
        <w:rPr>
          <w:rFonts w:eastAsia="仿宋_GB2312"/>
          <w:color w:val="auto"/>
          <w:sz w:val="24"/>
          <w:szCs w:val="24"/>
          <w:highlight w:val="none"/>
        </w:rPr>
        <w:t>年</w:t>
      </w:r>
      <w:r>
        <w:rPr>
          <w:rFonts w:hint="eastAsia" w:eastAsia="仿宋_GB2312"/>
          <w:color w:val="auto"/>
          <w:sz w:val="24"/>
          <w:szCs w:val="24"/>
          <w:highlight w:val="none"/>
          <w:u w:val="single"/>
          <w:lang w:val="en-US" w:eastAsia="zh-CN"/>
        </w:rPr>
        <w:t xml:space="preserve">  </w:t>
      </w:r>
      <w:r>
        <w:rPr>
          <w:rFonts w:eastAsia="仿宋_GB2312"/>
          <w:color w:val="auto"/>
          <w:sz w:val="24"/>
          <w:szCs w:val="24"/>
          <w:highlight w:val="none"/>
        </w:rPr>
        <w:t>月</w:t>
      </w:r>
      <w:r>
        <w:rPr>
          <w:rFonts w:hint="eastAsia" w:eastAsia="仿宋_GB2312"/>
          <w:color w:val="auto"/>
          <w:sz w:val="24"/>
          <w:szCs w:val="24"/>
          <w:highlight w:val="none"/>
          <w:u w:val="single"/>
          <w:lang w:val="en-US" w:eastAsia="zh-CN"/>
        </w:rPr>
        <w:t xml:space="preserve">  </w:t>
      </w:r>
      <w:r>
        <w:rPr>
          <w:rFonts w:eastAsia="仿宋_GB2312"/>
          <w:color w:val="auto"/>
          <w:sz w:val="24"/>
          <w:szCs w:val="24"/>
          <w:highlight w:val="none"/>
        </w:rPr>
        <w:t>日。</w:t>
      </w:r>
    </w:p>
    <w:p w14:paraId="6C6A39C5">
      <w:pPr>
        <w:spacing w:line="360" w:lineRule="auto"/>
        <w:ind w:firstLine="459"/>
        <w:rPr>
          <w:rFonts w:eastAsia="仿宋_GB2312"/>
          <w:color w:val="auto"/>
          <w:sz w:val="24"/>
          <w:szCs w:val="24"/>
          <w:highlight w:val="none"/>
        </w:rPr>
      </w:pPr>
      <w:r>
        <w:rPr>
          <w:rFonts w:eastAsia="仿宋_GB2312"/>
          <w:color w:val="auto"/>
          <w:sz w:val="24"/>
          <w:szCs w:val="24"/>
          <w:highlight w:val="none"/>
        </w:rPr>
        <w:t>计划竣工日期：</w:t>
      </w:r>
      <w:r>
        <w:rPr>
          <w:rFonts w:eastAsia="仿宋_GB2312"/>
          <w:color w:val="auto"/>
          <w:sz w:val="24"/>
          <w:szCs w:val="24"/>
          <w:highlight w:val="none"/>
          <w:u w:val="single"/>
        </w:rPr>
        <w:t>202</w:t>
      </w:r>
      <w:r>
        <w:rPr>
          <w:rFonts w:hint="eastAsia" w:eastAsia="仿宋_GB2312"/>
          <w:color w:val="auto"/>
          <w:sz w:val="24"/>
          <w:szCs w:val="24"/>
          <w:highlight w:val="none"/>
          <w:u w:val="single"/>
        </w:rPr>
        <w:t>5</w:t>
      </w:r>
      <w:r>
        <w:rPr>
          <w:rFonts w:eastAsia="仿宋_GB2312"/>
          <w:color w:val="auto"/>
          <w:sz w:val="24"/>
          <w:szCs w:val="24"/>
          <w:highlight w:val="none"/>
        </w:rPr>
        <w:t>年</w:t>
      </w:r>
      <w:r>
        <w:rPr>
          <w:rFonts w:hint="eastAsia" w:eastAsia="仿宋_GB2312"/>
          <w:color w:val="auto"/>
          <w:sz w:val="24"/>
          <w:szCs w:val="24"/>
          <w:highlight w:val="none"/>
          <w:u w:val="single"/>
          <w:lang w:val="en-US" w:eastAsia="zh-CN"/>
        </w:rPr>
        <w:t xml:space="preserve">  </w:t>
      </w:r>
      <w:r>
        <w:rPr>
          <w:rFonts w:eastAsia="仿宋_GB2312"/>
          <w:color w:val="auto"/>
          <w:sz w:val="24"/>
          <w:szCs w:val="24"/>
          <w:highlight w:val="none"/>
        </w:rPr>
        <w:t>月</w:t>
      </w:r>
      <w:r>
        <w:rPr>
          <w:rFonts w:hint="eastAsia" w:eastAsia="仿宋_GB2312"/>
          <w:color w:val="auto"/>
          <w:sz w:val="24"/>
          <w:szCs w:val="24"/>
          <w:highlight w:val="none"/>
          <w:u w:val="single"/>
          <w:lang w:val="en-US" w:eastAsia="zh-CN"/>
        </w:rPr>
        <w:t xml:space="preserve">  </w:t>
      </w:r>
      <w:r>
        <w:rPr>
          <w:rFonts w:eastAsia="仿宋_GB2312"/>
          <w:color w:val="auto"/>
          <w:sz w:val="24"/>
          <w:szCs w:val="24"/>
          <w:highlight w:val="none"/>
        </w:rPr>
        <w:t>日。</w:t>
      </w:r>
    </w:p>
    <w:p w14:paraId="16380775">
      <w:pPr>
        <w:spacing w:line="360" w:lineRule="auto"/>
        <w:ind w:firstLine="459"/>
        <w:rPr>
          <w:rFonts w:eastAsia="仿宋_GB2312"/>
          <w:color w:val="auto"/>
          <w:sz w:val="24"/>
          <w:szCs w:val="24"/>
          <w:highlight w:val="none"/>
        </w:rPr>
      </w:pPr>
      <w:r>
        <w:rPr>
          <w:rFonts w:eastAsia="仿宋_GB2312"/>
          <w:color w:val="auto"/>
          <w:sz w:val="24"/>
          <w:szCs w:val="24"/>
          <w:highlight w:val="none"/>
        </w:rPr>
        <w:t>工期总日历天数：</w:t>
      </w:r>
      <w:r>
        <w:rPr>
          <w:rFonts w:hint="eastAsia" w:eastAsia="仿宋_GB2312"/>
          <w:color w:val="auto"/>
          <w:sz w:val="24"/>
          <w:szCs w:val="24"/>
          <w:highlight w:val="none"/>
          <w:u w:val="single"/>
          <w:lang w:val="en-US" w:eastAsia="zh-CN"/>
        </w:rPr>
        <w:t xml:space="preserve">   </w:t>
      </w:r>
      <w:r>
        <w:rPr>
          <w:rFonts w:eastAsia="仿宋_GB2312"/>
          <w:color w:val="auto"/>
          <w:sz w:val="24"/>
          <w:szCs w:val="24"/>
          <w:highlight w:val="none"/>
        </w:rPr>
        <w:t>天</w:t>
      </w:r>
      <w:r>
        <w:rPr>
          <w:rFonts w:hint="eastAsia" w:eastAsia="仿宋_GB2312"/>
          <w:color w:val="auto"/>
          <w:sz w:val="24"/>
          <w:szCs w:val="24"/>
          <w:highlight w:val="none"/>
        </w:rPr>
        <w:t>，以开工令确定的日期开始计算</w:t>
      </w:r>
      <w:r>
        <w:rPr>
          <w:rFonts w:eastAsia="仿宋_GB2312"/>
          <w:color w:val="auto"/>
          <w:sz w:val="24"/>
          <w:szCs w:val="24"/>
          <w:highlight w:val="none"/>
        </w:rPr>
        <w:t>。工期总日历天数与根据前述计划开竣工日期计算的工期天数不一致的，以工期总日历天数为准。</w:t>
      </w:r>
    </w:p>
    <w:p w14:paraId="6E3D26D1">
      <w:pPr>
        <w:spacing w:line="360" w:lineRule="auto"/>
        <w:ind w:firstLine="459"/>
        <w:rPr>
          <w:rFonts w:hint="eastAsia" w:eastAsia="仿宋_GB2312"/>
          <w:color w:val="auto"/>
          <w:sz w:val="24"/>
          <w:szCs w:val="24"/>
          <w:highlight w:val="none"/>
        </w:rPr>
      </w:pPr>
      <w:r>
        <w:rPr>
          <w:rFonts w:hint="eastAsia" w:eastAsia="仿宋_GB2312"/>
          <w:color w:val="auto"/>
          <w:sz w:val="24"/>
          <w:szCs w:val="24"/>
          <w:highlight w:val="none"/>
        </w:rPr>
        <w:t>关键节点工期</w:t>
      </w:r>
    </w:p>
    <w:p w14:paraId="15E2D963">
      <w:pPr>
        <w:spacing w:line="360" w:lineRule="auto"/>
        <w:ind w:firstLine="459"/>
        <w:rPr>
          <w:rFonts w:hint="eastAsia" w:eastAsia="仿宋_GB2312"/>
          <w:color w:val="auto"/>
          <w:sz w:val="24"/>
          <w:szCs w:val="24"/>
          <w:highlight w:val="none"/>
        </w:rPr>
      </w:pPr>
      <w:r>
        <w:rPr>
          <w:rFonts w:hint="eastAsia" w:eastAsia="仿宋_GB2312"/>
          <w:color w:val="auto"/>
          <w:sz w:val="24"/>
          <w:szCs w:val="24"/>
          <w:highlight w:val="none"/>
        </w:rPr>
        <w:t>完成消防安装工程日期：2024年</w:t>
      </w:r>
      <w:r>
        <w:rPr>
          <w:rFonts w:hint="eastAsia" w:eastAsia="仿宋_GB2312"/>
          <w:color w:val="auto"/>
          <w:sz w:val="24"/>
          <w:szCs w:val="24"/>
          <w:highlight w:val="none"/>
          <w:lang w:val="en-US" w:eastAsia="zh-CN"/>
        </w:rPr>
        <w:t xml:space="preserve">  </w:t>
      </w:r>
      <w:r>
        <w:rPr>
          <w:rFonts w:hint="eastAsia" w:eastAsia="仿宋_GB2312"/>
          <w:color w:val="auto"/>
          <w:sz w:val="24"/>
          <w:szCs w:val="24"/>
          <w:highlight w:val="none"/>
        </w:rPr>
        <w:t>月</w:t>
      </w:r>
      <w:r>
        <w:rPr>
          <w:rFonts w:hint="eastAsia" w:eastAsia="仿宋_GB2312"/>
          <w:color w:val="auto"/>
          <w:sz w:val="24"/>
          <w:szCs w:val="24"/>
          <w:highlight w:val="none"/>
          <w:lang w:val="en-US" w:eastAsia="zh-CN"/>
        </w:rPr>
        <w:t xml:space="preserve">  </w:t>
      </w:r>
      <w:r>
        <w:rPr>
          <w:rFonts w:hint="eastAsia" w:eastAsia="仿宋_GB2312"/>
          <w:color w:val="auto"/>
          <w:sz w:val="24"/>
          <w:szCs w:val="24"/>
          <w:highlight w:val="none"/>
        </w:rPr>
        <w:t>日前</w:t>
      </w:r>
    </w:p>
    <w:p w14:paraId="5A739FE0">
      <w:pPr>
        <w:spacing w:line="360" w:lineRule="auto"/>
        <w:ind w:firstLine="459"/>
        <w:rPr>
          <w:rFonts w:hint="eastAsia" w:eastAsia="仿宋_GB2312"/>
          <w:color w:val="auto"/>
          <w:sz w:val="24"/>
          <w:szCs w:val="24"/>
          <w:highlight w:val="none"/>
        </w:rPr>
      </w:pPr>
      <w:r>
        <w:rPr>
          <w:rFonts w:hint="eastAsia" w:ascii="仿宋" w:hAnsi="仿宋" w:eastAsia="仿宋" w:cs="仿宋"/>
          <w:color w:val="auto"/>
          <w:sz w:val="24"/>
          <w:szCs w:val="24"/>
          <w:highlight w:val="none"/>
        </w:rPr>
        <w:t>完成电梯安装工程</w:t>
      </w:r>
      <w:r>
        <w:rPr>
          <w:rFonts w:hint="eastAsia" w:eastAsia="仿宋_GB2312"/>
          <w:color w:val="auto"/>
          <w:sz w:val="24"/>
          <w:szCs w:val="24"/>
          <w:highlight w:val="none"/>
        </w:rPr>
        <w:t xml:space="preserve"> 日期：202</w:t>
      </w:r>
      <w:r>
        <w:rPr>
          <w:rFonts w:hint="eastAsia" w:eastAsia="仿宋_GB2312"/>
          <w:color w:val="auto"/>
          <w:sz w:val="24"/>
          <w:szCs w:val="24"/>
          <w:highlight w:val="none"/>
          <w:lang w:val="en-US" w:eastAsia="zh-CN"/>
        </w:rPr>
        <w:t>5</w:t>
      </w:r>
      <w:r>
        <w:rPr>
          <w:rFonts w:hint="eastAsia" w:eastAsia="仿宋_GB2312"/>
          <w:color w:val="auto"/>
          <w:sz w:val="24"/>
          <w:szCs w:val="24"/>
          <w:highlight w:val="none"/>
        </w:rPr>
        <w:t>年</w:t>
      </w:r>
      <w:r>
        <w:rPr>
          <w:rFonts w:hint="eastAsia" w:eastAsia="仿宋_GB2312"/>
          <w:color w:val="auto"/>
          <w:sz w:val="24"/>
          <w:szCs w:val="24"/>
          <w:highlight w:val="none"/>
          <w:lang w:val="en-US" w:eastAsia="zh-CN"/>
        </w:rPr>
        <w:t xml:space="preserve">  </w:t>
      </w:r>
      <w:r>
        <w:rPr>
          <w:rFonts w:hint="eastAsia" w:eastAsia="仿宋_GB2312"/>
          <w:color w:val="auto"/>
          <w:sz w:val="24"/>
          <w:szCs w:val="24"/>
          <w:highlight w:val="none"/>
        </w:rPr>
        <w:t>月</w:t>
      </w:r>
      <w:r>
        <w:rPr>
          <w:rFonts w:hint="eastAsia" w:eastAsia="仿宋_GB2312"/>
          <w:color w:val="auto"/>
          <w:sz w:val="24"/>
          <w:szCs w:val="24"/>
          <w:highlight w:val="none"/>
          <w:lang w:val="en-US" w:eastAsia="zh-CN"/>
        </w:rPr>
        <w:t xml:space="preserve">  </w:t>
      </w:r>
      <w:r>
        <w:rPr>
          <w:rFonts w:hint="eastAsia" w:eastAsia="仿宋_GB2312"/>
          <w:color w:val="auto"/>
          <w:sz w:val="24"/>
          <w:szCs w:val="24"/>
          <w:highlight w:val="none"/>
        </w:rPr>
        <w:t>日前</w:t>
      </w:r>
    </w:p>
    <w:p w14:paraId="0D337C83">
      <w:pPr>
        <w:spacing w:line="360" w:lineRule="auto"/>
        <w:ind w:firstLine="459"/>
        <w:rPr>
          <w:rFonts w:hint="eastAsia" w:eastAsia="仿宋_GB2312"/>
          <w:color w:val="auto"/>
          <w:sz w:val="24"/>
          <w:szCs w:val="24"/>
          <w:highlight w:val="none"/>
        </w:rPr>
      </w:pPr>
      <w:r>
        <w:rPr>
          <w:rFonts w:hint="eastAsia" w:eastAsia="仿宋_GB2312"/>
          <w:color w:val="auto"/>
          <w:sz w:val="24"/>
          <w:szCs w:val="24"/>
          <w:highlight w:val="none"/>
        </w:rPr>
        <w:t>完成竣工验收日期：202</w:t>
      </w:r>
      <w:r>
        <w:rPr>
          <w:rFonts w:hint="eastAsia" w:eastAsia="仿宋_GB2312"/>
          <w:color w:val="auto"/>
          <w:sz w:val="24"/>
          <w:szCs w:val="24"/>
          <w:highlight w:val="none"/>
          <w:lang w:val="en-US" w:eastAsia="zh-CN"/>
        </w:rPr>
        <w:t>5</w:t>
      </w:r>
      <w:r>
        <w:rPr>
          <w:rFonts w:hint="eastAsia" w:eastAsia="仿宋_GB2312"/>
          <w:color w:val="auto"/>
          <w:sz w:val="24"/>
          <w:szCs w:val="24"/>
          <w:highlight w:val="none"/>
        </w:rPr>
        <w:t>年</w:t>
      </w:r>
      <w:r>
        <w:rPr>
          <w:rFonts w:hint="eastAsia" w:eastAsia="仿宋_GB2312"/>
          <w:color w:val="auto"/>
          <w:sz w:val="24"/>
          <w:szCs w:val="24"/>
          <w:highlight w:val="none"/>
          <w:lang w:val="en-US" w:eastAsia="zh-CN"/>
        </w:rPr>
        <w:t xml:space="preserve">  </w:t>
      </w:r>
      <w:r>
        <w:rPr>
          <w:rFonts w:hint="eastAsia" w:eastAsia="仿宋_GB2312"/>
          <w:color w:val="auto"/>
          <w:sz w:val="24"/>
          <w:szCs w:val="24"/>
          <w:highlight w:val="none"/>
        </w:rPr>
        <w:t>月</w:t>
      </w:r>
      <w:r>
        <w:rPr>
          <w:rFonts w:hint="eastAsia" w:eastAsia="仿宋_GB2312"/>
          <w:color w:val="auto"/>
          <w:sz w:val="24"/>
          <w:szCs w:val="24"/>
          <w:highlight w:val="none"/>
          <w:lang w:val="en-US" w:eastAsia="zh-CN"/>
        </w:rPr>
        <w:t xml:space="preserve">  </w:t>
      </w:r>
      <w:r>
        <w:rPr>
          <w:rFonts w:hint="eastAsia" w:eastAsia="仿宋_GB2312"/>
          <w:color w:val="auto"/>
          <w:sz w:val="24"/>
          <w:szCs w:val="24"/>
          <w:highlight w:val="none"/>
        </w:rPr>
        <w:t>日前</w:t>
      </w:r>
    </w:p>
    <w:p w14:paraId="6D0D50C2">
      <w:pPr>
        <w:pStyle w:val="6"/>
        <w:spacing w:line="360" w:lineRule="auto"/>
        <w:rPr>
          <w:rFonts w:ascii="Times New Roman" w:hAnsi="Times New Roman" w:eastAsia="黑体"/>
          <w:color w:val="auto"/>
          <w:sz w:val="24"/>
          <w:szCs w:val="24"/>
          <w:highlight w:val="none"/>
        </w:rPr>
      </w:pPr>
      <w:r>
        <w:rPr>
          <w:rFonts w:ascii="Times New Roman" w:hAnsi="Times New Roman" w:eastAsia="黑体"/>
          <w:bCs w:val="0"/>
          <w:color w:val="auto"/>
          <w:sz w:val="24"/>
          <w:szCs w:val="24"/>
          <w:highlight w:val="none"/>
        </w:rPr>
        <w:t xml:space="preserve">    </w:t>
      </w:r>
      <w:bookmarkStart w:id="33" w:name="_Toc32835590"/>
      <w:r>
        <w:rPr>
          <w:rFonts w:ascii="黑体" w:hAnsi="黑体" w:eastAsia="黑体"/>
          <w:b w:val="0"/>
          <w:bCs w:val="0"/>
          <w:color w:val="auto"/>
          <w:sz w:val="24"/>
          <w:szCs w:val="24"/>
          <w:highlight w:val="none"/>
        </w:rPr>
        <w:t>三、</w:t>
      </w:r>
      <w:r>
        <w:rPr>
          <w:rFonts w:hint="eastAsia" w:ascii="黑体" w:hAnsi="黑体" w:eastAsia="黑体"/>
          <w:b w:val="0"/>
          <w:bCs w:val="0"/>
          <w:color w:val="auto"/>
          <w:sz w:val="24"/>
          <w:szCs w:val="24"/>
          <w:highlight w:val="none"/>
        </w:rPr>
        <w:t>工程</w:t>
      </w:r>
      <w:r>
        <w:rPr>
          <w:rFonts w:ascii="黑体" w:hAnsi="黑体" w:eastAsia="黑体"/>
          <w:b w:val="0"/>
          <w:bCs w:val="0"/>
          <w:color w:val="auto"/>
          <w:sz w:val="24"/>
          <w:szCs w:val="24"/>
          <w:highlight w:val="none"/>
        </w:rPr>
        <w:t>质量</w:t>
      </w:r>
      <w:r>
        <w:rPr>
          <w:rFonts w:hint="eastAsia" w:ascii="仿宋_GB2312" w:eastAsia="仿宋_GB2312"/>
          <w:color w:val="auto"/>
          <w:sz w:val="24"/>
          <w:szCs w:val="24"/>
          <w:highlight w:val="none"/>
        </w:rPr>
        <w:t>、安全</w:t>
      </w:r>
      <w:r>
        <w:rPr>
          <w:rFonts w:ascii="黑体" w:hAnsi="黑体" w:eastAsia="黑体"/>
          <w:b w:val="0"/>
          <w:bCs w:val="0"/>
          <w:color w:val="auto"/>
          <w:sz w:val="24"/>
          <w:szCs w:val="24"/>
          <w:highlight w:val="none"/>
        </w:rPr>
        <w:t>标准</w:t>
      </w:r>
    </w:p>
    <w:p w14:paraId="61E74EA9">
      <w:pPr>
        <w:spacing w:line="360" w:lineRule="auto"/>
        <w:ind w:firstLine="459"/>
        <w:rPr>
          <w:rFonts w:ascii="仿宋_GB2312" w:eastAsia="仿宋_GB2312" w:cs="Calibri"/>
          <w:color w:val="auto"/>
          <w:sz w:val="24"/>
          <w:szCs w:val="24"/>
          <w:highlight w:val="none"/>
        </w:rPr>
      </w:pPr>
      <w:r>
        <w:rPr>
          <w:rFonts w:hint="eastAsia" w:ascii="仿宋_GB2312" w:eastAsia="仿宋_GB2312"/>
          <w:color w:val="auto"/>
          <w:sz w:val="24"/>
          <w:szCs w:val="24"/>
          <w:highlight w:val="none"/>
        </w:rPr>
        <w:t>工程质量标准：工程质量符合《建筑工程施工质量评价标准》（GB/T50375-2016）及相应配套的各专业验收规范等有关要求、现行工程质量验收标准，一次性验收合格，无重大质量事故。</w:t>
      </w:r>
    </w:p>
    <w:p w14:paraId="340CFB81">
      <w:pPr>
        <w:spacing w:line="360" w:lineRule="auto"/>
        <w:ind w:firstLine="459"/>
        <w:rPr>
          <w:rFonts w:ascii="仿宋_GB2312" w:eastAsia="仿宋_GB2312"/>
          <w:color w:val="auto"/>
          <w:sz w:val="24"/>
          <w:szCs w:val="24"/>
          <w:highlight w:val="none"/>
        </w:rPr>
      </w:pPr>
      <w:r>
        <w:rPr>
          <w:rFonts w:hint="eastAsia" w:ascii="仿宋_GB2312" w:eastAsia="仿宋_GB2312"/>
          <w:color w:val="auto"/>
          <w:sz w:val="24"/>
          <w:szCs w:val="24"/>
          <w:highlight w:val="none"/>
        </w:rPr>
        <w:t>工程安全标准：确保责任事故死亡率为零，工程无重大安全事故，工伤频率控制在云浮市建筑施工安全管理法规规定的指标要求范围内。</w:t>
      </w:r>
      <w:bookmarkEnd w:id="33"/>
    </w:p>
    <w:p w14:paraId="7FBEC1A3">
      <w:pPr>
        <w:pStyle w:val="6"/>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r>
        <w:rPr>
          <w:rFonts w:ascii="Times New Roman" w:hAnsi="Times New Roman" w:eastAsia="黑体"/>
          <w:b w:val="0"/>
          <w:color w:val="auto"/>
          <w:sz w:val="24"/>
          <w:szCs w:val="24"/>
          <w:highlight w:val="none"/>
        </w:rPr>
        <w:t xml:space="preserve"> </w:t>
      </w:r>
      <w:bookmarkStart w:id="34" w:name="_Toc32835591"/>
      <w:r>
        <w:rPr>
          <w:rFonts w:ascii="Times New Roman" w:hAnsi="Times New Roman" w:eastAsia="黑体"/>
          <w:b w:val="0"/>
          <w:color w:val="auto"/>
          <w:sz w:val="24"/>
          <w:szCs w:val="24"/>
          <w:highlight w:val="none"/>
        </w:rPr>
        <w:t>四、签约合同价与合同价格形式</w:t>
      </w:r>
      <w:bookmarkEnd w:id="34"/>
      <w:r>
        <w:rPr>
          <w:rFonts w:ascii="Times New Roman" w:hAnsi="Times New Roman" w:eastAsia="黑体"/>
          <w:b w:val="0"/>
          <w:color w:val="auto"/>
          <w:sz w:val="24"/>
          <w:szCs w:val="24"/>
          <w:highlight w:val="none"/>
        </w:rPr>
        <w:tab/>
      </w:r>
    </w:p>
    <w:p w14:paraId="57C70ED5">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w:t>
      </w:r>
      <w:r>
        <w:rPr>
          <w:rFonts w:eastAsia="仿宋_GB2312"/>
          <w:color w:val="auto"/>
          <w:kern w:val="0"/>
          <w:sz w:val="24"/>
          <w:szCs w:val="24"/>
          <w:highlight w:val="none"/>
        </w:rPr>
        <w:t>签约</w:t>
      </w:r>
      <w:r>
        <w:rPr>
          <w:rFonts w:eastAsia="仿宋_GB2312"/>
          <w:color w:val="auto"/>
          <w:sz w:val="24"/>
          <w:szCs w:val="24"/>
          <w:highlight w:val="none"/>
        </w:rPr>
        <w:t>合同价为</w:t>
      </w:r>
      <w:r>
        <w:rPr>
          <w:rFonts w:hint="eastAsia" w:eastAsia="仿宋_GB2312"/>
          <w:color w:val="auto"/>
          <w:sz w:val="24"/>
          <w:szCs w:val="24"/>
          <w:highlight w:val="none"/>
        </w:rPr>
        <w:t>（含税)</w:t>
      </w:r>
      <w:r>
        <w:rPr>
          <w:rFonts w:eastAsia="仿宋_GB2312"/>
          <w:color w:val="auto"/>
          <w:sz w:val="24"/>
          <w:szCs w:val="24"/>
          <w:highlight w:val="none"/>
        </w:rPr>
        <w:t>：</w:t>
      </w:r>
    </w:p>
    <w:p w14:paraId="1385E019">
      <w:pPr>
        <w:spacing w:line="360" w:lineRule="auto"/>
        <w:ind w:firstLine="600" w:firstLineChars="250"/>
        <w:rPr>
          <w:rFonts w:eastAsia="仿宋_GB2312"/>
          <w:color w:val="auto"/>
          <w:sz w:val="24"/>
          <w:szCs w:val="24"/>
          <w:highlight w:val="none"/>
        </w:rPr>
      </w:pPr>
      <w:r>
        <w:rPr>
          <w:rFonts w:eastAsia="仿宋_GB2312"/>
          <w:color w:val="auto"/>
          <w:sz w:val="24"/>
          <w:szCs w:val="24"/>
          <w:highlight w:val="none"/>
        </w:rPr>
        <w:t>人民币（大写）</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元)；</w:t>
      </w:r>
    </w:p>
    <w:p w14:paraId="28AE2D33">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其中：</w:t>
      </w:r>
    </w:p>
    <w:p w14:paraId="38C01771">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（1）绿色施工安全防护措施费</w:t>
      </w:r>
      <w:r>
        <w:rPr>
          <w:rFonts w:hint="eastAsia" w:eastAsia="仿宋_GB2312"/>
          <w:color w:val="auto"/>
          <w:sz w:val="24"/>
          <w:szCs w:val="24"/>
          <w:highlight w:val="none"/>
          <w:lang w:eastAsia="zh-CN"/>
        </w:rPr>
        <w:t>（不含税）</w:t>
      </w:r>
      <w:r>
        <w:rPr>
          <w:rFonts w:eastAsia="仿宋_GB2312"/>
          <w:color w:val="auto"/>
          <w:sz w:val="24"/>
          <w:szCs w:val="24"/>
          <w:highlight w:val="none"/>
        </w:rPr>
        <w:t>：</w:t>
      </w:r>
    </w:p>
    <w:p w14:paraId="22C1C96F">
      <w:pPr>
        <w:spacing w:line="360" w:lineRule="auto"/>
        <w:ind w:firstLine="1080" w:firstLineChars="450"/>
        <w:rPr>
          <w:rFonts w:eastAsia="仿宋_GB2312"/>
          <w:color w:val="auto"/>
          <w:sz w:val="24"/>
          <w:szCs w:val="24"/>
          <w:highlight w:val="none"/>
        </w:rPr>
      </w:pPr>
      <w:r>
        <w:rPr>
          <w:rFonts w:eastAsia="仿宋_GB2312"/>
          <w:color w:val="auto"/>
          <w:sz w:val="24"/>
          <w:szCs w:val="24"/>
          <w:highlight w:val="none"/>
        </w:rPr>
        <w:t>人民币（大写）</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rPr>
        <w:t>元)；</w:t>
      </w:r>
    </w:p>
    <w:p w14:paraId="1A81D35B">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（2）暂列金额</w:t>
      </w:r>
      <w:r>
        <w:rPr>
          <w:rFonts w:hint="eastAsia" w:eastAsia="仿宋_GB2312"/>
          <w:color w:val="auto"/>
          <w:sz w:val="24"/>
          <w:szCs w:val="24"/>
          <w:highlight w:val="none"/>
          <w:lang w:eastAsia="zh-CN"/>
        </w:rPr>
        <w:t>（不含税）</w:t>
      </w:r>
      <w:r>
        <w:rPr>
          <w:rFonts w:eastAsia="仿宋_GB2312"/>
          <w:color w:val="auto"/>
          <w:sz w:val="24"/>
          <w:szCs w:val="24"/>
          <w:highlight w:val="none"/>
        </w:rPr>
        <w:t>：</w:t>
      </w:r>
    </w:p>
    <w:p w14:paraId="0E465002">
      <w:pPr>
        <w:spacing w:line="360" w:lineRule="auto"/>
        <w:ind w:firstLine="1080" w:firstLineChars="450"/>
        <w:rPr>
          <w:rFonts w:eastAsia="仿宋_GB2312"/>
          <w:color w:val="auto"/>
          <w:sz w:val="24"/>
          <w:szCs w:val="24"/>
          <w:highlight w:val="none"/>
        </w:rPr>
      </w:pPr>
      <w:r>
        <w:rPr>
          <w:rFonts w:eastAsia="仿宋_GB2312"/>
          <w:color w:val="auto"/>
          <w:sz w:val="24"/>
          <w:szCs w:val="24"/>
          <w:highlight w:val="none"/>
        </w:rPr>
        <w:t>人民币（大写）</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元)。</w:t>
      </w:r>
    </w:p>
    <w:p w14:paraId="367F9B69">
      <w:pPr>
        <w:numPr>
          <w:ilvl w:val="0"/>
          <w:numId w:val="1"/>
        </w:numPr>
        <w:spacing w:line="360" w:lineRule="auto"/>
        <w:ind w:firstLine="547" w:firstLineChars="228"/>
        <w:rPr>
          <w:rFonts w:hint="eastAsia" w:eastAsia="仿宋_GB2312"/>
          <w:color w:val="auto"/>
          <w:sz w:val="24"/>
          <w:szCs w:val="24"/>
          <w:highlight w:val="none"/>
        </w:rPr>
      </w:pPr>
      <w:r>
        <w:rPr>
          <w:rFonts w:hint="eastAsia" w:eastAsia="仿宋_GB2312"/>
          <w:color w:val="auto"/>
          <w:sz w:val="24"/>
          <w:szCs w:val="24"/>
          <w:highlight w:val="none"/>
        </w:rPr>
        <w:t>暂估价</w:t>
      </w:r>
      <w:r>
        <w:rPr>
          <w:rFonts w:hint="eastAsia" w:eastAsia="仿宋_GB2312"/>
          <w:color w:val="auto"/>
          <w:sz w:val="24"/>
          <w:szCs w:val="24"/>
          <w:highlight w:val="none"/>
          <w:lang w:eastAsia="zh-CN"/>
        </w:rPr>
        <w:t>（不含税）</w:t>
      </w:r>
      <w:r>
        <w:rPr>
          <w:rFonts w:hint="eastAsia" w:eastAsia="仿宋_GB2312"/>
          <w:color w:val="auto"/>
          <w:sz w:val="24"/>
          <w:szCs w:val="24"/>
          <w:highlight w:val="none"/>
        </w:rPr>
        <w:t>：</w:t>
      </w:r>
    </w:p>
    <w:p w14:paraId="4BCA2160">
      <w:pPr>
        <w:spacing w:line="360" w:lineRule="auto"/>
        <w:ind w:firstLine="1080" w:firstLineChars="450"/>
        <w:rPr>
          <w:rFonts w:eastAsia="仿宋_GB2312"/>
          <w:color w:val="auto"/>
          <w:sz w:val="24"/>
          <w:szCs w:val="24"/>
          <w:highlight w:val="none"/>
        </w:rPr>
      </w:pPr>
      <w:r>
        <w:rPr>
          <w:rFonts w:eastAsia="仿宋_GB2312"/>
          <w:color w:val="auto"/>
          <w:sz w:val="24"/>
          <w:szCs w:val="24"/>
          <w:highlight w:val="none"/>
        </w:rPr>
        <w:t>人民币（大写）</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元)。</w:t>
      </w:r>
    </w:p>
    <w:p w14:paraId="3D1BD8B0">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本合同中不含税价格不因国家税率变化而变化, 含税价格若在合同履行期间,遇国家税率调整的,则价税合计相应调整,以开具发票的时间为准。承包人应当提供符合国家税务政策要求的一般纳税人增值税专用发票。</w:t>
      </w:r>
    </w:p>
    <w:p w14:paraId="6FACE943">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2.</w:t>
      </w:r>
      <w:r>
        <w:rPr>
          <w:rFonts w:eastAsia="仿宋_GB2312"/>
          <w:color w:val="auto"/>
          <w:sz w:val="24"/>
          <w:szCs w:val="24"/>
          <w:highlight w:val="none"/>
        </w:rPr>
        <w:t>合同价格形式：</w:t>
      </w:r>
    </w:p>
    <w:p w14:paraId="2C8A87CA">
      <w:pPr>
        <w:numPr>
          <w:ilvl w:val="0"/>
          <w:numId w:val="2"/>
        </w:num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根据招标人提供招标图纸及相关资料、招标范围和现场实际情况等</w:t>
      </w:r>
      <w:r>
        <w:rPr>
          <w:rFonts w:eastAsia="仿宋_GB2312"/>
          <w:color w:val="auto"/>
          <w:sz w:val="24"/>
          <w:szCs w:val="24"/>
          <w:highlight w:val="none"/>
        </w:rPr>
        <w:t>，由承包人</w:t>
      </w:r>
      <w:r>
        <w:rPr>
          <w:rFonts w:hint="eastAsia" w:eastAsia="仿宋_GB2312"/>
          <w:color w:val="auto"/>
          <w:sz w:val="24"/>
          <w:szCs w:val="24"/>
          <w:highlight w:val="none"/>
        </w:rPr>
        <w:t>对招标范围内的工作内容按招标文件、招标图纸和相关规范及标准要求，对承包范围内的工程以包施工、包材料、包工期、包质量、包安全生产、包文明施工、包系统调试，包验收（包括按合同要求份数制作本工程档案资料、档案验收及竣工验收备案配合）、包保修、包总承包管理配合服务；</w:t>
      </w:r>
    </w:p>
    <w:p w14:paraId="10810AFD">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本工程采用综合单价包干合同形式，项目措施费包干（图纸范围内措施项目中的模板及其他措施费按总价包干；安全文明施工费按投标限价公告函中列明的安全文明施工费包干；其余单价项目以综合单价包干；以计算基础乘以费率计算的合价项目，费率按投标费率不变，计算基础按合同约定计算）。</w:t>
      </w:r>
    </w:p>
    <w:p w14:paraId="4CF81F49">
      <w:pPr>
        <w:spacing w:line="360" w:lineRule="auto"/>
        <w:ind w:firstLine="482" w:firstLineChars="200"/>
        <w:rPr>
          <w:rFonts w:eastAsia="黑体"/>
          <w:b/>
          <w:color w:val="auto"/>
          <w:sz w:val="24"/>
          <w:szCs w:val="24"/>
          <w:highlight w:val="none"/>
        </w:rPr>
      </w:pPr>
      <w:r>
        <w:rPr>
          <w:rFonts w:eastAsia="黑体"/>
          <w:b/>
          <w:color w:val="auto"/>
          <w:sz w:val="24"/>
          <w:szCs w:val="24"/>
          <w:highlight w:val="none"/>
        </w:rPr>
        <w:t>五、项目经理</w:t>
      </w:r>
    </w:p>
    <w:p w14:paraId="49A4B876">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承包人项目经理：</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w:t>
      </w:r>
    </w:p>
    <w:p w14:paraId="2FB350EB">
      <w:pPr>
        <w:ind w:left="140" w:firstLine="420"/>
        <w:rPr>
          <w:color w:val="auto"/>
          <w:sz w:val="20"/>
          <w:szCs w:val="20"/>
          <w:highlight w:val="none"/>
        </w:rPr>
      </w:pPr>
      <w:r>
        <w:rPr>
          <w:rFonts w:ascii="仿宋_GB2312" w:eastAsia="仿宋_GB2312"/>
          <w:color w:val="auto"/>
          <w:sz w:val="24"/>
          <w:szCs w:val="24"/>
          <w:highlight w:val="none"/>
        </w:rPr>
        <w:t>身份证号：</w:t>
      </w:r>
      <w:r>
        <w:rPr>
          <w:rFonts w:hint="eastAsia" w:ascii="仿宋_GB2312" w:eastAsia="仿宋_GB2312"/>
          <w:color w:val="auto"/>
          <w:sz w:val="24"/>
          <w:szCs w:val="24"/>
          <w:highlight w:val="none"/>
          <w:u w:val="single"/>
        </w:rPr>
        <w:t xml:space="preserve">   </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w:t>
      </w:r>
    </w:p>
    <w:p w14:paraId="1BAFDF9F">
      <w:pPr>
        <w:spacing w:line="360" w:lineRule="auto"/>
        <w:ind w:firstLine="480" w:firstLineChars="200"/>
        <w:rPr>
          <w:rFonts w:hint="eastAsia" w:eastAsia="仿宋_GB2312"/>
          <w:color w:val="auto"/>
          <w:sz w:val="24"/>
          <w:szCs w:val="24"/>
          <w:highlight w:val="none"/>
        </w:rPr>
      </w:pPr>
    </w:p>
    <w:p w14:paraId="1F7DD6C1">
      <w:pPr>
        <w:pStyle w:val="6"/>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r>
        <w:rPr>
          <w:rFonts w:ascii="Times New Roman" w:hAnsi="Times New Roman" w:eastAsia="黑体"/>
          <w:b w:val="0"/>
          <w:color w:val="auto"/>
          <w:sz w:val="24"/>
          <w:szCs w:val="24"/>
          <w:highlight w:val="none"/>
        </w:rPr>
        <w:t xml:space="preserve"> </w:t>
      </w:r>
      <w:bookmarkStart w:id="35" w:name="_Toc32835592"/>
      <w:r>
        <w:rPr>
          <w:rFonts w:ascii="Times New Roman" w:hAnsi="Times New Roman" w:eastAsia="黑体"/>
          <w:b w:val="0"/>
          <w:color w:val="auto"/>
          <w:sz w:val="24"/>
          <w:szCs w:val="24"/>
          <w:highlight w:val="none"/>
        </w:rPr>
        <w:t>六、合同文件构成</w:t>
      </w:r>
      <w:bookmarkEnd w:id="35"/>
    </w:p>
    <w:p w14:paraId="5798F403">
      <w:pPr>
        <w:spacing w:line="360" w:lineRule="auto"/>
        <w:ind w:firstLine="480" w:firstLineChars="200"/>
        <w:rPr>
          <w:rFonts w:hint="eastAsia" w:eastAsia="仿宋_GB2312"/>
          <w:bCs/>
          <w:color w:val="auto"/>
          <w:sz w:val="24"/>
          <w:szCs w:val="24"/>
          <w:highlight w:val="none"/>
        </w:rPr>
      </w:pPr>
      <w:r>
        <w:rPr>
          <w:rFonts w:eastAsia="仿宋_GB2312"/>
          <w:bCs/>
          <w:color w:val="auto"/>
          <w:sz w:val="24"/>
          <w:szCs w:val="24"/>
          <w:highlight w:val="none"/>
        </w:rPr>
        <w:t>本协议书与下列文件一起构成合同文件</w:t>
      </w:r>
      <w:r>
        <w:rPr>
          <w:rFonts w:hint="eastAsia" w:eastAsia="仿宋_GB2312"/>
          <w:bCs/>
          <w:color w:val="auto"/>
          <w:sz w:val="24"/>
          <w:szCs w:val="24"/>
          <w:highlight w:val="none"/>
        </w:rPr>
        <w:t>，彼此应当能相互解释，互为说明和补充。当出现相互矛盾时，组成本合同文件的优先解释顺序如下：</w:t>
      </w:r>
    </w:p>
    <w:p w14:paraId="79CACA78">
      <w:pPr>
        <w:spacing w:line="360" w:lineRule="auto"/>
        <w:ind w:firstLine="480" w:firstLineChars="200"/>
        <w:rPr>
          <w:rFonts w:hint="eastAsia" w:eastAsia="仿宋_GB2312"/>
          <w:bCs/>
          <w:color w:val="auto"/>
          <w:sz w:val="24"/>
          <w:szCs w:val="24"/>
          <w:highlight w:val="none"/>
        </w:rPr>
      </w:pPr>
      <w:r>
        <w:rPr>
          <w:rFonts w:hint="eastAsia" w:eastAsia="仿宋_GB2312"/>
          <w:bCs/>
          <w:color w:val="auto"/>
          <w:sz w:val="24"/>
          <w:szCs w:val="24"/>
          <w:highlight w:val="none"/>
        </w:rPr>
        <w:t>（1）本合同的相关补充协议；</w:t>
      </w:r>
    </w:p>
    <w:p w14:paraId="245766CB">
      <w:pPr>
        <w:spacing w:line="360" w:lineRule="auto"/>
        <w:ind w:firstLine="480" w:firstLineChars="200"/>
        <w:rPr>
          <w:rFonts w:hint="eastAsia" w:eastAsia="仿宋_GB2312"/>
          <w:bCs/>
          <w:color w:val="auto"/>
          <w:sz w:val="24"/>
          <w:szCs w:val="24"/>
          <w:highlight w:val="none"/>
        </w:rPr>
      </w:pPr>
      <w:r>
        <w:rPr>
          <w:rFonts w:hint="eastAsia" w:eastAsia="仿宋_GB2312"/>
          <w:bCs/>
          <w:color w:val="auto"/>
          <w:sz w:val="24"/>
          <w:szCs w:val="24"/>
          <w:highlight w:val="none"/>
        </w:rPr>
        <w:t>（2）合同协议书；</w:t>
      </w:r>
    </w:p>
    <w:p w14:paraId="3FEB3091">
      <w:pPr>
        <w:spacing w:line="360" w:lineRule="auto"/>
        <w:ind w:firstLine="480" w:firstLineChars="200"/>
        <w:rPr>
          <w:rFonts w:hint="eastAsia" w:eastAsia="仿宋_GB2312"/>
          <w:bCs/>
          <w:color w:val="auto"/>
          <w:sz w:val="24"/>
          <w:szCs w:val="24"/>
          <w:highlight w:val="none"/>
        </w:rPr>
      </w:pPr>
      <w:r>
        <w:rPr>
          <w:rFonts w:hint="eastAsia" w:eastAsia="仿宋_GB2312"/>
          <w:bCs/>
          <w:color w:val="auto"/>
          <w:sz w:val="24"/>
          <w:szCs w:val="24"/>
          <w:highlight w:val="none"/>
        </w:rPr>
        <w:t>（3）合同专用条款及其附件；</w:t>
      </w:r>
    </w:p>
    <w:p w14:paraId="6F3DA338">
      <w:pPr>
        <w:spacing w:line="360" w:lineRule="auto"/>
        <w:ind w:firstLine="480" w:firstLineChars="200"/>
        <w:rPr>
          <w:rFonts w:hint="eastAsia" w:eastAsia="仿宋_GB2312"/>
          <w:bCs/>
          <w:color w:val="auto"/>
          <w:sz w:val="24"/>
          <w:szCs w:val="24"/>
          <w:highlight w:val="none"/>
        </w:rPr>
      </w:pPr>
      <w:r>
        <w:rPr>
          <w:rFonts w:hint="eastAsia" w:eastAsia="仿宋_GB2312"/>
          <w:bCs/>
          <w:color w:val="auto"/>
          <w:sz w:val="24"/>
          <w:szCs w:val="24"/>
          <w:highlight w:val="none"/>
        </w:rPr>
        <w:t>（4）合同通用条款；</w:t>
      </w:r>
    </w:p>
    <w:p w14:paraId="67901DFA">
      <w:pPr>
        <w:spacing w:line="360" w:lineRule="auto"/>
        <w:ind w:firstLine="480" w:firstLineChars="200"/>
        <w:rPr>
          <w:rFonts w:hint="eastAsia" w:eastAsia="仿宋_GB2312"/>
          <w:bCs/>
          <w:color w:val="auto"/>
          <w:sz w:val="24"/>
          <w:szCs w:val="24"/>
          <w:highlight w:val="none"/>
        </w:rPr>
      </w:pPr>
      <w:r>
        <w:rPr>
          <w:rFonts w:hint="eastAsia" w:eastAsia="仿宋_GB2312"/>
          <w:bCs/>
          <w:color w:val="auto"/>
          <w:sz w:val="24"/>
          <w:szCs w:val="24"/>
          <w:highlight w:val="none"/>
        </w:rPr>
        <w:t>（5）中标通知书；</w:t>
      </w:r>
    </w:p>
    <w:p w14:paraId="7D9F694C">
      <w:pPr>
        <w:spacing w:line="360" w:lineRule="auto"/>
        <w:ind w:firstLine="480" w:firstLineChars="200"/>
        <w:rPr>
          <w:rFonts w:hint="eastAsia" w:eastAsia="仿宋_GB2312"/>
          <w:bCs/>
          <w:color w:val="auto"/>
          <w:sz w:val="24"/>
          <w:szCs w:val="24"/>
          <w:highlight w:val="none"/>
        </w:rPr>
      </w:pPr>
      <w:r>
        <w:rPr>
          <w:rFonts w:hint="eastAsia" w:eastAsia="仿宋_GB2312"/>
          <w:bCs/>
          <w:color w:val="auto"/>
          <w:sz w:val="24"/>
          <w:szCs w:val="24"/>
          <w:highlight w:val="none"/>
        </w:rPr>
        <w:t>（6）针对本工程建设管理的各项制度、规定和管理办法(包括发包人现有及后续制定的管理办法、细则等)；</w:t>
      </w:r>
    </w:p>
    <w:p w14:paraId="07383236">
      <w:pPr>
        <w:spacing w:line="360" w:lineRule="auto"/>
        <w:ind w:firstLine="480" w:firstLineChars="200"/>
        <w:rPr>
          <w:rFonts w:hint="eastAsia" w:eastAsia="仿宋_GB2312"/>
          <w:bCs/>
          <w:color w:val="auto"/>
          <w:sz w:val="24"/>
          <w:szCs w:val="24"/>
          <w:highlight w:val="none"/>
        </w:rPr>
      </w:pPr>
      <w:r>
        <w:rPr>
          <w:rFonts w:hint="eastAsia" w:eastAsia="仿宋_GB2312"/>
          <w:bCs/>
          <w:color w:val="auto"/>
          <w:sz w:val="24"/>
          <w:szCs w:val="24"/>
          <w:highlight w:val="none"/>
        </w:rPr>
        <w:t>（7）图纸及技术要求（施工图纸及技术要求的标准高于招标文件或工程量清单要求的，按照施工图纸及技术要求）；</w:t>
      </w:r>
    </w:p>
    <w:p w14:paraId="7C56E5D3">
      <w:pPr>
        <w:spacing w:line="360" w:lineRule="auto"/>
        <w:ind w:firstLine="480" w:firstLineChars="200"/>
        <w:rPr>
          <w:rFonts w:hint="eastAsia" w:eastAsia="仿宋_GB2312"/>
          <w:bCs/>
          <w:color w:val="auto"/>
          <w:sz w:val="24"/>
          <w:szCs w:val="24"/>
          <w:highlight w:val="none"/>
        </w:rPr>
      </w:pPr>
      <w:r>
        <w:rPr>
          <w:rFonts w:hint="eastAsia" w:eastAsia="仿宋_GB2312"/>
          <w:bCs/>
          <w:color w:val="auto"/>
          <w:sz w:val="24"/>
          <w:szCs w:val="24"/>
          <w:highlight w:val="none"/>
        </w:rPr>
        <w:t>（8）合同工程量清单</w:t>
      </w:r>
      <w:r>
        <w:rPr>
          <w:rFonts w:eastAsia="仿宋_GB2312"/>
          <w:bCs/>
          <w:color w:val="auto"/>
          <w:sz w:val="24"/>
          <w:szCs w:val="24"/>
          <w:highlight w:val="none"/>
        </w:rPr>
        <w:t>；</w:t>
      </w:r>
    </w:p>
    <w:p w14:paraId="00275D66">
      <w:pPr>
        <w:spacing w:line="360" w:lineRule="auto"/>
        <w:ind w:firstLine="480" w:firstLineChars="200"/>
        <w:rPr>
          <w:rFonts w:hint="eastAsia" w:eastAsia="仿宋_GB2312"/>
          <w:bCs/>
          <w:color w:val="auto"/>
          <w:sz w:val="24"/>
          <w:szCs w:val="24"/>
          <w:highlight w:val="none"/>
        </w:rPr>
      </w:pPr>
      <w:r>
        <w:rPr>
          <w:rFonts w:hint="eastAsia" w:eastAsia="仿宋_GB2312"/>
          <w:bCs/>
          <w:color w:val="auto"/>
          <w:sz w:val="24"/>
          <w:szCs w:val="24"/>
          <w:highlight w:val="none"/>
        </w:rPr>
        <w:t>（9）招标文件（含招标过程中发放的招标补充文件、招标澄清文件及答疑文件和用户需求书等）；</w:t>
      </w:r>
    </w:p>
    <w:p w14:paraId="29B63493">
      <w:pPr>
        <w:spacing w:line="360" w:lineRule="auto"/>
        <w:ind w:firstLine="480" w:firstLineChars="200"/>
        <w:rPr>
          <w:rFonts w:hint="eastAsia" w:eastAsia="仿宋_GB2312"/>
          <w:bCs/>
          <w:color w:val="auto"/>
          <w:sz w:val="24"/>
          <w:szCs w:val="24"/>
          <w:highlight w:val="none"/>
        </w:rPr>
      </w:pPr>
      <w:r>
        <w:rPr>
          <w:rFonts w:hint="eastAsia" w:eastAsia="仿宋_GB2312"/>
          <w:bCs/>
          <w:color w:val="auto"/>
          <w:sz w:val="24"/>
          <w:szCs w:val="24"/>
          <w:highlight w:val="none"/>
        </w:rPr>
        <w:t>（10）承包人中标的投标文件及其附件（若投标文件承诺标准或条件高于招标文件的，按照投标文件）；</w:t>
      </w:r>
    </w:p>
    <w:p w14:paraId="46C14F97">
      <w:pPr>
        <w:spacing w:line="360" w:lineRule="auto"/>
        <w:ind w:firstLine="480" w:firstLineChars="200"/>
        <w:rPr>
          <w:rFonts w:hint="eastAsia" w:eastAsia="仿宋_GB2312"/>
          <w:bCs/>
          <w:color w:val="auto"/>
          <w:sz w:val="24"/>
          <w:szCs w:val="24"/>
          <w:highlight w:val="none"/>
        </w:rPr>
      </w:pPr>
      <w:r>
        <w:rPr>
          <w:rFonts w:hint="eastAsia" w:eastAsia="仿宋_GB2312"/>
          <w:bCs/>
          <w:color w:val="auto"/>
          <w:sz w:val="24"/>
          <w:szCs w:val="24"/>
          <w:highlight w:val="none"/>
        </w:rPr>
        <w:t>（11）组成合同的其他合同文件。</w:t>
      </w:r>
    </w:p>
    <w:p w14:paraId="731CDAA1">
      <w:pPr>
        <w:spacing w:line="360" w:lineRule="auto"/>
        <w:ind w:firstLine="480" w:firstLineChars="200"/>
        <w:rPr>
          <w:rFonts w:hint="eastAsia" w:eastAsia="仿宋_GB2312"/>
          <w:bCs/>
          <w:color w:val="auto"/>
          <w:sz w:val="24"/>
          <w:szCs w:val="24"/>
          <w:highlight w:val="none"/>
        </w:rPr>
      </w:pPr>
      <w:r>
        <w:rPr>
          <w:rFonts w:eastAsia="仿宋_GB2312"/>
          <w:bCs/>
          <w:color w:val="auto"/>
          <w:sz w:val="24"/>
          <w:szCs w:val="24"/>
          <w:highlight w:val="none"/>
        </w:rPr>
        <w:t>如同一解释顺序的文件</w:t>
      </w:r>
      <w:r>
        <w:rPr>
          <w:rFonts w:hint="eastAsia" w:eastAsia="仿宋_GB2312"/>
          <w:bCs/>
          <w:color w:val="auto"/>
          <w:sz w:val="24"/>
          <w:szCs w:val="24"/>
          <w:highlight w:val="none"/>
        </w:rPr>
        <w:t>约定</w:t>
      </w:r>
      <w:r>
        <w:rPr>
          <w:rFonts w:eastAsia="仿宋_GB2312"/>
          <w:bCs/>
          <w:color w:val="auto"/>
          <w:sz w:val="24"/>
          <w:szCs w:val="24"/>
          <w:highlight w:val="none"/>
        </w:rPr>
        <w:t>有</w:t>
      </w:r>
      <w:r>
        <w:rPr>
          <w:rFonts w:hint="eastAsia" w:eastAsia="仿宋_GB2312"/>
          <w:bCs/>
          <w:color w:val="auto"/>
          <w:sz w:val="24"/>
          <w:szCs w:val="24"/>
          <w:highlight w:val="none"/>
        </w:rPr>
        <w:t>不一致</w:t>
      </w:r>
      <w:r>
        <w:rPr>
          <w:rFonts w:eastAsia="仿宋_GB2312"/>
          <w:bCs/>
          <w:color w:val="auto"/>
          <w:sz w:val="24"/>
          <w:szCs w:val="24"/>
          <w:highlight w:val="none"/>
        </w:rPr>
        <w:t>的，</w:t>
      </w:r>
      <w:r>
        <w:rPr>
          <w:rFonts w:hint="eastAsia" w:eastAsia="仿宋_GB2312"/>
          <w:bCs/>
          <w:color w:val="auto"/>
          <w:sz w:val="24"/>
          <w:szCs w:val="24"/>
          <w:highlight w:val="none"/>
        </w:rPr>
        <w:t>则</w:t>
      </w:r>
      <w:r>
        <w:rPr>
          <w:rFonts w:eastAsia="仿宋_GB2312"/>
          <w:bCs/>
          <w:color w:val="auto"/>
          <w:sz w:val="24"/>
          <w:szCs w:val="24"/>
          <w:highlight w:val="none"/>
        </w:rPr>
        <w:t>以要求较高的为准</w:t>
      </w:r>
      <w:r>
        <w:rPr>
          <w:rFonts w:hint="eastAsia" w:eastAsia="仿宋_GB2312"/>
          <w:bCs/>
          <w:color w:val="auto"/>
          <w:sz w:val="24"/>
          <w:szCs w:val="24"/>
          <w:highlight w:val="none"/>
        </w:rPr>
        <w:t>。在合同订立及履行过程中形成的与合同有关的文件均构成合同文件组成部分。</w:t>
      </w:r>
    </w:p>
    <w:p w14:paraId="348E5FBD">
      <w:pPr>
        <w:spacing w:line="360" w:lineRule="auto"/>
        <w:ind w:firstLine="480" w:firstLineChars="200"/>
        <w:rPr>
          <w:rFonts w:hint="eastAsia" w:eastAsia="仿宋_GB2312"/>
          <w:bCs/>
          <w:color w:val="auto"/>
          <w:sz w:val="24"/>
          <w:szCs w:val="24"/>
          <w:highlight w:val="none"/>
        </w:rPr>
      </w:pPr>
      <w:r>
        <w:rPr>
          <w:rFonts w:hint="eastAsia" w:eastAsia="仿宋_GB2312"/>
          <w:bCs/>
          <w:color w:val="auto"/>
          <w:sz w:val="24"/>
          <w:szCs w:val="24"/>
          <w:highlight w:val="none"/>
        </w:rPr>
        <w:t>上述各项合同文件包括合同当事人就该项合同文件所作出的补充和修改，属于同一类内容的文件，应以最新签署的为准。</w:t>
      </w:r>
    </w:p>
    <w:p w14:paraId="2D6E4A33">
      <w:pPr>
        <w:pStyle w:val="6"/>
        <w:spacing w:before="120" w:after="120" w:line="360" w:lineRule="auto"/>
        <w:rPr>
          <w:rFonts w:ascii="Times New Roman" w:hAnsi="Times New Roman" w:eastAsia="黑体"/>
          <w:b w:val="0"/>
          <w:bCs w:val="0"/>
          <w:color w:val="auto"/>
          <w:sz w:val="24"/>
          <w:szCs w:val="24"/>
          <w:highlight w:val="none"/>
        </w:rPr>
      </w:pPr>
      <w:r>
        <w:rPr>
          <w:rFonts w:ascii="Times New Roman" w:hAnsi="Times New Roman" w:eastAsia="黑体"/>
          <w:b w:val="0"/>
          <w:bCs w:val="0"/>
          <w:color w:val="auto"/>
          <w:sz w:val="24"/>
          <w:szCs w:val="24"/>
          <w:highlight w:val="none"/>
        </w:rPr>
        <w:t xml:space="preserve">   </w:t>
      </w:r>
      <w:r>
        <w:rPr>
          <w:rFonts w:ascii="Times New Roman" w:hAnsi="Times New Roman" w:eastAsia="黑体"/>
          <w:b w:val="0"/>
          <w:color w:val="auto"/>
          <w:sz w:val="24"/>
          <w:szCs w:val="24"/>
          <w:highlight w:val="none"/>
        </w:rPr>
        <w:t xml:space="preserve"> </w:t>
      </w:r>
      <w:bookmarkStart w:id="36" w:name="_Toc32835593"/>
      <w:r>
        <w:rPr>
          <w:rFonts w:ascii="Times New Roman" w:hAnsi="Times New Roman" w:eastAsia="黑体"/>
          <w:b w:val="0"/>
          <w:color w:val="auto"/>
          <w:sz w:val="24"/>
          <w:szCs w:val="24"/>
          <w:highlight w:val="none"/>
        </w:rPr>
        <w:t>七、承诺</w:t>
      </w:r>
      <w:bookmarkEnd w:id="36"/>
    </w:p>
    <w:p w14:paraId="1CE71F40">
      <w:pPr>
        <w:spacing w:line="360" w:lineRule="auto"/>
        <w:ind w:firstLine="480" w:firstLineChars="200"/>
        <w:rPr>
          <w:rFonts w:eastAsia="仿宋_GB2312"/>
          <w:bCs/>
          <w:color w:val="auto"/>
          <w:sz w:val="24"/>
          <w:szCs w:val="24"/>
          <w:highlight w:val="none"/>
        </w:rPr>
      </w:pPr>
      <w:r>
        <w:rPr>
          <w:rFonts w:eastAsia="仿宋_GB2312"/>
          <w:bCs/>
          <w:color w:val="auto"/>
          <w:sz w:val="24"/>
          <w:szCs w:val="24"/>
          <w:highlight w:val="none"/>
        </w:rPr>
        <w:t>1.发包人承诺按照合同约定的期限和方式支付合同价款</w:t>
      </w:r>
      <w:r>
        <w:rPr>
          <w:rFonts w:hint="eastAsia" w:eastAsia="仿宋_GB2312"/>
          <w:bCs/>
          <w:color w:val="auto"/>
          <w:sz w:val="24"/>
          <w:szCs w:val="24"/>
          <w:highlight w:val="none"/>
        </w:rPr>
        <w:t>，履行本合同所约定的全部义务</w:t>
      </w:r>
      <w:r>
        <w:rPr>
          <w:rFonts w:eastAsia="仿宋_GB2312"/>
          <w:bCs/>
          <w:color w:val="auto"/>
          <w:sz w:val="24"/>
          <w:szCs w:val="24"/>
          <w:highlight w:val="none"/>
        </w:rPr>
        <w:t>。</w:t>
      </w:r>
    </w:p>
    <w:p w14:paraId="0378141B">
      <w:pPr>
        <w:spacing w:line="360" w:lineRule="auto"/>
        <w:ind w:firstLine="480" w:firstLineChars="200"/>
        <w:rPr>
          <w:rFonts w:eastAsia="仿宋_GB2312"/>
          <w:bCs/>
          <w:color w:val="auto"/>
          <w:sz w:val="24"/>
          <w:szCs w:val="24"/>
          <w:highlight w:val="none"/>
        </w:rPr>
      </w:pPr>
      <w:r>
        <w:rPr>
          <w:rFonts w:eastAsia="仿宋_GB2312"/>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4470CF2A">
      <w:pPr>
        <w:spacing w:line="360" w:lineRule="auto"/>
        <w:ind w:firstLine="480" w:firstLineChars="200"/>
        <w:rPr>
          <w:rFonts w:hint="eastAsia" w:eastAsia="仿宋_GB2312"/>
          <w:bCs/>
          <w:color w:val="auto"/>
          <w:sz w:val="24"/>
          <w:szCs w:val="24"/>
          <w:highlight w:val="none"/>
        </w:rPr>
      </w:pPr>
      <w:r>
        <w:rPr>
          <w:rFonts w:eastAsia="仿宋_GB2312"/>
          <w:bCs/>
          <w:color w:val="auto"/>
          <w:sz w:val="24"/>
          <w:szCs w:val="24"/>
          <w:highlight w:val="none"/>
        </w:rPr>
        <w:t>3.</w:t>
      </w:r>
      <w:r>
        <w:rPr>
          <w:rFonts w:hint="eastAsia" w:eastAsia="仿宋_GB2312"/>
          <w:bCs/>
          <w:color w:val="auto"/>
          <w:sz w:val="24"/>
          <w:szCs w:val="24"/>
          <w:highlight w:val="none"/>
        </w:rPr>
        <w:t>承包人承诺，将完全遵守发包人现有以及在本工程实施过程中颁发的针对本项目工程建设管理的各项制度、规定和管理办法。</w:t>
      </w:r>
    </w:p>
    <w:p w14:paraId="10B08C48">
      <w:pPr>
        <w:spacing w:line="360" w:lineRule="auto"/>
        <w:rPr>
          <w:rFonts w:eastAsia="黑体"/>
          <w:bCs/>
          <w:color w:val="auto"/>
          <w:sz w:val="24"/>
          <w:szCs w:val="24"/>
          <w:highlight w:val="none"/>
        </w:rPr>
      </w:pPr>
      <w:r>
        <w:rPr>
          <w:rFonts w:hint="eastAsia" w:eastAsia="黑体"/>
          <w:b/>
          <w:color w:val="auto"/>
          <w:sz w:val="24"/>
          <w:szCs w:val="24"/>
          <w:highlight w:val="none"/>
        </w:rPr>
        <w:t xml:space="preserve">    </w:t>
      </w:r>
      <w:r>
        <w:rPr>
          <w:rFonts w:eastAsia="黑体"/>
          <w:b/>
          <w:color w:val="auto"/>
          <w:sz w:val="24"/>
          <w:szCs w:val="24"/>
          <w:highlight w:val="none"/>
        </w:rPr>
        <w:t>八、词语含义</w:t>
      </w:r>
    </w:p>
    <w:p w14:paraId="762C1908">
      <w:pPr>
        <w:spacing w:line="360" w:lineRule="auto"/>
        <w:ind w:firstLine="480" w:firstLineChars="200"/>
        <w:rPr>
          <w:rFonts w:eastAsia="仿宋_GB2312"/>
          <w:bCs/>
          <w:color w:val="auto"/>
          <w:sz w:val="24"/>
          <w:szCs w:val="24"/>
          <w:highlight w:val="none"/>
        </w:rPr>
      </w:pPr>
      <w:r>
        <w:rPr>
          <w:rFonts w:eastAsia="仿宋_GB2312"/>
          <w:bCs/>
          <w:color w:val="auto"/>
          <w:sz w:val="24"/>
          <w:szCs w:val="24"/>
          <w:highlight w:val="none"/>
        </w:rPr>
        <w:t>本协议书中词语含义与第二部分通用合同条款中赋予的含义相同。</w:t>
      </w:r>
    </w:p>
    <w:p w14:paraId="2C750BE5">
      <w:pPr>
        <w:pStyle w:val="6"/>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r>
        <w:rPr>
          <w:rFonts w:ascii="Times New Roman" w:hAnsi="Times New Roman" w:eastAsia="黑体"/>
          <w:b w:val="0"/>
          <w:color w:val="auto"/>
          <w:sz w:val="24"/>
          <w:szCs w:val="24"/>
          <w:highlight w:val="none"/>
        </w:rPr>
        <w:t xml:space="preserve">  </w:t>
      </w:r>
      <w:bookmarkStart w:id="37" w:name="_Toc32835594"/>
      <w:r>
        <w:rPr>
          <w:rFonts w:ascii="Times New Roman" w:hAnsi="Times New Roman" w:eastAsia="黑体"/>
          <w:b w:val="0"/>
          <w:color w:val="auto"/>
          <w:sz w:val="24"/>
          <w:szCs w:val="24"/>
          <w:highlight w:val="none"/>
        </w:rPr>
        <w:t>九、签订时间</w:t>
      </w:r>
      <w:bookmarkEnd w:id="37"/>
    </w:p>
    <w:p w14:paraId="5576D461">
      <w:pPr>
        <w:spacing w:line="360" w:lineRule="auto"/>
        <w:ind w:firstLine="480" w:firstLineChars="200"/>
        <w:rPr>
          <w:rFonts w:eastAsia="仿宋_GB2312"/>
          <w:bCs/>
          <w:color w:val="auto"/>
          <w:sz w:val="24"/>
          <w:szCs w:val="24"/>
          <w:highlight w:val="none"/>
        </w:rPr>
      </w:pPr>
      <w:r>
        <w:rPr>
          <w:rFonts w:eastAsia="仿宋_GB2312"/>
          <w:bCs/>
          <w:color w:val="auto"/>
          <w:sz w:val="24"/>
          <w:szCs w:val="24"/>
          <w:highlight w:val="none"/>
        </w:rPr>
        <w:t>本合同于</w:t>
      </w:r>
      <w:r>
        <w:rPr>
          <w:rFonts w:eastAsia="仿宋_GB2312"/>
          <w:bCs/>
          <w:color w:val="auto"/>
          <w:sz w:val="24"/>
          <w:szCs w:val="24"/>
          <w:highlight w:val="none"/>
          <w:u w:val="single"/>
        </w:rPr>
        <w:t xml:space="preserve">         </w:t>
      </w:r>
      <w:r>
        <w:rPr>
          <w:rFonts w:eastAsia="仿宋_GB2312"/>
          <w:bCs/>
          <w:color w:val="auto"/>
          <w:sz w:val="24"/>
          <w:szCs w:val="24"/>
          <w:highlight w:val="none"/>
        </w:rPr>
        <w:t>年</w:t>
      </w:r>
      <w:r>
        <w:rPr>
          <w:rFonts w:eastAsia="仿宋_GB2312"/>
          <w:bCs/>
          <w:color w:val="auto"/>
          <w:sz w:val="24"/>
          <w:szCs w:val="24"/>
          <w:highlight w:val="none"/>
          <w:u w:val="single"/>
        </w:rPr>
        <w:t xml:space="preserve">    </w:t>
      </w:r>
      <w:r>
        <w:rPr>
          <w:rFonts w:eastAsia="仿宋_GB2312"/>
          <w:bCs/>
          <w:color w:val="auto"/>
          <w:sz w:val="24"/>
          <w:szCs w:val="24"/>
          <w:highlight w:val="none"/>
        </w:rPr>
        <w:t>月</w:t>
      </w:r>
      <w:r>
        <w:rPr>
          <w:rFonts w:eastAsia="仿宋_GB2312"/>
          <w:bCs/>
          <w:color w:val="auto"/>
          <w:sz w:val="24"/>
          <w:szCs w:val="24"/>
          <w:highlight w:val="none"/>
          <w:u w:val="single"/>
        </w:rPr>
        <w:t xml:space="preserve">    </w:t>
      </w:r>
      <w:r>
        <w:rPr>
          <w:rFonts w:eastAsia="仿宋_GB2312"/>
          <w:bCs/>
          <w:color w:val="auto"/>
          <w:sz w:val="24"/>
          <w:szCs w:val="24"/>
          <w:highlight w:val="none"/>
        </w:rPr>
        <w:t>日签订。</w:t>
      </w:r>
    </w:p>
    <w:p w14:paraId="1454D260">
      <w:pPr>
        <w:pStyle w:val="6"/>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bookmarkStart w:id="38" w:name="_Toc32835595"/>
      <w:r>
        <w:rPr>
          <w:rFonts w:ascii="Times New Roman" w:hAnsi="Times New Roman" w:eastAsia="黑体"/>
          <w:b w:val="0"/>
          <w:color w:val="auto"/>
          <w:sz w:val="24"/>
          <w:szCs w:val="24"/>
          <w:highlight w:val="none"/>
        </w:rPr>
        <w:t>十、签订地点</w:t>
      </w:r>
      <w:bookmarkEnd w:id="38"/>
    </w:p>
    <w:p w14:paraId="374F1CE2">
      <w:pPr>
        <w:spacing w:line="360" w:lineRule="auto"/>
        <w:ind w:firstLine="480" w:firstLineChars="200"/>
        <w:rPr>
          <w:rFonts w:eastAsia="仿宋_GB2312"/>
          <w:bCs/>
          <w:color w:val="auto"/>
          <w:sz w:val="24"/>
          <w:szCs w:val="24"/>
          <w:highlight w:val="none"/>
        </w:rPr>
      </w:pPr>
      <w:r>
        <w:rPr>
          <w:rFonts w:eastAsia="仿宋_GB2312"/>
          <w:bCs/>
          <w:color w:val="auto"/>
          <w:sz w:val="24"/>
          <w:szCs w:val="24"/>
          <w:highlight w:val="none"/>
        </w:rPr>
        <w:t>本合同在</w:t>
      </w:r>
      <w:r>
        <w:rPr>
          <w:rFonts w:eastAsia="仿宋_GB2312"/>
          <w:bCs/>
          <w:color w:val="auto"/>
          <w:sz w:val="24"/>
          <w:szCs w:val="24"/>
          <w:highlight w:val="none"/>
          <w:u w:val="single"/>
        </w:rPr>
        <w:t xml:space="preserve"> </w:t>
      </w:r>
      <w:r>
        <w:rPr>
          <w:rFonts w:hint="eastAsia" w:eastAsia="仿宋_GB2312"/>
          <w:bCs/>
          <w:color w:val="auto"/>
          <w:sz w:val="24"/>
          <w:szCs w:val="24"/>
          <w:highlight w:val="none"/>
          <w:u w:val="single"/>
        </w:rPr>
        <w:t xml:space="preserve">云浮市新兴县 </w:t>
      </w:r>
      <w:r>
        <w:rPr>
          <w:rFonts w:eastAsia="仿宋_GB2312"/>
          <w:bCs/>
          <w:color w:val="auto"/>
          <w:sz w:val="24"/>
          <w:szCs w:val="24"/>
          <w:highlight w:val="none"/>
        </w:rPr>
        <w:t>签订。</w:t>
      </w:r>
    </w:p>
    <w:p w14:paraId="1E2936FF">
      <w:pPr>
        <w:pStyle w:val="6"/>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bookmarkStart w:id="39" w:name="_Toc32835596"/>
      <w:r>
        <w:rPr>
          <w:rFonts w:ascii="Times New Roman" w:hAnsi="Times New Roman" w:eastAsia="黑体"/>
          <w:b w:val="0"/>
          <w:color w:val="auto"/>
          <w:sz w:val="24"/>
          <w:szCs w:val="24"/>
          <w:highlight w:val="none"/>
        </w:rPr>
        <w:t>十一、补充协议</w:t>
      </w:r>
      <w:bookmarkEnd w:id="39"/>
    </w:p>
    <w:p w14:paraId="6A7AA05B">
      <w:pPr>
        <w:spacing w:line="360" w:lineRule="auto"/>
        <w:ind w:firstLine="480" w:firstLineChars="200"/>
        <w:rPr>
          <w:rFonts w:eastAsia="仿宋_GB2312"/>
          <w:b/>
          <w:bCs/>
          <w:color w:val="auto"/>
          <w:sz w:val="24"/>
          <w:szCs w:val="24"/>
          <w:highlight w:val="none"/>
        </w:rPr>
      </w:pPr>
      <w:r>
        <w:rPr>
          <w:rFonts w:eastAsia="仿宋_GB2312"/>
          <w:bCs/>
          <w:color w:val="auto"/>
          <w:sz w:val="24"/>
          <w:szCs w:val="24"/>
          <w:highlight w:val="none"/>
        </w:rPr>
        <w:t>合同未尽事宜，合同当事人另行签订补充协议</w:t>
      </w:r>
      <w:r>
        <w:rPr>
          <w:rFonts w:hint="eastAsia" w:eastAsia="仿宋_GB2312"/>
          <w:bCs/>
          <w:color w:val="auto"/>
          <w:sz w:val="24"/>
          <w:szCs w:val="24"/>
          <w:highlight w:val="none"/>
        </w:rPr>
        <w:t>，</w:t>
      </w:r>
      <w:r>
        <w:rPr>
          <w:rFonts w:eastAsia="仿宋_GB2312"/>
          <w:bCs/>
          <w:color w:val="auto"/>
          <w:sz w:val="24"/>
          <w:szCs w:val="24"/>
          <w:highlight w:val="none"/>
        </w:rPr>
        <w:t>补充协议是合同的组成部分。</w:t>
      </w:r>
    </w:p>
    <w:p w14:paraId="7DE79EF0">
      <w:pPr>
        <w:pStyle w:val="6"/>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bookmarkStart w:id="40" w:name="_Toc32835597"/>
      <w:r>
        <w:rPr>
          <w:rFonts w:ascii="Times New Roman" w:hAnsi="Times New Roman" w:eastAsia="黑体"/>
          <w:b w:val="0"/>
          <w:color w:val="auto"/>
          <w:sz w:val="24"/>
          <w:szCs w:val="24"/>
          <w:highlight w:val="none"/>
        </w:rPr>
        <w:t>十二、合同生效</w:t>
      </w:r>
      <w:bookmarkEnd w:id="40"/>
    </w:p>
    <w:p w14:paraId="06742492">
      <w:pPr>
        <w:spacing w:line="360" w:lineRule="auto"/>
        <w:ind w:firstLine="480" w:firstLineChars="200"/>
        <w:rPr>
          <w:rFonts w:eastAsia="仿宋_GB2312"/>
          <w:bCs/>
          <w:color w:val="auto"/>
          <w:sz w:val="24"/>
          <w:szCs w:val="24"/>
          <w:highlight w:val="none"/>
        </w:rPr>
      </w:pPr>
      <w:r>
        <w:rPr>
          <w:rFonts w:eastAsia="仿宋_GB2312"/>
          <w:bCs/>
          <w:color w:val="auto"/>
          <w:sz w:val="24"/>
          <w:szCs w:val="24"/>
          <w:highlight w:val="none"/>
        </w:rPr>
        <w:t>本合同</w:t>
      </w:r>
      <w:r>
        <w:rPr>
          <w:rFonts w:eastAsia="仿宋_GB2312"/>
          <w:bCs/>
          <w:color w:val="auto"/>
          <w:sz w:val="24"/>
          <w:szCs w:val="24"/>
          <w:highlight w:val="none"/>
          <w:u w:val="single"/>
        </w:rPr>
        <w:t>自双方签字盖章之日</w:t>
      </w:r>
      <w:r>
        <w:rPr>
          <w:rFonts w:hint="eastAsia" w:eastAsia="仿宋_GB2312"/>
          <w:bCs/>
          <w:color w:val="auto"/>
          <w:sz w:val="24"/>
          <w:szCs w:val="24"/>
          <w:highlight w:val="none"/>
          <w:u w:val="single"/>
        </w:rPr>
        <w:t>起</w:t>
      </w:r>
      <w:r>
        <w:rPr>
          <w:rFonts w:eastAsia="仿宋_GB2312"/>
          <w:bCs/>
          <w:color w:val="auto"/>
          <w:sz w:val="24"/>
          <w:szCs w:val="24"/>
          <w:highlight w:val="none"/>
        </w:rPr>
        <w:t>生效。</w:t>
      </w:r>
    </w:p>
    <w:p w14:paraId="2E2DBC2B">
      <w:pPr>
        <w:pStyle w:val="6"/>
        <w:spacing w:before="120" w:after="120" w:line="360" w:lineRule="auto"/>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bookmarkStart w:id="41" w:name="_Toc32835598"/>
      <w:r>
        <w:rPr>
          <w:rFonts w:ascii="Times New Roman" w:hAnsi="Times New Roman" w:eastAsia="黑体"/>
          <w:b w:val="0"/>
          <w:color w:val="auto"/>
          <w:sz w:val="24"/>
          <w:szCs w:val="24"/>
          <w:highlight w:val="none"/>
        </w:rPr>
        <w:t>十三、合同份数</w:t>
      </w:r>
      <w:bookmarkEnd w:id="41"/>
    </w:p>
    <w:p w14:paraId="6BFD5846">
      <w:pPr>
        <w:spacing w:line="360" w:lineRule="auto"/>
        <w:ind w:firstLine="480" w:firstLineChars="200"/>
        <w:rPr>
          <w:rFonts w:eastAsia="仿宋_GB2312"/>
          <w:bCs/>
          <w:color w:val="auto"/>
          <w:sz w:val="24"/>
          <w:szCs w:val="24"/>
          <w:highlight w:val="none"/>
        </w:rPr>
      </w:pPr>
      <w:r>
        <w:rPr>
          <w:rFonts w:eastAsia="仿宋_GB2312"/>
          <w:bCs/>
          <w:color w:val="auto"/>
          <w:sz w:val="24"/>
          <w:szCs w:val="24"/>
          <w:highlight w:val="none"/>
        </w:rPr>
        <w:t>本合同一式</w:t>
      </w:r>
      <w:r>
        <w:rPr>
          <w:rFonts w:eastAsia="仿宋_GB2312"/>
          <w:bCs/>
          <w:color w:val="auto"/>
          <w:sz w:val="24"/>
          <w:szCs w:val="24"/>
          <w:highlight w:val="none"/>
          <w:u w:val="single"/>
        </w:rPr>
        <w:t xml:space="preserve"> </w:t>
      </w:r>
      <w:r>
        <w:rPr>
          <w:rFonts w:hint="eastAsia" w:eastAsia="仿宋_GB2312"/>
          <w:bCs/>
          <w:color w:val="auto"/>
          <w:sz w:val="24"/>
          <w:szCs w:val="24"/>
          <w:highlight w:val="none"/>
          <w:u w:val="single"/>
        </w:rPr>
        <w:t xml:space="preserve">    </w:t>
      </w:r>
      <w:r>
        <w:rPr>
          <w:rFonts w:eastAsia="仿宋_GB2312"/>
          <w:bCs/>
          <w:color w:val="auto"/>
          <w:sz w:val="24"/>
          <w:szCs w:val="24"/>
          <w:highlight w:val="none"/>
        </w:rPr>
        <w:t>份，均具有同等法律效力，发包人执</w:t>
      </w:r>
      <w:r>
        <w:rPr>
          <w:rFonts w:eastAsia="仿宋_GB2312"/>
          <w:bCs/>
          <w:color w:val="auto"/>
          <w:sz w:val="24"/>
          <w:szCs w:val="24"/>
          <w:highlight w:val="none"/>
          <w:u w:val="single"/>
        </w:rPr>
        <w:t xml:space="preserve"> </w:t>
      </w:r>
      <w:r>
        <w:rPr>
          <w:rFonts w:hint="eastAsia" w:eastAsia="仿宋_GB2312"/>
          <w:bCs/>
          <w:color w:val="auto"/>
          <w:sz w:val="24"/>
          <w:szCs w:val="24"/>
          <w:highlight w:val="none"/>
          <w:u w:val="single"/>
        </w:rPr>
        <w:t xml:space="preserve">  </w:t>
      </w:r>
      <w:r>
        <w:rPr>
          <w:rFonts w:eastAsia="仿宋_GB2312"/>
          <w:bCs/>
          <w:color w:val="auto"/>
          <w:sz w:val="24"/>
          <w:szCs w:val="24"/>
          <w:highlight w:val="none"/>
          <w:u w:val="single"/>
        </w:rPr>
        <w:t xml:space="preserve"> </w:t>
      </w:r>
      <w:r>
        <w:rPr>
          <w:rFonts w:eastAsia="仿宋_GB2312"/>
          <w:bCs/>
          <w:color w:val="auto"/>
          <w:sz w:val="24"/>
          <w:szCs w:val="24"/>
          <w:highlight w:val="none"/>
        </w:rPr>
        <w:t>份，承包人执</w:t>
      </w:r>
      <w:r>
        <w:rPr>
          <w:rFonts w:eastAsia="仿宋_GB2312"/>
          <w:bCs/>
          <w:color w:val="auto"/>
          <w:sz w:val="24"/>
          <w:szCs w:val="24"/>
          <w:highlight w:val="none"/>
          <w:u w:val="single"/>
        </w:rPr>
        <w:t xml:space="preserve"> </w:t>
      </w:r>
      <w:r>
        <w:rPr>
          <w:rFonts w:hint="eastAsia" w:eastAsia="仿宋_GB2312"/>
          <w:bCs/>
          <w:color w:val="auto"/>
          <w:sz w:val="24"/>
          <w:szCs w:val="24"/>
          <w:highlight w:val="none"/>
          <w:u w:val="single"/>
        </w:rPr>
        <w:t xml:space="preserve">   </w:t>
      </w:r>
      <w:r>
        <w:rPr>
          <w:rFonts w:eastAsia="仿宋_GB2312"/>
          <w:bCs/>
          <w:color w:val="auto"/>
          <w:sz w:val="24"/>
          <w:szCs w:val="24"/>
          <w:highlight w:val="none"/>
          <w:u w:val="single"/>
        </w:rPr>
        <w:t xml:space="preserve"> </w:t>
      </w:r>
      <w:r>
        <w:rPr>
          <w:rFonts w:eastAsia="仿宋_GB2312"/>
          <w:bCs/>
          <w:color w:val="auto"/>
          <w:sz w:val="24"/>
          <w:szCs w:val="24"/>
          <w:highlight w:val="none"/>
        </w:rPr>
        <w:t>份。</w:t>
      </w:r>
    </w:p>
    <w:p w14:paraId="16F20107">
      <w:pPr>
        <w:spacing w:line="360" w:lineRule="auto"/>
        <w:rPr>
          <w:rFonts w:hint="eastAsia" w:eastAsia="仿宋_GB2312"/>
          <w:color w:val="auto"/>
          <w:sz w:val="24"/>
          <w:szCs w:val="24"/>
          <w:highlight w:val="none"/>
        </w:rPr>
      </w:pPr>
    </w:p>
    <w:p w14:paraId="189DA73C">
      <w:pPr>
        <w:spacing w:line="360" w:lineRule="auto"/>
        <w:rPr>
          <w:rFonts w:hint="eastAsia" w:eastAsia="仿宋_GB2312"/>
          <w:color w:val="auto"/>
          <w:sz w:val="24"/>
          <w:szCs w:val="24"/>
          <w:highlight w:val="none"/>
        </w:rPr>
      </w:pPr>
      <w:r>
        <w:rPr>
          <w:rFonts w:eastAsia="仿宋_GB2312"/>
          <w:color w:val="auto"/>
          <w:sz w:val="24"/>
          <w:szCs w:val="24"/>
          <w:highlight w:val="none"/>
        </w:rPr>
        <w:t>发包人</w:t>
      </w:r>
      <w:r>
        <w:rPr>
          <w:rFonts w:hint="eastAsia" w:eastAsia="仿宋_GB2312"/>
          <w:color w:val="auto"/>
          <w:sz w:val="24"/>
          <w:szCs w:val="24"/>
          <w:highlight w:val="none"/>
        </w:rPr>
        <w:t xml:space="preserve">： </w:t>
      </w:r>
      <w:r>
        <w:rPr>
          <w:rFonts w:eastAsia="仿宋_GB2312"/>
          <w:color w:val="auto"/>
          <w:sz w:val="24"/>
          <w:szCs w:val="24"/>
          <w:highlight w:val="none"/>
        </w:rPr>
        <w:t>(公章)</w:t>
      </w:r>
      <w:r>
        <w:rPr>
          <w:rFonts w:hint="eastAsia" w:eastAsia="仿宋_GB2312"/>
          <w:color w:val="auto"/>
          <w:sz w:val="24"/>
          <w:szCs w:val="24"/>
          <w:highlight w:val="none"/>
        </w:rPr>
        <w:t xml:space="preserve">                             </w:t>
      </w:r>
      <w:r>
        <w:rPr>
          <w:rFonts w:eastAsia="仿宋_GB2312"/>
          <w:color w:val="auto"/>
          <w:sz w:val="24"/>
          <w:szCs w:val="24"/>
          <w:highlight w:val="none"/>
        </w:rPr>
        <w:t>承包人</w:t>
      </w:r>
      <w:r>
        <w:rPr>
          <w:rFonts w:hint="eastAsia" w:eastAsia="仿宋_GB2312"/>
          <w:color w:val="auto"/>
          <w:sz w:val="24"/>
          <w:szCs w:val="24"/>
          <w:highlight w:val="none"/>
        </w:rPr>
        <w:t xml:space="preserve">： </w:t>
      </w:r>
      <w:r>
        <w:rPr>
          <w:rFonts w:eastAsia="仿宋_GB2312"/>
          <w:color w:val="auto"/>
          <w:sz w:val="24"/>
          <w:szCs w:val="24"/>
          <w:highlight w:val="none"/>
        </w:rPr>
        <w:t>(公章)</w:t>
      </w:r>
    </w:p>
    <w:p w14:paraId="26A9B403">
      <w:pPr>
        <w:spacing w:line="360" w:lineRule="auto"/>
        <w:rPr>
          <w:rFonts w:hint="eastAsia" w:eastAsia="仿宋_GB2312"/>
          <w:color w:val="auto"/>
          <w:sz w:val="24"/>
          <w:szCs w:val="24"/>
          <w:highlight w:val="none"/>
          <w:u w:val="single"/>
        </w:rPr>
      </w:pPr>
      <w:r>
        <w:rPr>
          <w:rFonts w:hint="eastAsia" w:eastAsia="仿宋_GB2312"/>
          <w:color w:val="auto"/>
          <w:sz w:val="24"/>
          <w:szCs w:val="24"/>
          <w:highlight w:val="none"/>
        </w:rPr>
        <w:t xml:space="preserve">                                 </w:t>
      </w:r>
    </w:p>
    <w:p w14:paraId="65F8C37B">
      <w:pPr>
        <w:spacing w:line="360" w:lineRule="auto"/>
        <w:rPr>
          <w:rFonts w:hint="eastAsia" w:eastAsia="仿宋_GB2312"/>
          <w:color w:val="auto"/>
          <w:sz w:val="24"/>
          <w:szCs w:val="24"/>
          <w:highlight w:val="none"/>
        </w:rPr>
      </w:pPr>
      <w:r>
        <w:rPr>
          <w:rFonts w:hint="eastAsia" w:eastAsia="仿宋_GB2312"/>
          <w:color w:val="auto"/>
          <w:sz w:val="24"/>
          <w:szCs w:val="24"/>
          <w:highlight w:val="none"/>
        </w:rPr>
        <w:t>法定代表人或其委托代理人：                 法定代表人或其委托代理人：</w:t>
      </w:r>
    </w:p>
    <w:p w14:paraId="6D24A0D8">
      <w:pPr>
        <w:spacing w:line="360" w:lineRule="auto"/>
        <w:rPr>
          <w:rFonts w:hint="eastAsia" w:eastAsia="仿宋_GB2312"/>
          <w:color w:val="auto"/>
          <w:sz w:val="24"/>
          <w:szCs w:val="24"/>
          <w:highlight w:val="none"/>
        </w:rPr>
      </w:pPr>
      <w:r>
        <w:rPr>
          <w:rFonts w:hint="eastAsia" w:eastAsia="仿宋_GB2312"/>
          <w:color w:val="auto"/>
          <w:sz w:val="24"/>
          <w:szCs w:val="24"/>
          <w:highlight w:val="none"/>
        </w:rPr>
        <w:t>（签字）                                   （签字）</w:t>
      </w:r>
    </w:p>
    <w:p w14:paraId="62E69520">
      <w:pPr>
        <w:spacing w:line="360" w:lineRule="auto"/>
        <w:rPr>
          <w:rFonts w:hint="eastAsia" w:eastAsia="仿宋_GB2312"/>
          <w:color w:val="auto"/>
          <w:sz w:val="24"/>
          <w:szCs w:val="24"/>
          <w:highlight w:val="none"/>
          <w:u w:val="single"/>
        </w:rPr>
      </w:pPr>
    </w:p>
    <w:p w14:paraId="62F1AAD4">
      <w:pPr>
        <w:tabs>
          <w:tab w:val="left" w:pos="4410"/>
        </w:tabs>
        <w:spacing w:line="360" w:lineRule="auto"/>
        <w:rPr>
          <w:rFonts w:eastAsia="仿宋_GB2312"/>
          <w:color w:val="auto"/>
          <w:sz w:val="24"/>
          <w:szCs w:val="24"/>
          <w:highlight w:val="none"/>
        </w:rPr>
      </w:pPr>
      <w:r>
        <w:rPr>
          <w:rFonts w:hint="eastAsia" w:eastAsia="仿宋_GB2312"/>
          <w:color w:val="auto"/>
          <w:sz w:val="24"/>
          <w:szCs w:val="24"/>
          <w:highlight w:val="none"/>
        </w:rPr>
        <w:t>统一社会信用代码：</w:t>
      </w:r>
      <w:r>
        <w:rPr>
          <w:rFonts w:eastAsia="仿宋_GB2312"/>
          <w:color w:val="auto"/>
          <w:sz w:val="24"/>
          <w:szCs w:val="24"/>
          <w:highlight w:val="none"/>
          <w:u w:val="single"/>
        </w:rPr>
        <w:t xml:space="preserve">           </w:t>
      </w:r>
      <w:r>
        <w:rPr>
          <w:rFonts w:eastAsia="仿宋_GB2312"/>
          <w:color w:val="auto"/>
          <w:sz w:val="24"/>
          <w:szCs w:val="24"/>
          <w:highlight w:val="none"/>
        </w:rPr>
        <w:t xml:space="preserve"> </w:t>
      </w:r>
      <w:r>
        <w:rPr>
          <w:rFonts w:hint="eastAsia" w:eastAsia="仿宋_GB2312"/>
          <w:color w:val="auto"/>
          <w:sz w:val="24"/>
          <w:szCs w:val="24"/>
          <w:highlight w:val="none"/>
        </w:rPr>
        <w:t xml:space="preserve">            统一社会信用代码：</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rPr>
        <w:t xml:space="preserve"> </w:t>
      </w:r>
    </w:p>
    <w:p w14:paraId="62038CB6">
      <w:pPr>
        <w:spacing w:line="360" w:lineRule="auto"/>
        <w:rPr>
          <w:rFonts w:eastAsia="仿宋_GB2312"/>
          <w:color w:val="auto"/>
          <w:sz w:val="24"/>
          <w:szCs w:val="24"/>
          <w:highlight w:val="none"/>
        </w:rPr>
      </w:pPr>
      <w:r>
        <w:rPr>
          <w:rFonts w:eastAsia="仿宋_GB2312"/>
          <w:color w:val="auto"/>
          <w:sz w:val="24"/>
          <w:szCs w:val="24"/>
          <w:highlight w:val="none"/>
        </w:rPr>
        <w:t>地  址：</w:t>
      </w:r>
      <w:r>
        <w:rPr>
          <w:rFonts w:eastAsia="仿宋_GB2312"/>
          <w:color w:val="auto"/>
          <w:sz w:val="24"/>
          <w:szCs w:val="24"/>
          <w:highlight w:val="none"/>
          <w:u w:val="single"/>
        </w:rPr>
        <w:t xml:space="preserve">                 </w:t>
      </w:r>
      <w:r>
        <w:rPr>
          <w:rFonts w:hint="eastAsia" w:eastAsia="仿宋_GB2312"/>
          <w:color w:val="auto"/>
          <w:sz w:val="24"/>
          <w:szCs w:val="24"/>
          <w:highlight w:val="none"/>
        </w:rPr>
        <w:t xml:space="preserve">               </w:t>
      </w:r>
      <w:r>
        <w:rPr>
          <w:rFonts w:eastAsia="仿宋_GB2312"/>
          <w:color w:val="auto"/>
          <w:sz w:val="24"/>
          <w:szCs w:val="24"/>
          <w:highlight w:val="none"/>
        </w:rPr>
        <w:t xml:space="preserve">  地  址：</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p>
    <w:p w14:paraId="05144871">
      <w:pPr>
        <w:spacing w:line="360" w:lineRule="auto"/>
        <w:rPr>
          <w:rFonts w:eastAsia="仿宋_GB2312"/>
          <w:color w:val="auto"/>
          <w:sz w:val="24"/>
          <w:szCs w:val="24"/>
          <w:highlight w:val="none"/>
        </w:rPr>
      </w:pPr>
      <w:r>
        <w:rPr>
          <w:rFonts w:eastAsia="仿宋_GB2312"/>
          <w:color w:val="auto"/>
          <w:sz w:val="24"/>
          <w:szCs w:val="24"/>
          <w:highlight w:val="none"/>
        </w:rPr>
        <w:t>邮政编码：</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 xml:space="preserve"> </w:t>
      </w:r>
      <w:r>
        <w:rPr>
          <w:rFonts w:hint="eastAsia" w:eastAsia="仿宋_GB2312"/>
          <w:color w:val="auto"/>
          <w:sz w:val="24"/>
          <w:szCs w:val="24"/>
          <w:highlight w:val="none"/>
        </w:rPr>
        <w:t xml:space="preserve">              </w:t>
      </w:r>
      <w:r>
        <w:rPr>
          <w:rFonts w:eastAsia="仿宋_GB2312"/>
          <w:color w:val="auto"/>
          <w:sz w:val="24"/>
          <w:szCs w:val="24"/>
          <w:highlight w:val="none"/>
        </w:rPr>
        <w:t xml:space="preserve">  </w:t>
      </w:r>
      <w:r>
        <w:rPr>
          <w:rFonts w:hint="eastAsia" w:eastAsia="仿宋_GB2312"/>
          <w:color w:val="auto"/>
          <w:sz w:val="24"/>
          <w:szCs w:val="24"/>
          <w:highlight w:val="none"/>
        </w:rPr>
        <w:t xml:space="preserve"> </w:t>
      </w:r>
      <w:r>
        <w:rPr>
          <w:rFonts w:eastAsia="仿宋_GB2312"/>
          <w:color w:val="auto"/>
          <w:sz w:val="24"/>
          <w:szCs w:val="24"/>
          <w:highlight w:val="none"/>
        </w:rPr>
        <w:t>邮政编码：</w:t>
      </w:r>
      <w:r>
        <w:rPr>
          <w:rFonts w:eastAsia="仿宋_GB2312"/>
          <w:color w:val="auto"/>
          <w:sz w:val="24"/>
          <w:szCs w:val="24"/>
          <w:highlight w:val="none"/>
          <w:u w:val="single"/>
        </w:rPr>
        <w:t xml:space="preserve">                </w:t>
      </w:r>
    </w:p>
    <w:p w14:paraId="6CB0BEF3">
      <w:pPr>
        <w:spacing w:line="360" w:lineRule="auto"/>
        <w:rPr>
          <w:rFonts w:eastAsia="仿宋_GB2312"/>
          <w:color w:val="auto"/>
          <w:sz w:val="24"/>
          <w:szCs w:val="24"/>
          <w:highlight w:val="none"/>
        </w:rPr>
      </w:pPr>
      <w:r>
        <w:rPr>
          <w:rFonts w:eastAsia="仿宋_GB2312"/>
          <w:color w:val="auto"/>
          <w:sz w:val="24"/>
          <w:szCs w:val="24"/>
          <w:highlight w:val="none"/>
        </w:rPr>
        <w:t>法定代表人：</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 xml:space="preserve"> </w:t>
      </w:r>
      <w:r>
        <w:rPr>
          <w:rFonts w:hint="eastAsia" w:eastAsia="仿宋_GB2312"/>
          <w:color w:val="auto"/>
          <w:sz w:val="24"/>
          <w:szCs w:val="24"/>
          <w:highlight w:val="none"/>
        </w:rPr>
        <w:t xml:space="preserve">               </w:t>
      </w:r>
      <w:r>
        <w:rPr>
          <w:rFonts w:eastAsia="仿宋_GB2312"/>
          <w:color w:val="auto"/>
          <w:sz w:val="24"/>
          <w:szCs w:val="24"/>
          <w:highlight w:val="none"/>
        </w:rPr>
        <w:t>法定代表人：</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p>
    <w:p w14:paraId="09B6BE5D">
      <w:pPr>
        <w:spacing w:line="360" w:lineRule="auto"/>
        <w:rPr>
          <w:rFonts w:eastAsia="仿宋_GB2312"/>
          <w:color w:val="auto"/>
          <w:sz w:val="24"/>
          <w:szCs w:val="24"/>
          <w:highlight w:val="none"/>
        </w:rPr>
      </w:pPr>
      <w:r>
        <w:rPr>
          <w:rFonts w:eastAsia="仿宋_GB2312"/>
          <w:color w:val="auto"/>
          <w:sz w:val="24"/>
          <w:szCs w:val="24"/>
          <w:highlight w:val="none"/>
        </w:rPr>
        <w:t>委托代理人：</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 xml:space="preserve"> </w:t>
      </w:r>
      <w:r>
        <w:rPr>
          <w:rFonts w:hint="eastAsia" w:eastAsia="仿宋_GB2312"/>
          <w:color w:val="auto"/>
          <w:sz w:val="24"/>
          <w:szCs w:val="24"/>
          <w:highlight w:val="none"/>
        </w:rPr>
        <w:t xml:space="preserve">               </w:t>
      </w:r>
      <w:r>
        <w:rPr>
          <w:rFonts w:eastAsia="仿宋_GB2312"/>
          <w:color w:val="auto"/>
          <w:sz w:val="24"/>
          <w:szCs w:val="24"/>
          <w:highlight w:val="none"/>
        </w:rPr>
        <w:t>委托代理人：</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p>
    <w:p w14:paraId="3A39AFFF">
      <w:pPr>
        <w:spacing w:line="360" w:lineRule="auto"/>
        <w:rPr>
          <w:rFonts w:eastAsia="仿宋_GB2312"/>
          <w:color w:val="auto"/>
          <w:sz w:val="24"/>
          <w:szCs w:val="24"/>
          <w:highlight w:val="none"/>
        </w:rPr>
      </w:pPr>
      <w:r>
        <w:rPr>
          <w:rFonts w:eastAsia="仿宋_GB2312"/>
          <w:color w:val="auto"/>
          <w:sz w:val="24"/>
          <w:szCs w:val="24"/>
          <w:highlight w:val="none"/>
        </w:rPr>
        <w:t>电  话：</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 xml:space="preserve"> </w:t>
      </w:r>
      <w:r>
        <w:rPr>
          <w:rFonts w:hint="eastAsia" w:eastAsia="仿宋_GB2312"/>
          <w:color w:val="auto"/>
          <w:sz w:val="24"/>
          <w:szCs w:val="24"/>
          <w:highlight w:val="none"/>
        </w:rPr>
        <w:t xml:space="preserve">               </w:t>
      </w:r>
      <w:r>
        <w:rPr>
          <w:rFonts w:eastAsia="仿宋_GB2312"/>
          <w:color w:val="auto"/>
          <w:sz w:val="24"/>
          <w:szCs w:val="24"/>
          <w:highlight w:val="none"/>
        </w:rPr>
        <w:t xml:space="preserve">       电  话：</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p>
    <w:p w14:paraId="0D720A8C">
      <w:pPr>
        <w:spacing w:line="360" w:lineRule="auto"/>
        <w:rPr>
          <w:rFonts w:eastAsia="仿宋_GB2312"/>
          <w:color w:val="auto"/>
          <w:sz w:val="24"/>
          <w:szCs w:val="24"/>
          <w:highlight w:val="none"/>
        </w:rPr>
      </w:pPr>
      <w:r>
        <w:rPr>
          <w:rFonts w:eastAsia="仿宋_GB2312"/>
          <w:color w:val="auto"/>
          <w:sz w:val="24"/>
          <w:szCs w:val="24"/>
          <w:highlight w:val="none"/>
        </w:rPr>
        <w:t>传  真：</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 xml:space="preserve"> </w:t>
      </w:r>
      <w:r>
        <w:rPr>
          <w:rFonts w:hint="eastAsia" w:eastAsia="仿宋_GB2312"/>
          <w:color w:val="auto"/>
          <w:sz w:val="24"/>
          <w:szCs w:val="24"/>
          <w:highlight w:val="none"/>
        </w:rPr>
        <w:t xml:space="preserve">               </w:t>
      </w:r>
      <w:r>
        <w:rPr>
          <w:rFonts w:eastAsia="仿宋_GB2312"/>
          <w:color w:val="auto"/>
          <w:sz w:val="24"/>
          <w:szCs w:val="24"/>
          <w:highlight w:val="none"/>
        </w:rPr>
        <w:t xml:space="preserve">       传  真：</w:t>
      </w:r>
      <w:r>
        <w:rPr>
          <w:rFonts w:eastAsia="仿宋_GB2312"/>
          <w:color w:val="auto"/>
          <w:sz w:val="24"/>
          <w:szCs w:val="24"/>
          <w:highlight w:val="none"/>
          <w:u w:val="single"/>
        </w:rPr>
        <w:t xml:space="preserve">           </w:t>
      </w:r>
    </w:p>
    <w:p w14:paraId="60FE5DE3">
      <w:pPr>
        <w:spacing w:line="360" w:lineRule="auto"/>
        <w:rPr>
          <w:rFonts w:eastAsia="仿宋_GB2312"/>
          <w:color w:val="auto"/>
          <w:sz w:val="24"/>
          <w:szCs w:val="24"/>
          <w:highlight w:val="none"/>
        </w:rPr>
      </w:pPr>
      <w:r>
        <w:rPr>
          <w:rFonts w:eastAsia="仿宋_GB2312"/>
          <w:color w:val="auto"/>
          <w:sz w:val="24"/>
          <w:szCs w:val="24"/>
          <w:highlight w:val="none"/>
        </w:rPr>
        <w:t>电子信箱：</w:t>
      </w:r>
      <w:r>
        <w:rPr>
          <w:rFonts w:eastAsia="仿宋_GB2312"/>
          <w:color w:val="auto"/>
          <w:sz w:val="24"/>
          <w:szCs w:val="24"/>
          <w:highlight w:val="none"/>
          <w:u w:val="single"/>
        </w:rPr>
        <w:t xml:space="preserve">                 </w:t>
      </w:r>
      <w:r>
        <w:rPr>
          <w:rFonts w:eastAsia="仿宋_GB2312"/>
          <w:color w:val="auto"/>
          <w:sz w:val="24"/>
          <w:szCs w:val="24"/>
          <w:highlight w:val="none"/>
        </w:rPr>
        <w:t xml:space="preserve"> </w:t>
      </w:r>
      <w:r>
        <w:rPr>
          <w:rFonts w:hint="eastAsia" w:eastAsia="仿宋_GB2312"/>
          <w:color w:val="auto"/>
          <w:sz w:val="24"/>
          <w:szCs w:val="24"/>
          <w:highlight w:val="none"/>
        </w:rPr>
        <w:t xml:space="preserve">              </w:t>
      </w:r>
      <w:r>
        <w:rPr>
          <w:rFonts w:eastAsia="仿宋_GB2312"/>
          <w:color w:val="auto"/>
          <w:sz w:val="24"/>
          <w:szCs w:val="24"/>
          <w:highlight w:val="none"/>
        </w:rPr>
        <w:t>电子信箱：</w:t>
      </w:r>
      <w:r>
        <w:rPr>
          <w:rFonts w:eastAsia="仿宋_GB2312"/>
          <w:color w:val="auto"/>
          <w:sz w:val="24"/>
          <w:szCs w:val="24"/>
          <w:highlight w:val="none"/>
          <w:u w:val="single"/>
        </w:rPr>
        <w:t xml:space="preserve">            </w:t>
      </w:r>
    </w:p>
    <w:p w14:paraId="477E6862">
      <w:pPr>
        <w:spacing w:line="360" w:lineRule="auto"/>
        <w:rPr>
          <w:rFonts w:eastAsia="仿宋_GB2312"/>
          <w:color w:val="auto"/>
          <w:sz w:val="24"/>
          <w:szCs w:val="24"/>
          <w:highlight w:val="none"/>
        </w:rPr>
      </w:pPr>
      <w:r>
        <w:rPr>
          <w:rFonts w:eastAsia="仿宋_GB2312"/>
          <w:color w:val="auto"/>
          <w:sz w:val="24"/>
          <w:szCs w:val="24"/>
          <w:highlight w:val="none"/>
        </w:rPr>
        <w:t>开户银行：</w:t>
      </w:r>
      <w:r>
        <w:rPr>
          <w:rFonts w:eastAsia="仿宋_GB2312"/>
          <w:color w:val="auto"/>
          <w:sz w:val="24"/>
          <w:szCs w:val="24"/>
          <w:highlight w:val="none"/>
          <w:u w:val="single"/>
        </w:rPr>
        <w:t xml:space="preserve">           </w:t>
      </w:r>
      <w:r>
        <w:rPr>
          <w:rFonts w:eastAsia="仿宋_GB2312"/>
          <w:color w:val="auto"/>
          <w:sz w:val="24"/>
          <w:szCs w:val="24"/>
          <w:highlight w:val="none"/>
        </w:rPr>
        <w:t xml:space="preserve"> </w:t>
      </w:r>
      <w:r>
        <w:rPr>
          <w:rFonts w:hint="eastAsia" w:eastAsia="仿宋_GB2312"/>
          <w:color w:val="auto"/>
          <w:sz w:val="24"/>
          <w:szCs w:val="24"/>
          <w:highlight w:val="none"/>
        </w:rPr>
        <w:t xml:space="preserve">               </w:t>
      </w:r>
      <w:r>
        <w:rPr>
          <w:rFonts w:eastAsia="仿宋_GB2312"/>
          <w:color w:val="auto"/>
          <w:sz w:val="24"/>
          <w:szCs w:val="24"/>
          <w:highlight w:val="none"/>
        </w:rPr>
        <w:t xml:space="preserve">     开户银行：</w:t>
      </w:r>
      <w:r>
        <w:rPr>
          <w:rFonts w:eastAsia="仿宋_GB2312"/>
          <w:color w:val="auto"/>
          <w:sz w:val="24"/>
          <w:szCs w:val="24"/>
          <w:highlight w:val="none"/>
          <w:u w:val="single"/>
        </w:rPr>
        <w:t xml:space="preserve">          </w:t>
      </w:r>
    </w:p>
    <w:p w14:paraId="04242A59">
      <w:pPr>
        <w:spacing w:line="360" w:lineRule="auto"/>
        <w:rPr>
          <w:rFonts w:eastAsia="仿宋_GB2312"/>
          <w:color w:val="auto"/>
          <w:sz w:val="24"/>
          <w:szCs w:val="24"/>
          <w:highlight w:val="none"/>
        </w:rPr>
      </w:pPr>
      <w:r>
        <w:rPr>
          <w:rFonts w:eastAsia="仿宋_GB2312"/>
          <w:color w:val="auto"/>
          <w:sz w:val="24"/>
          <w:szCs w:val="24"/>
          <w:highlight w:val="none"/>
        </w:rPr>
        <w:t>账  号：</w:t>
      </w:r>
      <w:r>
        <w:rPr>
          <w:rFonts w:eastAsia="仿宋_GB2312"/>
          <w:color w:val="auto"/>
          <w:sz w:val="24"/>
          <w:szCs w:val="24"/>
          <w:highlight w:val="none"/>
          <w:u w:val="single"/>
        </w:rPr>
        <w:t xml:space="preserve">              </w:t>
      </w:r>
      <w:r>
        <w:rPr>
          <w:rFonts w:hint="eastAsia" w:eastAsia="仿宋_GB2312"/>
          <w:color w:val="auto"/>
          <w:sz w:val="24"/>
          <w:szCs w:val="24"/>
          <w:highlight w:val="none"/>
        </w:rPr>
        <w:t xml:space="preserve">                 </w:t>
      </w:r>
      <w:r>
        <w:rPr>
          <w:rFonts w:eastAsia="仿宋_GB2312"/>
          <w:color w:val="auto"/>
          <w:sz w:val="24"/>
          <w:szCs w:val="24"/>
          <w:highlight w:val="none"/>
        </w:rPr>
        <w:t xml:space="preserve">   账</w:t>
      </w:r>
      <w:r>
        <w:rPr>
          <w:rFonts w:hint="eastAsia" w:eastAsia="仿宋_GB2312"/>
          <w:color w:val="auto"/>
          <w:sz w:val="24"/>
          <w:szCs w:val="24"/>
          <w:highlight w:val="none"/>
        </w:rPr>
        <w:t xml:space="preserve"> </w:t>
      </w:r>
      <w:r>
        <w:rPr>
          <w:rFonts w:eastAsia="仿宋_GB2312"/>
          <w:color w:val="auto"/>
          <w:sz w:val="24"/>
          <w:szCs w:val="24"/>
          <w:highlight w:val="none"/>
        </w:rPr>
        <w:t xml:space="preserve"> 号：</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p>
    <w:p w14:paraId="3E9D3181">
      <w:pPr>
        <w:pStyle w:val="5"/>
        <w:jc w:val="center"/>
        <w:rPr>
          <w:rFonts w:hint="eastAsia" w:ascii="华文中宋" w:hAnsi="华文中宋" w:eastAsia="华文中宋"/>
          <w:color w:val="auto"/>
          <w:sz w:val="36"/>
          <w:szCs w:val="36"/>
          <w:highlight w:val="none"/>
        </w:rPr>
      </w:pPr>
      <w:r>
        <w:rPr>
          <w:rFonts w:eastAsia="仿宋_GB2312"/>
          <w:color w:val="auto"/>
          <w:sz w:val="24"/>
          <w:szCs w:val="24"/>
          <w:highlight w:val="none"/>
        </w:rPr>
        <w:br w:type="page"/>
      </w:r>
      <w:bookmarkStart w:id="42" w:name="_Toc32835599"/>
      <w:r>
        <w:rPr>
          <w:rFonts w:ascii="华文中宋" w:hAnsi="华文中宋" w:eastAsia="华文中宋"/>
          <w:color w:val="auto"/>
          <w:sz w:val="36"/>
          <w:szCs w:val="36"/>
          <w:highlight w:val="none"/>
        </w:rPr>
        <w:t>第二部分 通用合同条款</w:t>
      </w:r>
      <w:bookmarkEnd w:id="42"/>
      <w:bookmarkStart w:id="43" w:name="_Toc337558727"/>
    </w:p>
    <w:p w14:paraId="086BE6BA">
      <w:pPr>
        <w:pStyle w:val="6"/>
        <w:spacing w:before="120" w:after="120" w:line="360" w:lineRule="auto"/>
        <w:rPr>
          <w:rFonts w:ascii="Times New Roman" w:hAnsi="Times New Roman" w:eastAsia="黑体"/>
          <w:b w:val="0"/>
          <w:color w:val="auto"/>
          <w:sz w:val="24"/>
          <w:szCs w:val="24"/>
          <w:highlight w:val="none"/>
        </w:rPr>
      </w:pPr>
      <w:bookmarkStart w:id="44" w:name="_Toc32835600"/>
      <w:r>
        <w:rPr>
          <w:rFonts w:ascii="Times New Roman" w:hAnsi="Times New Roman" w:eastAsia="黑体"/>
          <w:b w:val="0"/>
          <w:color w:val="auto"/>
          <w:sz w:val="24"/>
          <w:szCs w:val="24"/>
          <w:highlight w:val="none"/>
        </w:rPr>
        <w:t>1.</w:t>
      </w:r>
      <w:bookmarkStart w:id="45" w:name="_Toc303538973"/>
      <w:bookmarkEnd w:id="45"/>
      <w:bookmarkStart w:id="46" w:name="_Toc303538976"/>
      <w:bookmarkEnd w:id="46"/>
      <w:bookmarkStart w:id="47" w:name="_Toc303538975"/>
      <w:bookmarkEnd w:id="47"/>
      <w:bookmarkStart w:id="48" w:name="_Toc303538974"/>
      <w:bookmarkEnd w:id="48"/>
      <w:bookmarkStart w:id="49" w:name="_Toc303538972"/>
      <w:bookmarkEnd w:id="49"/>
      <w:bookmarkStart w:id="50" w:name="_Toc296503027"/>
      <w:bookmarkStart w:id="51" w:name="_Toc296346528"/>
      <w:r>
        <w:rPr>
          <w:rFonts w:ascii="Times New Roman" w:hAnsi="Times New Roman" w:eastAsia="黑体"/>
          <w:b w:val="0"/>
          <w:color w:val="auto"/>
          <w:sz w:val="24"/>
          <w:szCs w:val="24"/>
          <w:highlight w:val="none"/>
        </w:rPr>
        <w:t xml:space="preserve"> 一般约定</w:t>
      </w:r>
      <w:bookmarkEnd w:id="43"/>
      <w:bookmarkEnd w:id="44"/>
      <w:bookmarkEnd w:id="50"/>
      <w:bookmarkEnd w:id="51"/>
    </w:p>
    <w:p w14:paraId="6A7533A7">
      <w:pPr>
        <w:pStyle w:val="7"/>
        <w:spacing w:before="120" w:after="120" w:line="360" w:lineRule="auto"/>
        <w:ind w:firstLine="480" w:firstLineChars="200"/>
        <w:rPr>
          <w:rFonts w:eastAsia="黑体"/>
          <w:b w:val="0"/>
          <w:color w:val="auto"/>
          <w:sz w:val="24"/>
          <w:szCs w:val="24"/>
          <w:highlight w:val="none"/>
        </w:rPr>
      </w:pPr>
      <w:bookmarkStart w:id="52" w:name="_Toc296503028"/>
      <w:bookmarkStart w:id="53" w:name="_Toc296346529"/>
      <w:bookmarkStart w:id="54" w:name="_Toc337558728"/>
      <w:bookmarkStart w:id="55" w:name="_Toc32835601"/>
      <w:r>
        <w:rPr>
          <w:rFonts w:eastAsia="黑体"/>
          <w:b w:val="0"/>
          <w:color w:val="auto"/>
          <w:sz w:val="24"/>
          <w:szCs w:val="24"/>
          <w:highlight w:val="none"/>
        </w:rPr>
        <w:t>1.1词语定义</w:t>
      </w:r>
      <w:bookmarkEnd w:id="52"/>
      <w:bookmarkEnd w:id="53"/>
      <w:bookmarkEnd w:id="54"/>
      <w:r>
        <w:rPr>
          <w:rFonts w:eastAsia="黑体"/>
          <w:b w:val="0"/>
          <w:color w:val="auto"/>
          <w:sz w:val="24"/>
          <w:szCs w:val="24"/>
          <w:highlight w:val="none"/>
        </w:rPr>
        <w:t>与解释</w:t>
      </w:r>
      <w:bookmarkEnd w:id="55"/>
    </w:p>
    <w:p w14:paraId="7F569D4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合同协议书、通用合同条款、专用合同条款中的下列词语具有本款所赋予的含义：</w:t>
      </w:r>
    </w:p>
    <w:p w14:paraId="3C1C30BF">
      <w:pPr>
        <w:autoSpaceDE w:val="0"/>
        <w:autoSpaceDN w:val="0"/>
        <w:adjustRightInd w:val="0"/>
        <w:spacing w:line="360" w:lineRule="auto"/>
        <w:jc w:val="left"/>
        <w:rPr>
          <w:rFonts w:eastAsia="仿宋_GB2312"/>
          <w:color w:val="auto"/>
          <w:kern w:val="0"/>
          <w:sz w:val="24"/>
          <w:szCs w:val="24"/>
          <w:highlight w:val="none"/>
        </w:rPr>
      </w:pPr>
      <w:r>
        <w:rPr>
          <w:rFonts w:eastAsia="仿宋_GB2312"/>
          <w:color w:val="auto"/>
          <w:kern w:val="0"/>
          <w:sz w:val="24"/>
          <w:szCs w:val="24"/>
          <w:highlight w:val="none"/>
        </w:rPr>
        <w:t xml:space="preserve">    1.1.1 合同</w:t>
      </w:r>
    </w:p>
    <w:p w14:paraId="6CE0BE3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1.1.1.1 合同：是指根据法律规定和合同当事人约定具有约束力的文件，构成合同的文件包括合同协议书、中标通知书（如果有）、投标函及其附录（如果有）、专用合同条款</w:t>
      </w:r>
      <w:r>
        <w:rPr>
          <w:rFonts w:eastAsia="仿宋_GB2312"/>
          <w:color w:val="auto"/>
          <w:sz w:val="24"/>
          <w:szCs w:val="24"/>
          <w:highlight w:val="none"/>
        </w:rPr>
        <w:t>及其附件</w:t>
      </w:r>
      <w:r>
        <w:rPr>
          <w:rFonts w:eastAsia="仿宋_GB2312"/>
          <w:color w:val="auto"/>
          <w:kern w:val="0"/>
          <w:sz w:val="24"/>
          <w:szCs w:val="24"/>
          <w:highlight w:val="none"/>
        </w:rPr>
        <w:t>、通用合同条款、技术标准和要求、图纸、已标价工程量清单或预算书以及其他合同文件。</w:t>
      </w:r>
    </w:p>
    <w:p w14:paraId="7361EAD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1.1.1.2 合同协议书：是指构成合同的由发包人和承包人共同签署的称为“合同协议书”的书面文件</w:t>
      </w:r>
      <w:r>
        <w:rPr>
          <w:rFonts w:hint="eastAsia" w:eastAsia="仿宋_GB2312"/>
          <w:color w:val="auto"/>
          <w:kern w:val="0"/>
          <w:sz w:val="24"/>
          <w:szCs w:val="24"/>
          <w:highlight w:val="none"/>
        </w:rPr>
        <w:t>。</w:t>
      </w:r>
    </w:p>
    <w:p w14:paraId="4E028F5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1.1.1.3 中标通知书：是指构成合同的</w:t>
      </w:r>
      <w:r>
        <w:rPr>
          <w:rFonts w:hint="eastAsia" w:eastAsia="仿宋_GB2312"/>
          <w:color w:val="auto"/>
          <w:kern w:val="0"/>
          <w:sz w:val="24"/>
          <w:szCs w:val="24"/>
          <w:highlight w:val="none"/>
        </w:rPr>
        <w:t>由</w:t>
      </w:r>
      <w:r>
        <w:rPr>
          <w:rFonts w:eastAsia="仿宋_GB2312"/>
          <w:color w:val="auto"/>
          <w:kern w:val="0"/>
          <w:sz w:val="24"/>
          <w:szCs w:val="24"/>
          <w:highlight w:val="none"/>
        </w:rPr>
        <w:t>发包人通知承包人中标的书面文件。</w:t>
      </w:r>
    </w:p>
    <w:p w14:paraId="22305D9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1.1.1.4 投标函：是指构成合同的由承包人填写并签署的用于投标的称为“投标函”的文件。</w:t>
      </w:r>
    </w:p>
    <w:p w14:paraId="6058F0E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1.1.1.5 投标函附录：是指构成合同的附在投标函后的称为“投标函附录”的文件。</w:t>
      </w:r>
    </w:p>
    <w:p w14:paraId="10115A7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1.1.1.6 技术标准和要求：是指构成合同的施工应当遵守的或指导施工的国家、行业或地方的技术标准和要求，以及合同约定的技术标准和要求。</w:t>
      </w:r>
    </w:p>
    <w:p w14:paraId="085BCF5F">
      <w:pPr>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1.1.1.7 图纸：是指构成合同的图纸，包括由发包人按照合同约定提供或经发包人批准的设计文件、</w:t>
      </w:r>
      <w:r>
        <w:rPr>
          <w:rFonts w:hint="eastAsia" w:eastAsia="仿宋_GB2312"/>
          <w:color w:val="auto"/>
          <w:kern w:val="0"/>
          <w:sz w:val="24"/>
          <w:szCs w:val="24"/>
          <w:highlight w:val="none"/>
        </w:rPr>
        <w:t>施工图、</w:t>
      </w:r>
      <w:r>
        <w:rPr>
          <w:rFonts w:eastAsia="仿宋_GB2312"/>
          <w:color w:val="auto"/>
          <w:kern w:val="0"/>
          <w:sz w:val="24"/>
          <w:szCs w:val="24"/>
          <w:highlight w:val="none"/>
        </w:rPr>
        <w:t>鸟瞰图及模型等，</w:t>
      </w:r>
      <w:r>
        <w:rPr>
          <w:rFonts w:hint="eastAsia" w:eastAsia="仿宋_GB2312"/>
          <w:color w:val="auto"/>
          <w:kern w:val="0"/>
          <w:sz w:val="24"/>
          <w:szCs w:val="24"/>
          <w:highlight w:val="none"/>
        </w:rPr>
        <w:t>以及在合同履行过程中形成的图纸文件。图纸</w:t>
      </w:r>
      <w:r>
        <w:rPr>
          <w:rFonts w:eastAsia="仿宋_GB2312"/>
          <w:color w:val="auto"/>
          <w:kern w:val="0"/>
          <w:sz w:val="24"/>
          <w:szCs w:val="24"/>
          <w:highlight w:val="none"/>
        </w:rPr>
        <w:t>应当按照法律规定审查合格。</w:t>
      </w:r>
    </w:p>
    <w:p w14:paraId="308B1E45">
      <w:pPr>
        <w:autoSpaceDE w:val="0"/>
        <w:autoSpaceDN w:val="0"/>
        <w:adjustRightInd w:val="0"/>
        <w:spacing w:line="360" w:lineRule="auto"/>
        <w:ind w:firstLine="468" w:firstLineChars="195"/>
        <w:jc w:val="left"/>
        <w:rPr>
          <w:rFonts w:eastAsia="仿宋_GB2312"/>
          <w:color w:val="auto"/>
          <w:kern w:val="0"/>
          <w:sz w:val="24"/>
          <w:szCs w:val="24"/>
          <w:highlight w:val="none"/>
        </w:rPr>
      </w:pPr>
      <w:r>
        <w:rPr>
          <w:rFonts w:eastAsia="仿宋_GB2312"/>
          <w:color w:val="auto"/>
          <w:kern w:val="0"/>
          <w:sz w:val="24"/>
          <w:szCs w:val="24"/>
          <w:highlight w:val="none"/>
        </w:rPr>
        <w:t>1.1.1.8 已标价工程量清单：是指构成合同的由承包人按照规定的格式和要求填写并标明价格的工程量清单，包括说明和表格。</w:t>
      </w:r>
    </w:p>
    <w:p w14:paraId="5FE7C10F">
      <w:pPr>
        <w:autoSpaceDE w:val="0"/>
        <w:autoSpaceDN w:val="0"/>
        <w:adjustRightInd w:val="0"/>
        <w:spacing w:line="360" w:lineRule="auto"/>
        <w:ind w:firstLine="468" w:firstLineChars="195"/>
        <w:jc w:val="left"/>
        <w:rPr>
          <w:rFonts w:eastAsia="仿宋_GB2312"/>
          <w:color w:val="auto"/>
          <w:kern w:val="0"/>
          <w:sz w:val="24"/>
          <w:szCs w:val="24"/>
          <w:highlight w:val="none"/>
        </w:rPr>
      </w:pPr>
      <w:r>
        <w:rPr>
          <w:rFonts w:eastAsia="仿宋_GB2312"/>
          <w:color w:val="auto"/>
          <w:kern w:val="0"/>
          <w:sz w:val="24"/>
          <w:szCs w:val="24"/>
          <w:highlight w:val="none"/>
        </w:rPr>
        <w:t>1.1.1.9 预算书：是指构成合同的由承包人按照发包人规定的格式和要求编制的工程预算文件。</w:t>
      </w:r>
    </w:p>
    <w:p w14:paraId="00FB65A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1.1.1.10 其他合同文件：是指经合同当事人约定的与工程施工有关的具有合同约束力的文件或书面协议。合同当事人可以在专用合同条款中进行约定。</w:t>
      </w:r>
    </w:p>
    <w:p w14:paraId="65A253DA">
      <w:pPr>
        <w:autoSpaceDE w:val="0"/>
        <w:autoSpaceDN w:val="0"/>
        <w:adjustRightInd w:val="0"/>
        <w:spacing w:line="360" w:lineRule="auto"/>
        <w:jc w:val="left"/>
        <w:rPr>
          <w:rFonts w:eastAsia="仿宋_GB2312"/>
          <w:color w:val="auto"/>
          <w:kern w:val="0"/>
          <w:sz w:val="24"/>
          <w:szCs w:val="24"/>
          <w:highlight w:val="none"/>
        </w:rPr>
      </w:pPr>
      <w:r>
        <w:rPr>
          <w:rFonts w:eastAsia="仿宋_GB2312"/>
          <w:color w:val="auto"/>
          <w:kern w:val="0"/>
          <w:sz w:val="24"/>
          <w:szCs w:val="24"/>
          <w:highlight w:val="none"/>
        </w:rPr>
        <w:t xml:space="preserve">    1.1.2 合同当事人及其他相关方</w:t>
      </w:r>
    </w:p>
    <w:p w14:paraId="26BA983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1.1.2.1 合同当事人：是指发包人和（或）承包人。</w:t>
      </w:r>
    </w:p>
    <w:p w14:paraId="1AADB0B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1.1.2.2 发包人：是指与承包人签订合同协议书的当事人及取得该当事人资格的合法继承人。</w:t>
      </w:r>
    </w:p>
    <w:p w14:paraId="5D7AD60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1.1.2.3 承包人：是指与发包人签订合同协议书的，具有相应工程施工承包资质的当事人及取得该当事人资格的合法继承人。</w:t>
      </w:r>
    </w:p>
    <w:p w14:paraId="1BBBBC5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1.1.2.4 监理人：是指在专用合同条款中指明的，受发包人委托按照法律规定进行工程监督管理的法人或其他组织。</w:t>
      </w:r>
    </w:p>
    <w:p w14:paraId="62811E9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1.1.2.5 设计人：是指在专用合同条款中指明的，受发包人委托负责工程设计并具备相应工程设计资质的法人或其他组织。</w:t>
      </w:r>
    </w:p>
    <w:p w14:paraId="7A239311">
      <w:pPr>
        <w:spacing w:line="360" w:lineRule="auto"/>
        <w:ind w:firstLine="468" w:firstLineChars="195"/>
        <w:jc w:val="left"/>
        <w:rPr>
          <w:rFonts w:eastAsia="仿宋_GB2312"/>
          <w:color w:val="auto"/>
          <w:kern w:val="0"/>
          <w:sz w:val="24"/>
          <w:szCs w:val="24"/>
          <w:highlight w:val="none"/>
        </w:rPr>
      </w:pPr>
      <w:r>
        <w:rPr>
          <w:rFonts w:eastAsia="仿宋_GB2312"/>
          <w:color w:val="auto"/>
          <w:kern w:val="0"/>
          <w:sz w:val="24"/>
          <w:szCs w:val="24"/>
          <w:highlight w:val="none"/>
        </w:rPr>
        <w:t>1.1.2.6 分包人：</w:t>
      </w:r>
      <w:bookmarkStart w:id="56" w:name="#go5"/>
      <w:bookmarkEnd w:id="56"/>
      <w:r>
        <w:rPr>
          <w:rFonts w:eastAsia="仿宋_GB2312"/>
          <w:color w:val="auto"/>
          <w:kern w:val="0"/>
          <w:sz w:val="24"/>
          <w:szCs w:val="24"/>
          <w:highlight w:val="none"/>
        </w:rPr>
        <w:t>是指</w:t>
      </w:r>
      <w:r>
        <w:rPr>
          <w:rFonts w:hint="eastAsia" w:eastAsia="仿宋_GB2312"/>
          <w:color w:val="auto"/>
          <w:kern w:val="0"/>
          <w:sz w:val="24"/>
          <w:szCs w:val="24"/>
          <w:highlight w:val="none"/>
        </w:rPr>
        <w:t>按照法律规定和</w:t>
      </w:r>
      <w:r>
        <w:rPr>
          <w:rFonts w:eastAsia="仿宋_GB2312"/>
          <w:color w:val="auto"/>
          <w:kern w:val="0"/>
          <w:sz w:val="24"/>
          <w:szCs w:val="24"/>
          <w:highlight w:val="none"/>
        </w:rPr>
        <w:t>合同约定，分包</w:t>
      </w:r>
      <w:r>
        <w:rPr>
          <w:rFonts w:hint="eastAsia" w:eastAsia="仿宋_GB2312"/>
          <w:color w:val="auto"/>
          <w:kern w:val="0"/>
          <w:sz w:val="24"/>
          <w:szCs w:val="24"/>
          <w:highlight w:val="none"/>
        </w:rPr>
        <w:t>部分</w:t>
      </w:r>
      <w:r>
        <w:rPr>
          <w:rFonts w:eastAsia="仿宋_GB2312"/>
          <w:color w:val="auto"/>
          <w:kern w:val="0"/>
          <w:sz w:val="24"/>
          <w:szCs w:val="24"/>
          <w:highlight w:val="none"/>
        </w:rPr>
        <w:t>工程</w:t>
      </w:r>
      <w:r>
        <w:rPr>
          <w:rFonts w:hint="eastAsia" w:eastAsia="仿宋_GB2312"/>
          <w:color w:val="auto"/>
          <w:kern w:val="0"/>
          <w:sz w:val="24"/>
          <w:szCs w:val="24"/>
          <w:highlight w:val="none"/>
        </w:rPr>
        <w:t>或工作</w:t>
      </w:r>
      <w:r>
        <w:rPr>
          <w:rFonts w:eastAsia="仿宋_GB2312"/>
          <w:color w:val="auto"/>
          <w:kern w:val="0"/>
          <w:sz w:val="24"/>
          <w:szCs w:val="24"/>
          <w:highlight w:val="none"/>
        </w:rPr>
        <w:t>，并与</w:t>
      </w:r>
      <w:r>
        <w:rPr>
          <w:rFonts w:hint="eastAsia" w:eastAsia="仿宋_GB2312"/>
          <w:color w:val="auto"/>
          <w:kern w:val="0"/>
          <w:sz w:val="24"/>
          <w:szCs w:val="24"/>
          <w:highlight w:val="none"/>
        </w:rPr>
        <w:t>承包人</w:t>
      </w:r>
      <w:r>
        <w:rPr>
          <w:rFonts w:eastAsia="仿宋_GB2312"/>
          <w:color w:val="auto"/>
          <w:kern w:val="0"/>
          <w:sz w:val="24"/>
          <w:szCs w:val="24"/>
          <w:highlight w:val="none"/>
        </w:rPr>
        <w:t>签订分包合同的具有相应资质的法人。</w:t>
      </w:r>
    </w:p>
    <w:p w14:paraId="19336E3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1.1.2.7 发包人代表：是指由发包人任命并派驻施工现场在发包人授权范围内行使发包人权利的人。</w:t>
      </w:r>
    </w:p>
    <w:p w14:paraId="4E700EE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1.1.2.8 项目经理：是指由承包人任命并派驻施工现场，在承包人授权范围内负责合同履行，且按照法律规定具有相应资格的</w:t>
      </w:r>
      <w:r>
        <w:rPr>
          <w:rFonts w:hint="eastAsia" w:eastAsia="仿宋_GB2312"/>
          <w:color w:val="auto"/>
          <w:kern w:val="0"/>
          <w:sz w:val="24"/>
          <w:szCs w:val="24"/>
          <w:highlight w:val="none"/>
        </w:rPr>
        <w:t>项目负责</w:t>
      </w:r>
      <w:r>
        <w:rPr>
          <w:rFonts w:eastAsia="仿宋_GB2312"/>
          <w:color w:val="auto"/>
          <w:kern w:val="0"/>
          <w:sz w:val="24"/>
          <w:szCs w:val="24"/>
          <w:highlight w:val="none"/>
        </w:rPr>
        <w:t>人。</w:t>
      </w:r>
    </w:p>
    <w:p w14:paraId="62409FB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1.1.2.9 总监理工程师：是指由监理人任命并派驻施工现场进行工程监理的总负责人。</w:t>
      </w:r>
    </w:p>
    <w:p w14:paraId="6A5661E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1.1.3 工程和设备</w:t>
      </w:r>
    </w:p>
    <w:p w14:paraId="73E7D60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1.1.3.1 工程：是指与合同协议书中工程承包范围对应的永久工程和（或）临时工程。</w:t>
      </w:r>
    </w:p>
    <w:p w14:paraId="2D2BE756">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1.1.3.2 永久工程：是指按合同约定建造并移交给发包人的工程，包括工程设备。</w:t>
      </w:r>
    </w:p>
    <w:p w14:paraId="1E6DDD3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1.1.3.3 临时工程：是指为完成合同约定的永久工程所修建的各类临时性工程，不包括施工设备。</w:t>
      </w:r>
    </w:p>
    <w:p w14:paraId="62EE2DF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1.1.3.4 单位工程：是指在</w:t>
      </w:r>
      <w:r>
        <w:rPr>
          <w:rFonts w:hint="eastAsia" w:eastAsia="仿宋_GB2312"/>
          <w:color w:val="auto"/>
          <w:kern w:val="0"/>
          <w:sz w:val="24"/>
          <w:szCs w:val="24"/>
          <w:highlight w:val="none"/>
        </w:rPr>
        <w:t>合同协议书</w:t>
      </w:r>
      <w:r>
        <w:rPr>
          <w:rFonts w:eastAsia="仿宋_GB2312"/>
          <w:color w:val="auto"/>
          <w:kern w:val="0"/>
          <w:sz w:val="24"/>
          <w:szCs w:val="24"/>
          <w:highlight w:val="none"/>
        </w:rPr>
        <w:t>中指明的，具备独立施工条件并能形成独立使用功能的永久工程。</w:t>
      </w:r>
    </w:p>
    <w:p w14:paraId="41539ADE">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1.1.3.5 工程设备：是指构成永久工程的机电设备、金属结构设备、仪器及其他类似的设备和装置。</w:t>
      </w:r>
    </w:p>
    <w:p w14:paraId="74FF0E6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1.1.3.6 施工设备：是指为完成合同约定的各项工作所需的设备、器具和其他物品，但不包括工程设备、临时工程和材料。</w:t>
      </w:r>
    </w:p>
    <w:p w14:paraId="48C9A4F4">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1.1.3.7 施工现场：是指用于工程施工的场所，以及在专用合同条款中</w:t>
      </w:r>
      <w:r>
        <w:rPr>
          <w:rFonts w:hint="eastAsia" w:eastAsia="仿宋_GB2312"/>
          <w:color w:val="auto"/>
          <w:kern w:val="0"/>
          <w:sz w:val="24"/>
          <w:szCs w:val="24"/>
          <w:highlight w:val="none"/>
        </w:rPr>
        <w:t>指</w:t>
      </w:r>
      <w:r>
        <w:rPr>
          <w:rFonts w:eastAsia="仿宋_GB2312"/>
          <w:color w:val="auto"/>
          <w:kern w:val="0"/>
          <w:sz w:val="24"/>
          <w:szCs w:val="24"/>
          <w:highlight w:val="none"/>
        </w:rPr>
        <w:t>明作为施工场所组成部分的其他场所，包括永久占地和临时占地。</w:t>
      </w:r>
    </w:p>
    <w:p w14:paraId="3A1399BE">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1.1.3.8临时设施：是指为完成合同约定的各项工作所服务的临时性生产和生活设施。</w:t>
      </w:r>
    </w:p>
    <w:p w14:paraId="364C7E4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1.1.3.9 永久占地：是指专用合同条款中指明为实施工程需永久占用的土地。</w:t>
      </w:r>
    </w:p>
    <w:p w14:paraId="71956BE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1.1.3.10 临时占地：是指专用合同条款中指明为实施工程需要临时占用的土地。</w:t>
      </w:r>
    </w:p>
    <w:p w14:paraId="2A06B17E">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1.1.4 日期和期限</w:t>
      </w:r>
    </w:p>
    <w:p w14:paraId="2711E1A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1.1.4.1 开工日期：包括计划开工日期和实际开工日期。计划开工日期是指合同协议书约定的开工日期；实际开工日期是指监理人按照第7.3.2项</w:t>
      </w:r>
      <w:r>
        <w:rPr>
          <w:rFonts w:hint="eastAsia" w:eastAsia="仿宋_GB2312"/>
          <w:color w:val="auto"/>
          <w:kern w:val="0"/>
          <w:sz w:val="24"/>
          <w:szCs w:val="24"/>
          <w:highlight w:val="none"/>
        </w:rPr>
        <w:t>〔</w:t>
      </w:r>
      <w:r>
        <w:rPr>
          <w:rFonts w:eastAsia="仿宋_GB2312"/>
          <w:color w:val="auto"/>
          <w:kern w:val="0"/>
          <w:sz w:val="24"/>
          <w:szCs w:val="24"/>
          <w:highlight w:val="none"/>
        </w:rPr>
        <w:t>开工通知</w:t>
      </w:r>
      <w:r>
        <w:rPr>
          <w:rFonts w:hint="eastAsia" w:eastAsia="仿宋_GB2312"/>
          <w:color w:val="auto"/>
          <w:kern w:val="0"/>
          <w:sz w:val="24"/>
          <w:szCs w:val="24"/>
          <w:highlight w:val="none"/>
        </w:rPr>
        <w:t>〕</w:t>
      </w:r>
      <w:r>
        <w:rPr>
          <w:rFonts w:eastAsia="仿宋_GB2312"/>
          <w:color w:val="auto"/>
          <w:kern w:val="0"/>
          <w:sz w:val="24"/>
          <w:szCs w:val="24"/>
          <w:highlight w:val="none"/>
        </w:rPr>
        <w:t>约定发出的符合法律规定的开工通知中载明的开工日期。</w:t>
      </w:r>
    </w:p>
    <w:p w14:paraId="1705A88A">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1.1.4.2 竣工日期：包括计划竣工日期和实际竣工日期。计划竣工日期是指合同协议书约定的竣工日期</w:t>
      </w:r>
      <w:r>
        <w:rPr>
          <w:rFonts w:hint="eastAsia" w:eastAsia="仿宋_GB2312"/>
          <w:color w:val="auto"/>
          <w:kern w:val="0"/>
          <w:sz w:val="24"/>
          <w:szCs w:val="24"/>
          <w:highlight w:val="none"/>
        </w:rPr>
        <w:t>；</w:t>
      </w:r>
      <w:r>
        <w:rPr>
          <w:rFonts w:eastAsia="仿宋_GB2312"/>
          <w:color w:val="auto"/>
          <w:kern w:val="0"/>
          <w:sz w:val="24"/>
          <w:szCs w:val="24"/>
          <w:highlight w:val="none"/>
        </w:rPr>
        <w:t>实际竣工日期按照第13.2.3项</w:t>
      </w:r>
      <w:r>
        <w:rPr>
          <w:rFonts w:hint="eastAsia" w:eastAsia="仿宋_GB2312"/>
          <w:color w:val="auto"/>
          <w:kern w:val="0"/>
          <w:sz w:val="24"/>
          <w:szCs w:val="24"/>
          <w:highlight w:val="none"/>
        </w:rPr>
        <w:t>〔</w:t>
      </w:r>
      <w:r>
        <w:rPr>
          <w:rFonts w:eastAsia="仿宋_GB2312"/>
          <w:color w:val="auto"/>
          <w:kern w:val="0"/>
          <w:sz w:val="24"/>
          <w:szCs w:val="24"/>
          <w:highlight w:val="none"/>
        </w:rPr>
        <w:t>竣工日期</w:t>
      </w:r>
      <w:r>
        <w:rPr>
          <w:rFonts w:hint="eastAsia" w:eastAsia="仿宋_GB2312"/>
          <w:color w:val="auto"/>
          <w:kern w:val="0"/>
          <w:sz w:val="24"/>
          <w:szCs w:val="24"/>
          <w:highlight w:val="none"/>
        </w:rPr>
        <w:t>〕</w:t>
      </w:r>
      <w:r>
        <w:rPr>
          <w:rFonts w:eastAsia="仿宋_GB2312"/>
          <w:color w:val="auto"/>
          <w:kern w:val="0"/>
          <w:sz w:val="24"/>
          <w:szCs w:val="24"/>
          <w:highlight w:val="none"/>
        </w:rPr>
        <w:t xml:space="preserve">的约定确定。 </w:t>
      </w:r>
    </w:p>
    <w:p w14:paraId="493DAF1C">
      <w:pPr>
        <w:spacing w:line="360" w:lineRule="auto"/>
        <w:ind w:firstLine="487" w:firstLineChars="203"/>
        <w:rPr>
          <w:rFonts w:eastAsia="仿宋_GB2312"/>
          <w:color w:val="auto"/>
          <w:sz w:val="24"/>
          <w:szCs w:val="24"/>
          <w:highlight w:val="none"/>
        </w:rPr>
      </w:pPr>
      <w:r>
        <w:rPr>
          <w:rFonts w:eastAsia="仿宋_GB2312"/>
          <w:color w:val="auto"/>
          <w:kern w:val="0"/>
          <w:sz w:val="24"/>
          <w:szCs w:val="24"/>
          <w:highlight w:val="none"/>
        </w:rPr>
        <w:t>1.1.4.3 工期：是指在合同协议书约定的承包人完成工程所需的期限，包括按照合同约定所作的</w:t>
      </w:r>
      <w:r>
        <w:rPr>
          <w:rFonts w:hint="eastAsia" w:eastAsia="仿宋_GB2312"/>
          <w:color w:val="auto"/>
          <w:kern w:val="0"/>
          <w:sz w:val="24"/>
          <w:szCs w:val="24"/>
          <w:highlight w:val="none"/>
        </w:rPr>
        <w:t>期限</w:t>
      </w:r>
      <w:r>
        <w:rPr>
          <w:rFonts w:eastAsia="仿宋_GB2312"/>
          <w:color w:val="auto"/>
          <w:kern w:val="0"/>
          <w:sz w:val="24"/>
          <w:szCs w:val="24"/>
          <w:highlight w:val="none"/>
        </w:rPr>
        <w:t>变更。</w:t>
      </w:r>
    </w:p>
    <w:p w14:paraId="1582F6C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1.1.4.4 缺陷责任期：是指承包人按照合同约定承担缺陷修复义务，且发包人</w:t>
      </w:r>
      <w:r>
        <w:rPr>
          <w:rFonts w:hint="eastAsia" w:eastAsia="仿宋_GB2312"/>
          <w:color w:val="auto"/>
          <w:kern w:val="0"/>
          <w:sz w:val="24"/>
          <w:szCs w:val="24"/>
          <w:highlight w:val="none"/>
        </w:rPr>
        <w:t>预</w:t>
      </w:r>
      <w:r>
        <w:rPr>
          <w:rFonts w:eastAsia="仿宋_GB2312"/>
          <w:color w:val="auto"/>
          <w:kern w:val="0"/>
          <w:sz w:val="24"/>
          <w:szCs w:val="24"/>
          <w:highlight w:val="none"/>
        </w:rPr>
        <w:t>留质量保证金</w:t>
      </w:r>
      <w:r>
        <w:rPr>
          <w:rFonts w:hint="eastAsia" w:eastAsia="仿宋_GB2312"/>
          <w:color w:val="auto"/>
          <w:kern w:val="0"/>
          <w:sz w:val="24"/>
          <w:szCs w:val="24"/>
          <w:highlight w:val="none"/>
        </w:rPr>
        <w:t>（已</w:t>
      </w:r>
      <w:r>
        <w:rPr>
          <w:rFonts w:eastAsia="仿宋_GB2312"/>
          <w:color w:val="auto"/>
          <w:kern w:val="0"/>
          <w:sz w:val="24"/>
          <w:szCs w:val="24"/>
          <w:highlight w:val="none"/>
        </w:rPr>
        <w:t>缴纳履约保证金的除外</w:t>
      </w:r>
      <w:r>
        <w:rPr>
          <w:rFonts w:hint="eastAsia" w:eastAsia="仿宋_GB2312"/>
          <w:color w:val="auto"/>
          <w:kern w:val="0"/>
          <w:sz w:val="24"/>
          <w:szCs w:val="24"/>
          <w:highlight w:val="none"/>
        </w:rPr>
        <w:t>）</w:t>
      </w:r>
      <w:r>
        <w:rPr>
          <w:rFonts w:eastAsia="仿宋_GB2312"/>
          <w:color w:val="auto"/>
          <w:kern w:val="0"/>
          <w:sz w:val="24"/>
          <w:szCs w:val="24"/>
          <w:highlight w:val="none"/>
        </w:rPr>
        <w:t>的期限，</w:t>
      </w:r>
      <w:r>
        <w:rPr>
          <w:rFonts w:hint="eastAsia" w:eastAsia="仿宋_GB2312"/>
          <w:color w:val="auto"/>
          <w:kern w:val="0"/>
          <w:sz w:val="24"/>
          <w:szCs w:val="24"/>
          <w:highlight w:val="none"/>
        </w:rPr>
        <w:t>自</w:t>
      </w:r>
      <w:r>
        <w:rPr>
          <w:rFonts w:eastAsia="仿宋_GB2312"/>
          <w:color w:val="auto"/>
          <w:kern w:val="0"/>
          <w:sz w:val="24"/>
          <w:szCs w:val="24"/>
          <w:highlight w:val="none"/>
        </w:rPr>
        <w:t>工程</w:t>
      </w:r>
      <w:r>
        <w:rPr>
          <w:rFonts w:hint="eastAsia" w:eastAsia="仿宋_GB2312"/>
          <w:color w:val="auto"/>
          <w:kern w:val="0"/>
          <w:sz w:val="24"/>
          <w:szCs w:val="24"/>
          <w:highlight w:val="none"/>
        </w:rPr>
        <w:t>实际竣工日期</w:t>
      </w:r>
      <w:r>
        <w:rPr>
          <w:rFonts w:eastAsia="仿宋_GB2312"/>
          <w:color w:val="auto"/>
          <w:kern w:val="0"/>
          <w:sz w:val="24"/>
          <w:szCs w:val="24"/>
          <w:highlight w:val="none"/>
        </w:rPr>
        <w:t>起计算。</w:t>
      </w:r>
    </w:p>
    <w:p w14:paraId="5D7EADC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1.1.4.5 保修期：是指承包人按照合同约定</w:t>
      </w:r>
      <w:r>
        <w:rPr>
          <w:rFonts w:hint="eastAsia" w:eastAsia="仿宋_GB2312"/>
          <w:color w:val="auto"/>
          <w:kern w:val="0"/>
          <w:sz w:val="24"/>
          <w:szCs w:val="24"/>
          <w:highlight w:val="none"/>
        </w:rPr>
        <w:t>和法律规定</w:t>
      </w:r>
      <w:r>
        <w:rPr>
          <w:rFonts w:eastAsia="仿宋_GB2312"/>
          <w:color w:val="auto"/>
          <w:kern w:val="0"/>
          <w:sz w:val="24"/>
          <w:szCs w:val="24"/>
          <w:highlight w:val="none"/>
        </w:rPr>
        <w:t>对工程承担保修责任的期限，</w:t>
      </w:r>
      <w:r>
        <w:rPr>
          <w:rFonts w:hint="eastAsia" w:eastAsia="仿宋_GB2312"/>
          <w:color w:val="auto"/>
          <w:kern w:val="0"/>
          <w:sz w:val="24"/>
          <w:szCs w:val="24"/>
          <w:highlight w:val="none"/>
        </w:rPr>
        <w:t>该期限</w:t>
      </w:r>
      <w:r>
        <w:rPr>
          <w:rFonts w:eastAsia="仿宋_GB2312"/>
          <w:color w:val="auto"/>
          <w:kern w:val="0"/>
          <w:sz w:val="24"/>
          <w:szCs w:val="24"/>
          <w:highlight w:val="none"/>
        </w:rPr>
        <w:t>从</w:t>
      </w:r>
      <w:r>
        <w:rPr>
          <w:rFonts w:hint="eastAsia" w:eastAsia="仿宋_GB2312"/>
          <w:color w:val="auto"/>
          <w:kern w:val="0"/>
          <w:sz w:val="24"/>
          <w:szCs w:val="24"/>
          <w:highlight w:val="none"/>
        </w:rPr>
        <w:t>工程竣工验收合格</w:t>
      </w:r>
      <w:r>
        <w:rPr>
          <w:rFonts w:eastAsia="仿宋_GB2312"/>
          <w:color w:val="auto"/>
          <w:kern w:val="0"/>
          <w:sz w:val="24"/>
          <w:szCs w:val="24"/>
          <w:highlight w:val="none"/>
        </w:rPr>
        <w:t>之日起计算。</w:t>
      </w:r>
    </w:p>
    <w:p w14:paraId="0F58B70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1.1.4.6 基准日期：招标发包的工程以投标截止日前28天的日期为基准日</w:t>
      </w:r>
      <w:r>
        <w:rPr>
          <w:rFonts w:hint="eastAsia" w:eastAsia="仿宋_GB2312"/>
          <w:color w:val="auto"/>
          <w:kern w:val="0"/>
          <w:sz w:val="24"/>
          <w:szCs w:val="24"/>
          <w:highlight w:val="none"/>
        </w:rPr>
        <w:t>期</w:t>
      </w:r>
      <w:r>
        <w:rPr>
          <w:rFonts w:eastAsia="仿宋_GB2312"/>
          <w:color w:val="auto"/>
          <w:kern w:val="0"/>
          <w:sz w:val="24"/>
          <w:szCs w:val="24"/>
          <w:highlight w:val="none"/>
        </w:rPr>
        <w:t>，直接发包的工程以合同签订日前28天的日期为基准日</w:t>
      </w:r>
      <w:r>
        <w:rPr>
          <w:rFonts w:hint="eastAsia" w:eastAsia="仿宋_GB2312"/>
          <w:color w:val="auto"/>
          <w:kern w:val="0"/>
          <w:sz w:val="24"/>
          <w:szCs w:val="24"/>
          <w:highlight w:val="none"/>
        </w:rPr>
        <w:t>期</w:t>
      </w:r>
      <w:r>
        <w:rPr>
          <w:rFonts w:eastAsia="仿宋_GB2312"/>
          <w:color w:val="auto"/>
          <w:kern w:val="0"/>
          <w:sz w:val="24"/>
          <w:szCs w:val="24"/>
          <w:highlight w:val="none"/>
        </w:rPr>
        <w:t>。</w:t>
      </w:r>
    </w:p>
    <w:p w14:paraId="31DA8C86">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1.1.4.7 天：除特别指明外，均指日历天。合同中按天计算时间的，开始当天不计入，从次日开始计算，期限最后一天的截止时间为当天24:00时。</w:t>
      </w:r>
    </w:p>
    <w:p w14:paraId="626839D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1.1.5 合同价格和费用</w:t>
      </w:r>
    </w:p>
    <w:p w14:paraId="53872F3B">
      <w:pPr>
        <w:spacing w:line="360" w:lineRule="auto"/>
        <w:ind w:firstLine="480" w:firstLineChars="200"/>
        <w:jc w:val="left"/>
        <w:rPr>
          <w:rFonts w:eastAsia="仿宋_GB2312"/>
          <w:color w:val="auto"/>
          <w:sz w:val="24"/>
          <w:szCs w:val="24"/>
          <w:highlight w:val="none"/>
        </w:rPr>
      </w:pPr>
      <w:r>
        <w:rPr>
          <w:rFonts w:eastAsia="仿宋_GB2312"/>
          <w:color w:val="auto"/>
          <w:kern w:val="0"/>
          <w:sz w:val="24"/>
          <w:szCs w:val="24"/>
          <w:highlight w:val="none"/>
        </w:rPr>
        <w:t>1.1.5.1 签约合同价：是指</w:t>
      </w:r>
      <w:r>
        <w:rPr>
          <w:rFonts w:eastAsia="仿宋_GB2312"/>
          <w:color w:val="auto"/>
          <w:sz w:val="24"/>
          <w:szCs w:val="24"/>
          <w:highlight w:val="none"/>
        </w:rPr>
        <w:t>发包人和承包人在合同协议书中确定的总金额，包括绿色施工安全防护措施费、暂估价及暂列金额等。</w:t>
      </w:r>
    </w:p>
    <w:p w14:paraId="4DBD0F1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1.1.5.2 合同价格：是指发包人用于支付承包人按照合同约定完成承包范围内全部工作的金额，包括合同履行过程中按合同约定</w:t>
      </w:r>
      <w:r>
        <w:rPr>
          <w:rFonts w:hint="eastAsia" w:eastAsia="仿宋_GB2312"/>
          <w:color w:val="auto"/>
          <w:kern w:val="0"/>
          <w:sz w:val="24"/>
          <w:szCs w:val="24"/>
          <w:highlight w:val="none"/>
        </w:rPr>
        <w:t>发生的价格变化。</w:t>
      </w:r>
    </w:p>
    <w:p w14:paraId="4A97732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1.1.5.3 费用：是指为履行合同所发生的或将要发生的所有必需的开支，包括管理费和应分摊的其他费用，但不包括利润。</w:t>
      </w:r>
    </w:p>
    <w:p w14:paraId="6871D2D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1.1.5.4 暂估价：是指发包人在工程量清单或预算书中提供的用于支付必然发生但暂时不能确定价格的材料、工程设备的单价</w:t>
      </w:r>
      <w:r>
        <w:rPr>
          <w:rFonts w:hint="eastAsia" w:eastAsia="仿宋_GB2312"/>
          <w:color w:val="auto"/>
          <w:kern w:val="0"/>
          <w:sz w:val="24"/>
          <w:szCs w:val="24"/>
          <w:highlight w:val="none"/>
        </w:rPr>
        <w:t>、</w:t>
      </w:r>
      <w:r>
        <w:rPr>
          <w:rFonts w:eastAsia="仿宋_GB2312"/>
          <w:color w:val="auto"/>
          <w:kern w:val="0"/>
          <w:sz w:val="24"/>
          <w:szCs w:val="24"/>
          <w:highlight w:val="none"/>
        </w:rPr>
        <w:t>专业工程以及</w:t>
      </w:r>
      <w:r>
        <w:rPr>
          <w:rFonts w:hint="eastAsia" w:eastAsia="仿宋_GB2312"/>
          <w:color w:val="auto"/>
          <w:kern w:val="0"/>
          <w:sz w:val="24"/>
          <w:szCs w:val="24"/>
          <w:highlight w:val="none"/>
        </w:rPr>
        <w:t>服务工作</w:t>
      </w:r>
      <w:r>
        <w:rPr>
          <w:rFonts w:eastAsia="仿宋_GB2312"/>
          <w:color w:val="auto"/>
          <w:kern w:val="0"/>
          <w:sz w:val="24"/>
          <w:szCs w:val="24"/>
          <w:highlight w:val="none"/>
        </w:rPr>
        <w:t>的金额。</w:t>
      </w:r>
    </w:p>
    <w:p w14:paraId="1DCDB51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1.1.5.5 暂列金额：是指发包人在工程量清单或预算书中暂定并包括在合同价格中的一笔款项</w:t>
      </w:r>
      <w:r>
        <w:rPr>
          <w:rFonts w:hint="eastAsia" w:eastAsia="仿宋_GB2312"/>
          <w:color w:val="auto"/>
          <w:kern w:val="0"/>
          <w:sz w:val="24"/>
          <w:szCs w:val="24"/>
          <w:highlight w:val="none"/>
        </w:rPr>
        <w:t>，</w:t>
      </w:r>
      <w:r>
        <w:rPr>
          <w:rFonts w:eastAsia="仿宋_GB2312"/>
          <w:color w:val="auto"/>
          <w:kern w:val="0"/>
          <w:sz w:val="24"/>
          <w:szCs w:val="24"/>
          <w:highlight w:val="none"/>
        </w:rPr>
        <w:t>用于工程合同签订时尚未确定或者不可预见的所需材料、工程设备、服务的采购，施工中可能发生的工程变更、合同约定调整因素出现时的合同价格调整以及发生的索赔、现场签证确认等的费用。</w:t>
      </w:r>
    </w:p>
    <w:p w14:paraId="67F62150">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1.1.5.6 计日工：是指合同履行过程中，承包人完成发包人提出的零星工作或需要采用计日工计价的变更工作时，按合同中约定的单价计价的一种方式。</w:t>
      </w:r>
    </w:p>
    <w:p w14:paraId="4EDE3509">
      <w:pPr>
        <w:spacing w:line="360" w:lineRule="auto"/>
        <w:ind w:firstLine="480" w:firstLineChars="200"/>
        <w:jc w:val="left"/>
        <w:rPr>
          <w:rFonts w:eastAsia="仿宋_GB2312"/>
          <w:color w:val="auto"/>
          <w:sz w:val="24"/>
          <w:szCs w:val="24"/>
          <w:highlight w:val="none"/>
        </w:rPr>
      </w:pPr>
      <w:r>
        <w:rPr>
          <w:rFonts w:eastAsia="仿宋_GB2312"/>
          <w:color w:val="auto"/>
          <w:kern w:val="0"/>
          <w:sz w:val="24"/>
          <w:szCs w:val="24"/>
          <w:highlight w:val="none"/>
        </w:rPr>
        <w:t>1.1.5.7 质量保证金</w:t>
      </w:r>
      <w:bookmarkStart w:id="57" w:name="#go2"/>
      <w:bookmarkEnd w:id="57"/>
      <w:r>
        <w:rPr>
          <w:rFonts w:eastAsia="仿宋_GB2312"/>
          <w:color w:val="auto"/>
          <w:kern w:val="0"/>
          <w:sz w:val="24"/>
          <w:szCs w:val="24"/>
          <w:highlight w:val="none"/>
        </w:rPr>
        <w:t>：是指按照第15.3款</w:t>
      </w:r>
      <w:r>
        <w:rPr>
          <w:rFonts w:hint="eastAsia" w:eastAsia="仿宋_GB2312"/>
          <w:color w:val="auto"/>
          <w:kern w:val="0"/>
          <w:sz w:val="24"/>
          <w:szCs w:val="24"/>
          <w:highlight w:val="none"/>
        </w:rPr>
        <w:t>〔</w:t>
      </w:r>
      <w:r>
        <w:rPr>
          <w:rFonts w:eastAsia="仿宋_GB2312"/>
          <w:color w:val="auto"/>
          <w:kern w:val="0"/>
          <w:sz w:val="24"/>
          <w:szCs w:val="24"/>
          <w:highlight w:val="none"/>
        </w:rPr>
        <w:t>质量保证金</w:t>
      </w:r>
      <w:r>
        <w:rPr>
          <w:rFonts w:hint="eastAsia" w:eastAsia="仿宋_GB2312"/>
          <w:color w:val="auto"/>
          <w:kern w:val="0"/>
          <w:sz w:val="24"/>
          <w:szCs w:val="24"/>
          <w:highlight w:val="none"/>
        </w:rPr>
        <w:t>〕</w:t>
      </w:r>
      <w:r>
        <w:rPr>
          <w:rFonts w:eastAsia="仿宋_GB2312"/>
          <w:color w:val="auto"/>
          <w:kern w:val="0"/>
          <w:sz w:val="24"/>
          <w:szCs w:val="24"/>
          <w:highlight w:val="none"/>
        </w:rPr>
        <w:t>约定承包人用于保证其在缺陷责任期内履行缺陷修补义务的担保</w:t>
      </w:r>
      <w:r>
        <w:rPr>
          <w:rFonts w:eastAsia="仿宋_GB2312"/>
          <w:color w:val="auto"/>
          <w:sz w:val="24"/>
          <w:szCs w:val="24"/>
          <w:highlight w:val="none"/>
        </w:rPr>
        <w:t>。</w:t>
      </w:r>
    </w:p>
    <w:p w14:paraId="2CC2FFD9">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1.1.5.8 总价项目：是指在现行国家、行业以及地方的计量规则中无工程量计算规则，在已标价工程量清单或预算书中以总价或以费率形式计算的项目。</w:t>
      </w:r>
    </w:p>
    <w:p w14:paraId="1A3945C8">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1.1.6 其他</w:t>
      </w:r>
    </w:p>
    <w:p w14:paraId="7661BB4E">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1.1.6.1 书面形式：是指合同文件、信函、电报、传真等可以有形地表现所载内容的形式。</w:t>
      </w:r>
    </w:p>
    <w:p w14:paraId="5ADE8308">
      <w:pPr>
        <w:pStyle w:val="7"/>
        <w:spacing w:before="120" w:after="120" w:line="360" w:lineRule="auto"/>
        <w:rPr>
          <w:rFonts w:eastAsia="黑体"/>
          <w:b w:val="0"/>
          <w:color w:val="auto"/>
          <w:sz w:val="24"/>
          <w:szCs w:val="24"/>
          <w:highlight w:val="none"/>
        </w:rPr>
      </w:pPr>
      <w:r>
        <w:rPr>
          <w:rFonts w:eastAsia="黑体"/>
          <w:b w:val="0"/>
          <w:color w:val="auto"/>
          <w:sz w:val="24"/>
          <w:szCs w:val="24"/>
          <w:highlight w:val="none"/>
        </w:rPr>
        <w:t xml:space="preserve">    </w:t>
      </w:r>
      <w:bookmarkStart w:id="58" w:name="_Toc296503029"/>
      <w:bookmarkStart w:id="59" w:name="_Toc32835602"/>
      <w:bookmarkStart w:id="60" w:name="_Toc296346530"/>
      <w:bookmarkStart w:id="61" w:name="_Toc337558729"/>
      <w:r>
        <w:rPr>
          <w:rFonts w:eastAsia="黑体"/>
          <w:b w:val="0"/>
          <w:color w:val="auto"/>
          <w:sz w:val="24"/>
          <w:szCs w:val="24"/>
          <w:highlight w:val="none"/>
        </w:rPr>
        <w:t>1.2语言文字</w:t>
      </w:r>
      <w:bookmarkEnd w:id="58"/>
      <w:bookmarkEnd w:id="59"/>
      <w:bookmarkEnd w:id="60"/>
      <w:bookmarkEnd w:id="61"/>
    </w:p>
    <w:p w14:paraId="4985BAA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合同以中国的汉语简体文字编写、解释和说明。合同当事人在专用合同条款中约定使用两种以上语言时，汉语为优先解释和说明合同的语言。</w:t>
      </w:r>
    </w:p>
    <w:p w14:paraId="29FA660D">
      <w:pPr>
        <w:pStyle w:val="7"/>
        <w:spacing w:before="120" w:after="120" w:line="360" w:lineRule="auto"/>
        <w:ind w:firstLine="480" w:firstLineChars="200"/>
        <w:rPr>
          <w:rFonts w:eastAsia="黑体"/>
          <w:b w:val="0"/>
          <w:color w:val="auto"/>
          <w:sz w:val="24"/>
          <w:szCs w:val="24"/>
          <w:highlight w:val="none"/>
        </w:rPr>
      </w:pPr>
      <w:bookmarkStart w:id="62" w:name="_Toc296503030"/>
      <w:bookmarkStart w:id="63" w:name="_Toc337558730"/>
      <w:bookmarkStart w:id="64" w:name="_Toc296346531"/>
      <w:bookmarkStart w:id="65" w:name="_Toc32835603"/>
      <w:r>
        <w:rPr>
          <w:rFonts w:eastAsia="黑体"/>
          <w:b w:val="0"/>
          <w:color w:val="auto"/>
          <w:sz w:val="24"/>
          <w:szCs w:val="24"/>
          <w:highlight w:val="none"/>
        </w:rPr>
        <w:t>1.3法律</w:t>
      </w:r>
      <w:bookmarkEnd w:id="62"/>
      <w:bookmarkEnd w:id="63"/>
      <w:bookmarkEnd w:id="64"/>
      <w:bookmarkEnd w:id="65"/>
    </w:p>
    <w:p w14:paraId="2907E68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合同所称法律是指中华人民共和国法律、行政法规、部门规章，以及工程所在地的地方性法规、自治条例、单行条例和地方政府规章等。</w:t>
      </w:r>
    </w:p>
    <w:p w14:paraId="4B712AA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合同当事人可以在专用合同条款中约定合同适用的其他规范性文件。</w:t>
      </w:r>
    </w:p>
    <w:p w14:paraId="0F0B29A1">
      <w:pPr>
        <w:pStyle w:val="7"/>
        <w:spacing w:before="120" w:after="120" w:line="360" w:lineRule="auto"/>
        <w:ind w:firstLine="480" w:firstLineChars="200"/>
        <w:rPr>
          <w:rFonts w:eastAsia="黑体"/>
          <w:b w:val="0"/>
          <w:color w:val="auto"/>
          <w:sz w:val="24"/>
          <w:szCs w:val="24"/>
          <w:highlight w:val="none"/>
        </w:rPr>
      </w:pPr>
      <w:bookmarkStart w:id="66" w:name="_Toc32835604"/>
      <w:r>
        <w:rPr>
          <w:rFonts w:eastAsia="黑体"/>
          <w:b w:val="0"/>
          <w:color w:val="auto"/>
          <w:sz w:val="24"/>
          <w:szCs w:val="24"/>
          <w:highlight w:val="none"/>
        </w:rPr>
        <w:t>1.4 标准和规范</w:t>
      </w:r>
      <w:bookmarkEnd w:id="66"/>
    </w:p>
    <w:p w14:paraId="4722D792">
      <w:pPr>
        <w:autoSpaceDE w:val="0"/>
        <w:autoSpaceDN w:val="0"/>
        <w:adjustRightInd w:val="0"/>
        <w:spacing w:line="360" w:lineRule="auto"/>
        <w:ind w:firstLine="640"/>
        <w:jc w:val="left"/>
        <w:rPr>
          <w:rFonts w:eastAsia="仿宋_GB2312"/>
          <w:color w:val="auto"/>
          <w:kern w:val="0"/>
          <w:sz w:val="24"/>
          <w:szCs w:val="24"/>
          <w:highlight w:val="none"/>
        </w:rPr>
      </w:pPr>
      <w:r>
        <w:rPr>
          <w:rFonts w:eastAsia="仿宋_GB2312"/>
          <w:color w:val="auto"/>
          <w:kern w:val="0"/>
          <w:sz w:val="24"/>
          <w:szCs w:val="24"/>
          <w:highlight w:val="none"/>
        </w:rPr>
        <w:t>1.4.1 适用于工程的国家标准、行业标准、工程所在地的地方性标准，以及相应的规范、规程等，合同当事人有特别要求的，应在专用合同条款中约定。</w:t>
      </w:r>
    </w:p>
    <w:p w14:paraId="7921137A">
      <w:pPr>
        <w:autoSpaceDE w:val="0"/>
        <w:autoSpaceDN w:val="0"/>
        <w:adjustRightInd w:val="0"/>
        <w:spacing w:line="360" w:lineRule="auto"/>
        <w:ind w:firstLine="640"/>
        <w:jc w:val="left"/>
        <w:rPr>
          <w:rFonts w:eastAsia="仿宋_GB2312"/>
          <w:color w:val="auto"/>
          <w:kern w:val="0"/>
          <w:sz w:val="24"/>
          <w:szCs w:val="24"/>
          <w:highlight w:val="none"/>
        </w:rPr>
      </w:pPr>
      <w:r>
        <w:rPr>
          <w:rFonts w:eastAsia="仿宋_GB2312"/>
          <w:color w:val="auto"/>
          <w:kern w:val="0"/>
          <w:sz w:val="24"/>
          <w:szCs w:val="24"/>
          <w:highlight w:val="none"/>
        </w:rPr>
        <w:t>1.4.2 发包人要求使用国外标准、规范的，发包人负责提供原文版本和中文译本，并在专用合同条款中约定提供标准规范的名称、份数和时间。</w:t>
      </w:r>
    </w:p>
    <w:p w14:paraId="1889F9E9">
      <w:pPr>
        <w:autoSpaceDE w:val="0"/>
        <w:autoSpaceDN w:val="0"/>
        <w:adjustRightInd w:val="0"/>
        <w:spacing w:line="360" w:lineRule="auto"/>
        <w:ind w:firstLine="640"/>
        <w:jc w:val="left"/>
        <w:rPr>
          <w:rFonts w:eastAsia="仿宋_GB2312"/>
          <w:color w:val="auto"/>
          <w:kern w:val="0"/>
          <w:sz w:val="24"/>
          <w:szCs w:val="24"/>
          <w:highlight w:val="none"/>
        </w:rPr>
      </w:pPr>
      <w:r>
        <w:rPr>
          <w:rFonts w:eastAsia="仿宋_GB2312"/>
          <w:color w:val="auto"/>
          <w:kern w:val="0"/>
          <w:sz w:val="24"/>
          <w:szCs w:val="24"/>
          <w:highlight w:val="none"/>
        </w:rPr>
        <w:t>1.4.3 发包人对工程的技术标准、功能要求高于或严于现行国家、行业或地方标准的，应当在专用合同条款中予以明确。除专用合同条款另有约定外，应视为</w:t>
      </w:r>
      <w:r>
        <w:rPr>
          <w:rFonts w:hint="eastAsia" w:eastAsia="仿宋_GB2312"/>
          <w:color w:val="auto"/>
          <w:kern w:val="0"/>
          <w:sz w:val="24"/>
          <w:szCs w:val="24"/>
          <w:highlight w:val="none"/>
        </w:rPr>
        <w:t>承包人</w:t>
      </w:r>
      <w:r>
        <w:rPr>
          <w:rFonts w:eastAsia="仿宋_GB2312"/>
          <w:color w:val="auto"/>
          <w:kern w:val="0"/>
          <w:sz w:val="24"/>
          <w:szCs w:val="24"/>
          <w:highlight w:val="none"/>
        </w:rPr>
        <w:t>在签订合同前已充分预见前述技术标准和功能要求的复杂程度，签约合同价中已包含由此产生的费用。</w:t>
      </w:r>
    </w:p>
    <w:p w14:paraId="062A7C2E">
      <w:pPr>
        <w:pStyle w:val="7"/>
        <w:spacing w:before="120" w:after="120" w:line="360" w:lineRule="auto"/>
        <w:ind w:firstLine="480" w:firstLineChars="200"/>
        <w:rPr>
          <w:rFonts w:eastAsia="黑体"/>
          <w:b w:val="0"/>
          <w:color w:val="auto"/>
          <w:sz w:val="24"/>
          <w:szCs w:val="24"/>
          <w:highlight w:val="none"/>
        </w:rPr>
      </w:pPr>
      <w:bookmarkStart w:id="67" w:name="_Toc32835605"/>
      <w:r>
        <w:rPr>
          <w:rFonts w:eastAsia="黑体"/>
          <w:b w:val="0"/>
          <w:color w:val="auto"/>
          <w:sz w:val="24"/>
          <w:szCs w:val="24"/>
          <w:highlight w:val="none"/>
        </w:rPr>
        <w:t>1</w:t>
      </w:r>
      <w:bookmarkStart w:id="68" w:name="_Toc337558731"/>
      <w:bookmarkStart w:id="69" w:name="_Toc296346532"/>
      <w:bookmarkStart w:id="70" w:name="_Toc296503031"/>
      <w:r>
        <w:rPr>
          <w:rFonts w:eastAsia="黑体"/>
          <w:b w:val="0"/>
          <w:color w:val="auto"/>
          <w:sz w:val="24"/>
          <w:szCs w:val="24"/>
          <w:highlight w:val="none"/>
        </w:rPr>
        <w:t>.5 合同文件的优先顺序</w:t>
      </w:r>
      <w:bookmarkEnd w:id="67"/>
    </w:p>
    <w:bookmarkEnd w:id="68"/>
    <w:bookmarkEnd w:id="69"/>
    <w:bookmarkEnd w:id="70"/>
    <w:p w14:paraId="04E3984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组成合同的各项文件应互相解释，互为说明。除专用合同条款另有约定外，解释合同文件的优先顺序如下：</w:t>
      </w:r>
    </w:p>
    <w:p w14:paraId="6C22FD3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（1）合同协议书；</w:t>
      </w:r>
    </w:p>
    <w:p w14:paraId="643A0DB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（2）中标通知书（如果有）；</w:t>
      </w:r>
    </w:p>
    <w:p w14:paraId="2BC2D8D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（3）投标函及其附录（如果有）；</w:t>
      </w:r>
    </w:p>
    <w:p w14:paraId="461BB23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（4）专用合同条款</w:t>
      </w:r>
      <w:r>
        <w:rPr>
          <w:rFonts w:eastAsia="仿宋_GB2312"/>
          <w:color w:val="auto"/>
          <w:sz w:val="24"/>
          <w:szCs w:val="24"/>
          <w:highlight w:val="none"/>
        </w:rPr>
        <w:t>及其附件</w:t>
      </w:r>
      <w:r>
        <w:rPr>
          <w:rFonts w:eastAsia="仿宋_GB2312"/>
          <w:color w:val="auto"/>
          <w:kern w:val="0"/>
          <w:sz w:val="24"/>
          <w:szCs w:val="24"/>
          <w:highlight w:val="none"/>
        </w:rPr>
        <w:t>；</w:t>
      </w:r>
    </w:p>
    <w:p w14:paraId="68EA6E7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（5）通用合同条款；</w:t>
      </w:r>
    </w:p>
    <w:p w14:paraId="0AE707A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（6）技术标准和要求；</w:t>
      </w:r>
    </w:p>
    <w:p w14:paraId="6676509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（7）图纸；</w:t>
      </w:r>
    </w:p>
    <w:p w14:paraId="44B4D4BC">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（8）已标价工程量清单或预算书；</w:t>
      </w:r>
    </w:p>
    <w:p w14:paraId="4406445D">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kern w:val="0"/>
          <w:sz w:val="24"/>
          <w:szCs w:val="24"/>
          <w:highlight w:val="none"/>
        </w:rPr>
        <w:t>（9）其他合同文件。</w:t>
      </w:r>
    </w:p>
    <w:p w14:paraId="6DD10923">
      <w:pPr>
        <w:spacing w:line="360" w:lineRule="auto"/>
        <w:ind w:firstLine="511" w:firstLineChars="213"/>
        <w:rPr>
          <w:rFonts w:eastAsia="仿宋_GB2312"/>
          <w:color w:val="auto"/>
          <w:sz w:val="24"/>
          <w:szCs w:val="24"/>
          <w:highlight w:val="none"/>
        </w:rPr>
      </w:pPr>
      <w:r>
        <w:rPr>
          <w:rFonts w:eastAsia="仿宋_GB2312"/>
          <w:color w:val="auto"/>
          <w:sz w:val="24"/>
          <w:szCs w:val="24"/>
          <w:highlight w:val="none"/>
        </w:rPr>
        <w:t>上述各项合同文件包括合同当事人就该项合同文件所作出的补充和修改，属于同一类内容的文件，应以最新签署的为准。</w:t>
      </w:r>
    </w:p>
    <w:p w14:paraId="745D7D8D">
      <w:pPr>
        <w:spacing w:line="360" w:lineRule="auto"/>
        <w:ind w:firstLine="511" w:firstLineChars="213"/>
        <w:rPr>
          <w:rFonts w:eastAsia="仿宋_GB2312"/>
          <w:color w:val="auto"/>
          <w:sz w:val="24"/>
          <w:szCs w:val="24"/>
          <w:highlight w:val="none"/>
        </w:rPr>
      </w:pPr>
      <w:r>
        <w:rPr>
          <w:rFonts w:eastAsia="仿宋_GB2312"/>
          <w:color w:val="auto"/>
          <w:sz w:val="24"/>
          <w:szCs w:val="24"/>
          <w:highlight w:val="none"/>
        </w:rPr>
        <w:t>在合同订立及履行过程中形成的与合同有关的文件均构成合同文件组成部分，并根据其性质确定优先解释顺序。</w:t>
      </w:r>
    </w:p>
    <w:p w14:paraId="6EC3B4AC">
      <w:pPr>
        <w:pStyle w:val="7"/>
        <w:spacing w:before="120" w:after="120" w:line="360" w:lineRule="auto"/>
        <w:ind w:firstLine="480" w:firstLineChars="200"/>
        <w:rPr>
          <w:rFonts w:eastAsia="黑体"/>
          <w:b w:val="0"/>
          <w:color w:val="auto"/>
          <w:sz w:val="24"/>
          <w:szCs w:val="24"/>
          <w:highlight w:val="none"/>
        </w:rPr>
      </w:pPr>
      <w:bookmarkStart w:id="71" w:name="_Toc32835606"/>
      <w:r>
        <w:rPr>
          <w:rFonts w:eastAsia="黑体"/>
          <w:b w:val="0"/>
          <w:color w:val="auto"/>
          <w:sz w:val="24"/>
          <w:szCs w:val="24"/>
          <w:highlight w:val="none"/>
        </w:rPr>
        <w:t>1</w:t>
      </w:r>
      <w:bookmarkStart w:id="72" w:name="_Toc296346533"/>
      <w:bookmarkStart w:id="73" w:name="_Toc296503032"/>
      <w:bookmarkStart w:id="74" w:name="_Toc337558732"/>
      <w:r>
        <w:rPr>
          <w:rFonts w:eastAsia="黑体"/>
          <w:b w:val="0"/>
          <w:color w:val="auto"/>
          <w:sz w:val="24"/>
          <w:szCs w:val="24"/>
          <w:highlight w:val="none"/>
        </w:rPr>
        <w:t>.6图纸和承包人文件</w:t>
      </w:r>
      <w:bookmarkEnd w:id="71"/>
    </w:p>
    <w:bookmarkEnd w:id="72"/>
    <w:bookmarkEnd w:id="73"/>
    <w:bookmarkEnd w:id="74"/>
    <w:p w14:paraId="748A488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1.6.1 图纸的提供和交底</w:t>
      </w:r>
    </w:p>
    <w:p w14:paraId="4634AA3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发包人应按照专用合同条款约定的期限、数量和内容向承包人免费提供图纸，并组织承包人、监理人和设计人进行图纸会审和设计交底。发包人至迟不得晚于第7.3.2项</w:t>
      </w:r>
      <w:r>
        <w:rPr>
          <w:rFonts w:hint="eastAsia" w:eastAsia="仿宋_GB2312"/>
          <w:color w:val="auto"/>
          <w:kern w:val="0"/>
          <w:sz w:val="24"/>
          <w:szCs w:val="24"/>
          <w:highlight w:val="none"/>
        </w:rPr>
        <w:t>〔</w:t>
      </w:r>
      <w:r>
        <w:rPr>
          <w:rFonts w:eastAsia="仿宋_GB2312"/>
          <w:color w:val="auto"/>
          <w:kern w:val="0"/>
          <w:sz w:val="24"/>
          <w:szCs w:val="24"/>
          <w:highlight w:val="none"/>
        </w:rPr>
        <w:t>开工通知</w:t>
      </w:r>
      <w:r>
        <w:rPr>
          <w:rFonts w:hint="eastAsia" w:eastAsia="仿宋_GB2312"/>
          <w:color w:val="auto"/>
          <w:kern w:val="0"/>
          <w:sz w:val="24"/>
          <w:szCs w:val="24"/>
          <w:highlight w:val="none"/>
        </w:rPr>
        <w:t>〕</w:t>
      </w:r>
      <w:r>
        <w:rPr>
          <w:rFonts w:eastAsia="仿宋_GB2312"/>
          <w:color w:val="auto"/>
          <w:kern w:val="0"/>
          <w:sz w:val="24"/>
          <w:szCs w:val="24"/>
          <w:highlight w:val="none"/>
        </w:rPr>
        <w:t>载明的开工日期前14天向承包人提供图纸。</w:t>
      </w:r>
    </w:p>
    <w:p w14:paraId="146394B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因发包人未按合同约定提供图纸导致承包人费用增加和（或）工期延误的，按照第7.5.1项</w:t>
      </w:r>
      <w:r>
        <w:rPr>
          <w:rFonts w:hint="eastAsia" w:eastAsia="仿宋_GB2312"/>
          <w:color w:val="auto"/>
          <w:kern w:val="0"/>
          <w:sz w:val="24"/>
          <w:szCs w:val="24"/>
          <w:highlight w:val="none"/>
        </w:rPr>
        <w:t>〔</w:t>
      </w:r>
      <w:r>
        <w:rPr>
          <w:rFonts w:eastAsia="仿宋_GB2312"/>
          <w:color w:val="auto"/>
          <w:kern w:val="0"/>
          <w:sz w:val="24"/>
          <w:szCs w:val="24"/>
          <w:highlight w:val="none"/>
        </w:rPr>
        <w:t>因发包人原因导致工期延误</w:t>
      </w:r>
      <w:r>
        <w:rPr>
          <w:rFonts w:hint="eastAsia" w:eastAsia="仿宋_GB2312"/>
          <w:color w:val="auto"/>
          <w:kern w:val="0"/>
          <w:sz w:val="24"/>
          <w:szCs w:val="24"/>
          <w:highlight w:val="none"/>
        </w:rPr>
        <w:t>〕</w:t>
      </w:r>
      <w:r>
        <w:rPr>
          <w:rFonts w:eastAsia="仿宋_GB2312"/>
          <w:color w:val="auto"/>
          <w:kern w:val="0"/>
          <w:sz w:val="24"/>
          <w:szCs w:val="24"/>
          <w:highlight w:val="none"/>
        </w:rPr>
        <w:t>约定办理。</w:t>
      </w:r>
    </w:p>
    <w:p w14:paraId="1589699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1.6.2 图纸的错误</w:t>
      </w:r>
    </w:p>
    <w:p w14:paraId="3C3659A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eastAsia="仿宋_GB2312"/>
          <w:color w:val="auto"/>
          <w:kern w:val="0"/>
          <w:sz w:val="24"/>
          <w:szCs w:val="24"/>
          <w:highlight w:val="none"/>
        </w:rPr>
        <w:t>合理时间是指发包人在收到监理人的报送通知后，尽其努力且不懈怠地完成图纸修改补充所需的时间。</w:t>
      </w:r>
    </w:p>
    <w:p w14:paraId="2D7A598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1.6.3 图纸的修改和补充</w:t>
      </w:r>
    </w:p>
    <w:p w14:paraId="49FCCE91">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1D9DA16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1.6.4 承包人文件</w:t>
      </w:r>
    </w:p>
    <w:p w14:paraId="2AD3FFE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68F7309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7925DF4">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1.6.5 图纸和承包人文件的保管</w:t>
      </w:r>
    </w:p>
    <w:p w14:paraId="78056CD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除专用合同条款另有约定外，承包人应在施工现场另外保存一套完整的图纸和承包人文件，供发包人、监理人及有关人员进行工程检查时使用。</w:t>
      </w:r>
    </w:p>
    <w:p w14:paraId="3D486337">
      <w:pPr>
        <w:pStyle w:val="7"/>
        <w:spacing w:before="120" w:after="120" w:line="360" w:lineRule="auto"/>
        <w:ind w:firstLine="480" w:firstLineChars="200"/>
        <w:rPr>
          <w:rFonts w:eastAsia="黑体"/>
          <w:b w:val="0"/>
          <w:color w:val="auto"/>
          <w:sz w:val="24"/>
          <w:szCs w:val="24"/>
          <w:highlight w:val="none"/>
        </w:rPr>
      </w:pPr>
      <w:bookmarkStart w:id="75" w:name="_Toc32835607"/>
      <w:r>
        <w:rPr>
          <w:rFonts w:eastAsia="黑体"/>
          <w:b w:val="0"/>
          <w:color w:val="auto"/>
          <w:sz w:val="24"/>
          <w:szCs w:val="24"/>
          <w:highlight w:val="none"/>
        </w:rPr>
        <w:t>1</w:t>
      </w:r>
      <w:bookmarkStart w:id="76" w:name="_Toc337558733"/>
      <w:bookmarkStart w:id="77" w:name="_Toc296346534"/>
      <w:bookmarkStart w:id="78" w:name="_Toc296503033"/>
      <w:r>
        <w:rPr>
          <w:rFonts w:eastAsia="黑体"/>
          <w:b w:val="0"/>
          <w:color w:val="auto"/>
          <w:sz w:val="24"/>
          <w:szCs w:val="24"/>
          <w:highlight w:val="none"/>
        </w:rPr>
        <w:t>.7联络</w:t>
      </w:r>
      <w:bookmarkEnd w:id="75"/>
    </w:p>
    <w:bookmarkEnd w:id="76"/>
    <w:bookmarkEnd w:id="77"/>
    <w:bookmarkEnd w:id="78"/>
    <w:p w14:paraId="00E7C40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1.7.1 与合同有关的通知、批准、证明、证书、指示、指令、要求、请求、同意、意见、确定和决定等，均应采用书面形式，并应在合同约定的期限内送达接收人和送达地点。</w:t>
      </w:r>
    </w:p>
    <w:p w14:paraId="70D5D3B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1D55768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1.7.3 发包人和承包人应当及时签收另一方送达至送达地点和指定接收人的来往信函。拒不签收的，由此增加的费用和（或）延误的工期由拒绝接收一方承担。</w:t>
      </w:r>
    </w:p>
    <w:p w14:paraId="1DC1D68F">
      <w:pPr>
        <w:pStyle w:val="7"/>
        <w:spacing w:before="120" w:after="120" w:line="360" w:lineRule="auto"/>
        <w:ind w:firstLine="480" w:firstLineChars="200"/>
        <w:rPr>
          <w:rFonts w:eastAsia="黑体"/>
          <w:b w:val="0"/>
          <w:color w:val="auto"/>
          <w:sz w:val="24"/>
          <w:szCs w:val="24"/>
          <w:highlight w:val="none"/>
        </w:rPr>
      </w:pPr>
      <w:bookmarkStart w:id="79" w:name="_Toc32835608"/>
      <w:r>
        <w:rPr>
          <w:rFonts w:eastAsia="黑体"/>
          <w:b w:val="0"/>
          <w:color w:val="auto"/>
          <w:sz w:val="24"/>
          <w:szCs w:val="24"/>
          <w:highlight w:val="none"/>
        </w:rPr>
        <w:t>1</w:t>
      </w:r>
      <w:bookmarkStart w:id="80" w:name="_Toc296503035"/>
      <w:bookmarkStart w:id="81" w:name="_Toc296346536"/>
      <w:bookmarkStart w:id="82" w:name="_Toc337558734"/>
      <w:r>
        <w:rPr>
          <w:rFonts w:eastAsia="黑体"/>
          <w:b w:val="0"/>
          <w:color w:val="auto"/>
          <w:sz w:val="24"/>
          <w:szCs w:val="24"/>
          <w:highlight w:val="none"/>
        </w:rPr>
        <w:t>.8严禁贿赂</w:t>
      </w:r>
      <w:bookmarkEnd w:id="79"/>
    </w:p>
    <w:bookmarkEnd w:id="80"/>
    <w:bookmarkEnd w:id="81"/>
    <w:bookmarkEnd w:id="82"/>
    <w:p w14:paraId="4F28468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14:paraId="519EABF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7EA9F7C">
      <w:pPr>
        <w:pStyle w:val="7"/>
        <w:spacing w:before="120" w:after="120" w:line="360" w:lineRule="auto"/>
        <w:ind w:firstLine="480" w:firstLineChars="200"/>
        <w:rPr>
          <w:rFonts w:eastAsia="黑体"/>
          <w:b w:val="0"/>
          <w:color w:val="auto"/>
          <w:sz w:val="24"/>
          <w:szCs w:val="24"/>
          <w:highlight w:val="none"/>
        </w:rPr>
      </w:pPr>
      <w:bookmarkStart w:id="83" w:name="_Toc32835609"/>
      <w:r>
        <w:rPr>
          <w:rFonts w:eastAsia="黑体"/>
          <w:b w:val="0"/>
          <w:color w:val="auto"/>
          <w:sz w:val="24"/>
          <w:szCs w:val="24"/>
          <w:highlight w:val="none"/>
        </w:rPr>
        <w:t>1</w:t>
      </w:r>
      <w:bookmarkStart w:id="84" w:name="_Toc296346537"/>
      <w:bookmarkStart w:id="85" w:name="_Toc296503036"/>
      <w:bookmarkStart w:id="86" w:name="_Toc337558735"/>
      <w:r>
        <w:rPr>
          <w:rFonts w:eastAsia="黑体"/>
          <w:b w:val="0"/>
          <w:color w:val="auto"/>
          <w:sz w:val="24"/>
          <w:szCs w:val="24"/>
          <w:highlight w:val="none"/>
        </w:rPr>
        <w:t>.9化石、文物</w:t>
      </w:r>
      <w:bookmarkEnd w:id="83"/>
    </w:p>
    <w:bookmarkEnd w:id="84"/>
    <w:bookmarkEnd w:id="85"/>
    <w:bookmarkEnd w:id="86"/>
    <w:p w14:paraId="678CB85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4E2113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发包人、监理人和承包人应按有关政府行政管理部门要求采取妥善的保护措施，由此增加的费用和</w:t>
      </w:r>
      <w:r>
        <w:rPr>
          <w:rFonts w:hint="eastAsia" w:eastAsia="仿宋_GB2312"/>
          <w:color w:val="auto"/>
          <w:kern w:val="0"/>
          <w:sz w:val="24"/>
          <w:szCs w:val="24"/>
          <w:highlight w:val="none"/>
        </w:rPr>
        <w:t>（</w:t>
      </w:r>
      <w:r>
        <w:rPr>
          <w:rFonts w:eastAsia="仿宋_GB2312"/>
          <w:color w:val="auto"/>
          <w:kern w:val="0"/>
          <w:sz w:val="24"/>
          <w:szCs w:val="24"/>
          <w:highlight w:val="none"/>
        </w:rPr>
        <w:t>或）延误的工期由发包人承担。</w:t>
      </w:r>
    </w:p>
    <w:p w14:paraId="2417E85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承包人发现文物后不及时报告或隐瞒不报，致使文物丢失或损坏的，应赔偿损失，并承担相应的法律责任。</w:t>
      </w:r>
    </w:p>
    <w:p w14:paraId="4973F572">
      <w:pPr>
        <w:pStyle w:val="7"/>
        <w:spacing w:before="120" w:after="120" w:line="360" w:lineRule="auto"/>
        <w:ind w:firstLine="480" w:firstLineChars="200"/>
        <w:rPr>
          <w:rFonts w:eastAsia="黑体"/>
          <w:b w:val="0"/>
          <w:color w:val="auto"/>
          <w:sz w:val="24"/>
          <w:szCs w:val="24"/>
          <w:highlight w:val="none"/>
        </w:rPr>
      </w:pPr>
      <w:bookmarkStart w:id="87" w:name="_Toc32835610"/>
      <w:r>
        <w:rPr>
          <w:rFonts w:eastAsia="黑体"/>
          <w:b w:val="0"/>
          <w:color w:val="auto"/>
          <w:sz w:val="24"/>
          <w:szCs w:val="24"/>
          <w:highlight w:val="none"/>
        </w:rPr>
        <w:t>1</w:t>
      </w:r>
      <w:bookmarkStart w:id="88" w:name="_Toc337558736"/>
      <w:r>
        <w:rPr>
          <w:rFonts w:eastAsia="黑体"/>
          <w:b w:val="0"/>
          <w:color w:val="auto"/>
          <w:sz w:val="24"/>
          <w:szCs w:val="24"/>
          <w:highlight w:val="none"/>
        </w:rPr>
        <w:t>.10交通运输</w:t>
      </w:r>
      <w:bookmarkEnd w:id="87"/>
    </w:p>
    <w:bookmarkEnd w:id="88"/>
    <w:p w14:paraId="299C3F23">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1.10.1</w:t>
      </w:r>
      <w:r>
        <w:rPr>
          <w:rFonts w:hint="eastAsia" w:eastAsia="仿宋_GB2312"/>
          <w:color w:val="auto"/>
          <w:kern w:val="0"/>
          <w:sz w:val="24"/>
          <w:szCs w:val="24"/>
          <w:highlight w:val="none"/>
        </w:rPr>
        <w:t xml:space="preserve"> </w:t>
      </w:r>
      <w:r>
        <w:rPr>
          <w:rFonts w:eastAsia="仿宋_GB2312"/>
          <w:color w:val="auto"/>
          <w:kern w:val="0"/>
          <w:sz w:val="24"/>
          <w:szCs w:val="24"/>
          <w:highlight w:val="none"/>
        </w:rPr>
        <w:t>出入现场的权利</w:t>
      </w:r>
    </w:p>
    <w:p w14:paraId="1878C1A9">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除专用合同条款另有约定外，发包人应根据施工需要，负责取得出入施工现场所需的</w:t>
      </w:r>
      <w:r>
        <w:rPr>
          <w:rFonts w:hint="eastAsia" w:eastAsia="仿宋_GB2312"/>
          <w:color w:val="auto"/>
          <w:kern w:val="0"/>
          <w:sz w:val="24"/>
          <w:szCs w:val="24"/>
          <w:highlight w:val="none"/>
        </w:rPr>
        <w:t>批准手续和</w:t>
      </w:r>
      <w:r>
        <w:rPr>
          <w:rFonts w:eastAsia="仿宋_GB2312"/>
          <w:color w:val="auto"/>
          <w:kern w:val="0"/>
          <w:sz w:val="24"/>
          <w:szCs w:val="24"/>
          <w:highlight w:val="none"/>
        </w:rPr>
        <w:t>全部权利，以及取得因施工所需修建道路、桥梁以及其他基础设施的权利，并承担相关手续费用和建设费用。承包人应协助发包人办理修建场内外道路、桥梁以及其他基础设施的手续。</w:t>
      </w:r>
    </w:p>
    <w:p w14:paraId="731388E0">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30F779C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1.10.2</w:t>
      </w:r>
      <w:r>
        <w:rPr>
          <w:rFonts w:hint="eastAsia" w:eastAsia="仿宋_GB2312"/>
          <w:color w:val="auto"/>
          <w:kern w:val="0"/>
          <w:sz w:val="24"/>
          <w:szCs w:val="24"/>
          <w:highlight w:val="none"/>
        </w:rPr>
        <w:t xml:space="preserve"> </w:t>
      </w:r>
      <w:r>
        <w:rPr>
          <w:rFonts w:eastAsia="仿宋_GB2312"/>
          <w:color w:val="auto"/>
          <w:kern w:val="0"/>
          <w:sz w:val="24"/>
          <w:szCs w:val="24"/>
          <w:highlight w:val="none"/>
        </w:rPr>
        <w:t>场外交通</w:t>
      </w:r>
    </w:p>
    <w:p w14:paraId="4B9004E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80C1486">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1.10.3场内交通</w:t>
      </w:r>
    </w:p>
    <w:p w14:paraId="54DDD64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FF757C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2014B2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场外交通和场内交通的边界由合同当事人在专用合同条款中约定。</w:t>
      </w:r>
    </w:p>
    <w:p w14:paraId="4CFD4940">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1.10.4</w:t>
      </w:r>
      <w:r>
        <w:rPr>
          <w:rFonts w:hint="eastAsia" w:eastAsia="仿宋_GB2312"/>
          <w:color w:val="auto"/>
          <w:kern w:val="0"/>
          <w:sz w:val="24"/>
          <w:szCs w:val="24"/>
          <w:highlight w:val="none"/>
        </w:rPr>
        <w:t xml:space="preserve"> </w:t>
      </w:r>
      <w:r>
        <w:rPr>
          <w:rFonts w:eastAsia="仿宋_GB2312"/>
          <w:color w:val="auto"/>
          <w:kern w:val="0"/>
          <w:sz w:val="24"/>
          <w:szCs w:val="24"/>
          <w:highlight w:val="none"/>
        </w:rPr>
        <w:t>超大件和超重件的运输</w:t>
      </w:r>
    </w:p>
    <w:p w14:paraId="4E11099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5FEBF5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1.10.5</w:t>
      </w:r>
      <w:r>
        <w:rPr>
          <w:rFonts w:hint="eastAsia" w:eastAsia="仿宋_GB2312"/>
          <w:color w:val="auto"/>
          <w:kern w:val="0"/>
          <w:sz w:val="24"/>
          <w:szCs w:val="24"/>
          <w:highlight w:val="none"/>
        </w:rPr>
        <w:t xml:space="preserve"> </w:t>
      </w:r>
      <w:r>
        <w:rPr>
          <w:rFonts w:eastAsia="仿宋_GB2312"/>
          <w:color w:val="auto"/>
          <w:kern w:val="0"/>
          <w:sz w:val="24"/>
          <w:szCs w:val="24"/>
          <w:highlight w:val="none"/>
        </w:rPr>
        <w:t>道路和桥梁的损坏责任</w:t>
      </w:r>
    </w:p>
    <w:p w14:paraId="77DD1B53">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因承包人运输造成施工场地内外公共道路和桥梁损坏的，由承包人承担修复损坏的全部费用和可能引起的赔偿。</w:t>
      </w:r>
    </w:p>
    <w:p w14:paraId="3A87F25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1.10.6</w:t>
      </w:r>
      <w:r>
        <w:rPr>
          <w:rFonts w:hint="eastAsia" w:eastAsia="仿宋_GB2312"/>
          <w:color w:val="auto"/>
          <w:kern w:val="0"/>
          <w:sz w:val="24"/>
          <w:szCs w:val="24"/>
          <w:highlight w:val="none"/>
        </w:rPr>
        <w:t xml:space="preserve"> </w:t>
      </w:r>
      <w:r>
        <w:rPr>
          <w:rFonts w:eastAsia="仿宋_GB2312"/>
          <w:color w:val="auto"/>
          <w:kern w:val="0"/>
          <w:sz w:val="24"/>
          <w:szCs w:val="24"/>
          <w:highlight w:val="none"/>
        </w:rPr>
        <w:t>水路和航空运输</w:t>
      </w:r>
    </w:p>
    <w:p w14:paraId="72EDBD61">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本</w:t>
      </w:r>
      <w:r>
        <w:rPr>
          <w:rFonts w:hint="eastAsia" w:eastAsia="仿宋_GB2312"/>
          <w:color w:val="auto"/>
          <w:kern w:val="0"/>
          <w:sz w:val="24"/>
          <w:szCs w:val="24"/>
          <w:highlight w:val="none"/>
        </w:rPr>
        <w:t>款</w:t>
      </w:r>
      <w:r>
        <w:rPr>
          <w:rFonts w:eastAsia="仿宋_GB2312"/>
          <w:color w:val="auto"/>
          <w:kern w:val="0"/>
          <w:sz w:val="24"/>
          <w:szCs w:val="24"/>
          <w:highlight w:val="none"/>
        </w:rPr>
        <w:t>前述各</w:t>
      </w:r>
      <w:r>
        <w:rPr>
          <w:rFonts w:hint="eastAsia" w:eastAsia="仿宋_GB2312"/>
          <w:color w:val="auto"/>
          <w:kern w:val="0"/>
          <w:sz w:val="24"/>
          <w:szCs w:val="24"/>
          <w:highlight w:val="none"/>
        </w:rPr>
        <w:t>项</w:t>
      </w:r>
      <w:r>
        <w:rPr>
          <w:rFonts w:eastAsia="仿宋_GB2312"/>
          <w:color w:val="auto"/>
          <w:kern w:val="0"/>
          <w:sz w:val="24"/>
          <w:szCs w:val="24"/>
          <w:highlight w:val="none"/>
        </w:rPr>
        <w:t>的内容适用于水路运输和航空运输，其中“道路”一词的涵义包括河道、航线、船闸、机场、码头、堤防以及水路或航空运输中其他相似结构物；“车辆”一词的涵义包括船舶和飞机等。</w:t>
      </w:r>
    </w:p>
    <w:p w14:paraId="30697065">
      <w:pPr>
        <w:pStyle w:val="7"/>
        <w:spacing w:before="120" w:after="120" w:line="360" w:lineRule="auto"/>
        <w:ind w:firstLine="480" w:firstLineChars="200"/>
        <w:rPr>
          <w:rFonts w:eastAsia="黑体"/>
          <w:b w:val="0"/>
          <w:color w:val="auto"/>
          <w:sz w:val="24"/>
          <w:szCs w:val="24"/>
          <w:highlight w:val="none"/>
        </w:rPr>
      </w:pPr>
      <w:bookmarkStart w:id="89" w:name="_Toc32835611"/>
      <w:r>
        <w:rPr>
          <w:rFonts w:eastAsia="黑体"/>
          <w:b w:val="0"/>
          <w:color w:val="auto"/>
          <w:sz w:val="24"/>
          <w:szCs w:val="24"/>
          <w:highlight w:val="none"/>
        </w:rPr>
        <w:t>1</w:t>
      </w:r>
      <w:bookmarkStart w:id="90" w:name="_Toc337558737"/>
      <w:bookmarkStart w:id="91" w:name="_Toc296503037"/>
      <w:bookmarkStart w:id="92" w:name="_Toc296346538"/>
      <w:r>
        <w:rPr>
          <w:rFonts w:eastAsia="黑体"/>
          <w:b w:val="0"/>
          <w:color w:val="auto"/>
          <w:sz w:val="24"/>
          <w:szCs w:val="24"/>
          <w:highlight w:val="none"/>
        </w:rPr>
        <w:t>.11知识产权</w:t>
      </w:r>
      <w:bookmarkEnd w:id="89"/>
      <w:r>
        <w:rPr>
          <w:rFonts w:eastAsia="黑体"/>
          <w:b w:val="0"/>
          <w:color w:val="auto"/>
          <w:sz w:val="24"/>
          <w:szCs w:val="24"/>
          <w:highlight w:val="none"/>
        </w:rPr>
        <w:t xml:space="preserve"> </w:t>
      </w:r>
      <w:bookmarkEnd w:id="90"/>
    </w:p>
    <w:bookmarkEnd w:id="91"/>
    <w:bookmarkEnd w:id="92"/>
    <w:p w14:paraId="16ADAE0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11A328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C9C4FA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950CE39">
      <w:pPr>
        <w:rPr>
          <w:color w:val="auto"/>
          <w:sz w:val="24"/>
          <w:szCs w:val="21"/>
          <w:highlight w:val="none"/>
        </w:rPr>
      </w:pPr>
      <w:r>
        <w:rPr>
          <w:rFonts w:eastAsia="仿宋_GB2312"/>
          <w:color w:val="auto"/>
          <w:kern w:val="0"/>
          <w:sz w:val="24"/>
          <w:szCs w:val="24"/>
          <w:highlight w:val="none"/>
        </w:rPr>
        <w:t xml:space="preserve">    </w:t>
      </w:r>
      <w:r>
        <w:rPr>
          <w:rFonts w:eastAsia="仿宋_GB2312"/>
          <w:color w:val="auto"/>
          <w:sz w:val="24"/>
          <w:szCs w:val="24"/>
          <w:highlight w:val="none"/>
        </w:rPr>
        <w:t>1.11.4 除专用合同条款另有约定外，承包人在合同签订前和签订时已确定采用的专利、专有技术、技术秘密的使用费已包含在签约合同价中。</w:t>
      </w:r>
    </w:p>
    <w:p w14:paraId="562EE49F">
      <w:pPr>
        <w:pStyle w:val="7"/>
        <w:spacing w:before="120" w:after="120" w:line="360" w:lineRule="auto"/>
        <w:ind w:firstLine="480" w:firstLineChars="200"/>
        <w:rPr>
          <w:rFonts w:eastAsia="黑体"/>
          <w:b w:val="0"/>
          <w:color w:val="auto"/>
          <w:sz w:val="24"/>
          <w:szCs w:val="24"/>
          <w:highlight w:val="none"/>
        </w:rPr>
      </w:pPr>
      <w:bookmarkStart w:id="93" w:name="_Toc32835612"/>
      <w:r>
        <w:rPr>
          <w:rFonts w:eastAsia="黑体"/>
          <w:b w:val="0"/>
          <w:color w:val="auto"/>
          <w:sz w:val="24"/>
          <w:szCs w:val="24"/>
          <w:highlight w:val="none"/>
        </w:rPr>
        <w:t>1</w:t>
      </w:r>
      <w:bookmarkStart w:id="94" w:name="_Toc337558738"/>
      <w:r>
        <w:rPr>
          <w:rFonts w:eastAsia="黑体"/>
          <w:b w:val="0"/>
          <w:color w:val="auto"/>
          <w:sz w:val="24"/>
          <w:szCs w:val="24"/>
          <w:highlight w:val="none"/>
        </w:rPr>
        <w:t>.12保密</w:t>
      </w:r>
      <w:bookmarkEnd w:id="93"/>
    </w:p>
    <w:bookmarkEnd w:id="94"/>
    <w:p w14:paraId="68D7413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除法律规定或合同另有约定外，未经发包人同意，承包人不得将发包人提供的图纸、文件以及声明需要保密的资料信息等商业秘密泄露给第三方。</w:t>
      </w:r>
    </w:p>
    <w:p w14:paraId="1845DC2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除法律规定或合同另有约定外，未经承包人同意，发包人不得将承包人提供的技术秘密及声明需要保密的资料信息等商业秘密泄露给第三方。</w:t>
      </w:r>
    </w:p>
    <w:p w14:paraId="60542579">
      <w:pPr>
        <w:pStyle w:val="7"/>
        <w:spacing w:before="120" w:after="120" w:line="360" w:lineRule="auto"/>
        <w:ind w:firstLine="480" w:firstLineChars="200"/>
        <w:rPr>
          <w:rFonts w:eastAsia="黑体"/>
          <w:b w:val="0"/>
          <w:color w:val="auto"/>
          <w:sz w:val="24"/>
          <w:szCs w:val="24"/>
          <w:highlight w:val="none"/>
        </w:rPr>
      </w:pPr>
      <w:bookmarkStart w:id="95" w:name="_Toc32835613"/>
      <w:r>
        <w:rPr>
          <w:rFonts w:eastAsia="黑体"/>
          <w:b w:val="0"/>
          <w:color w:val="auto"/>
          <w:sz w:val="24"/>
          <w:szCs w:val="24"/>
          <w:highlight w:val="none"/>
        </w:rPr>
        <w:t>1.13工程量清单错误的修正</w:t>
      </w:r>
      <w:bookmarkEnd w:id="95"/>
    </w:p>
    <w:p w14:paraId="562970D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除专用合同条款另有约定外，</w:t>
      </w:r>
      <w:r>
        <w:rPr>
          <w:rFonts w:eastAsia="仿宋_GB2312"/>
          <w:color w:val="auto"/>
          <w:kern w:val="0"/>
          <w:sz w:val="24"/>
          <w:szCs w:val="24"/>
          <w:highlight w:val="none"/>
        </w:rPr>
        <w:t>发包人提供的工程量清单，应被认为是准确的和完整的。出现下列情形之一时，发包人应予以修正，并相应调整合同价格：</w:t>
      </w:r>
    </w:p>
    <w:p w14:paraId="7921310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（1）工程量清单存在缺项、漏项的；</w:t>
      </w:r>
    </w:p>
    <w:p w14:paraId="64067DA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（2）工程量清单偏差超出专用合同条款约定的工程量偏差范围的；</w:t>
      </w:r>
    </w:p>
    <w:p w14:paraId="12B432F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（3）未按照国家现行计量规范强制性规定计量的。</w:t>
      </w:r>
    </w:p>
    <w:p w14:paraId="6E7364B0">
      <w:pPr>
        <w:pStyle w:val="6"/>
        <w:spacing w:before="120" w:after="120" w:line="360" w:lineRule="auto"/>
        <w:rPr>
          <w:rFonts w:ascii="Times New Roman" w:hAnsi="Times New Roman" w:eastAsia="黑体"/>
          <w:b w:val="0"/>
          <w:color w:val="auto"/>
          <w:sz w:val="24"/>
          <w:szCs w:val="24"/>
          <w:highlight w:val="none"/>
        </w:rPr>
      </w:pPr>
      <w:bookmarkStart w:id="96" w:name="_Toc32835614"/>
      <w:r>
        <w:rPr>
          <w:rFonts w:ascii="Times New Roman" w:hAnsi="Times New Roman" w:eastAsia="黑体"/>
          <w:b w:val="0"/>
          <w:color w:val="auto"/>
          <w:sz w:val="24"/>
          <w:szCs w:val="24"/>
          <w:highlight w:val="none"/>
        </w:rPr>
        <w:t>2</w:t>
      </w:r>
      <w:bookmarkStart w:id="97" w:name="_Toc296346539"/>
      <w:bookmarkStart w:id="98" w:name="_Toc296503038"/>
      <w:bookmarkStart w:id="99" w:name="_Toc337558739"/>
      <w:bookmarkStart w:id="100" w:name="OLE_LINK1"/>
      <w:bookmarkStart w:id="101" w:name="OLE_LINK2"/>
      <w:r>
        <w:rPr>
          <w:rFonts w:ascii="Times New Roman" w:hAnsi="Times New Roman" w:eastAsia="黑体"/>
          <w:b w:val="0"/>
          <w:color w:val="auto"/>
          <w:sz w:val="24"/>
          <w:szCs w:val="24"/>
          <w:highlight w:val="none"/>
        </w:rPr>
        <w:t>. 发包人</w:t>
      </w:r>
      <w:bookmarkEnd w:id="96"/>
    </w:p>
    <w:bookmarkEnd w:id="97"/>
    <w:bookmarkEnd w:id="98"/>
    <w:bookmarkEnd w:id="99"/>
    <w:p w14:paraId="588BC911">
      <w:pPr>
        <w:pStyle w:val="7"/>
        <w:spacing w:before="120" w:after="120" w:line="360" w:lineRule="auto"/>
        <w:ind w:firstLine="480" w:firstLineChars="200"/>
        <w:rPr>
          <w:rFonts w:eastAsia="黑体"/>
          <w:b w:val="0"/>
          <w:color w:val="auto"/>
          <w:sz w:val="24"/>
          <w:szCs w:val="24"/>
          <w:highlight w:val="none"/>
        </w:rPr>
      </w:pPr>
      <w:bookmarkStart w:id="102" w:name="_Toc32835615"/>
      <w:r>
        <w:rPr>
          <w:rFonts w:eastAsia="黑体"/>
          <w:b w:val="0"/>
          <w:color w:val="auto"/>
          <w:sz w:val="24"/>
          <w:szCs w:val="24"/>
          <w:highlight w:val="none"/>
        </w:rPr>
        <w:t>2</w:t>
      </w:r>
      <w:bookmarkStart w:id="103" w:name="_Toc296346540"/>
      <w:bookmarkStart w:id="104" w:name="_Toc337558740"/>
      <w:bookmarkStart w:id="105" w:name="_Toc296503039"/>
      <w:r>
        <w:rPr>
          <w:rFonts w:eastAsia="黑体"/>
          <w:b w:val="0"/>
          <w:color w:val="auto"/>
          <w:sz w:val="24"/>
          <w:szCs w:val="24"/>
          <w:highlight w:val="none"/>
        </w:rPr>
        <w:t>.1 许可或批准</w:t>
      </w:r>
      <w:bookmarkEnd w:id="102"/>
    </w:p>
    <w:p w14:paraId="39DED6B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A318FC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因发包人原因未能及时办理完毕前述许可、批准或备案，由发包人承担由此增加的费用和（或）延误的工期，并支付承包人合理的利润。</w:t>
      </w:r>
    </w:p>
    <w:p w14:paraId="68CA9282">
      <w:pPr>
        <w:pStyle w:val="7"/>
        <w:spacing w:before="120" w:after="120" w:line="360" w:lineRule="auto"/>
        <w:ind w:firstLine="480" w:firstLineChars="200"/>
        <w:rPr>
          <w:rFonts w:eastAsia="黑体"/>
          <w:b w:val="0"/>
          <w:color w:val="auto"/>
          <w:sz w:val="24"/>
          <w:szCs w:val="24"/>
          <w:highlight w:val="none"/>
        </w:rPr>
      </w:pPr>
      <w:bookmarkStart w:id="106" w:name="_Toc32835616"/>
      <w:r>
        <w:rPr>
          <w:rFonts w:eastAsia="黑体"/>
          <w:b w:val="0"/>
          <w:color w:val="auto"/>
          <w:sz w:val="24"/>
          <w:szCs w:val="24"/>
          <w:highlight w:val="none"/>
        </w:rPr>
        <w:t>2.2 发包人代表</w:t>
      </w:r>
      <w:bookmarkEnd w:id="106"/>
    </w:p>
    <w:p w14:paraId="5552B13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242DB6D">
      <w:pPr>
        <w:ind w:firstLine="480" w:firstLineChars="200"/>
        <w:rPr>
          <w:rFonts w:hint="eastAsia" w:eastAsia="仿宋_GB2312"/>
          <w:color w:val="auto"/>
          <w:kern w:val="0"/>
          <w:sz w:val="24"/>
          <w:szCs w:val="24"/>
          <w:highlight w:val="none"/>
        </w:rPr>
      </w:pPr>
      <w:r>
        <w:rPr>
          <w:rFonts w:eastAsia="仿宋_GB2312"/>
          <w:color w:val="auto"/>
          <w:kern w:val="0"/>
          <w:sz w:val="24"/>
          <w:szCs w:val="24"/>
          <w:highlight w:val="none"/>
        </w:rPr>
        <w:t>发包人代表不能按照合同约定履行其职责及义务，并导致合同无法继续正常履行的，承包人可以要求发包人撤换发包人代表。</w:t>
      </w:r>
    </w:p>
    <w:p w14:paraId="169296DD">
      <w:pPr>
        <w:ind w:firstLine="480" w:firstLineChars="200"/>
        <w:rPr>
          <w:color w:val="auto"/>
          <w:sz w:val="24"/>
          <w:szCs w:val="20"/>
          <w:highlight w:val="none"/>
        </w:rPr>
      </w:pPr>
      <w:r>
        <w:rPr>
          <w:rFonts w:hint="eastAsia" w:eastAsia="仿宋_GB2312"/>
          <w:color w:val="auto"/>
          <w:kern w:val="0"/>
          <w:sz w:val="24"/>
          <w:szCs w:val="24"/>
          <w:highlight w:val="none"/>
        </w:rPr>
        <w:t>不属于法定必须监理的工程，监理人的职权可以由发包人代表或发包人指定的其他人员行使。</w:t>
      </w:r>
    </w:p>
    <w:p w14:paraId="784E8EEC">
      <w:pPr>
        <w:pStyle w:val="7"/>
        <w:spacing w:before="120" w:after="120" w:line="360" w:lineRule="auto"/>
        <w:ind w:firstLine="480" w:firstLineChars="200"/>
        <w:rPr>
          <w:rFonts w:eastAsia="黑体"/>
          <w:b w:val="0"/>
          <w:color w:val="auto"/>
          <w:sz w:val="24"/>
          <w:szCs w:val="24"/>
          <w:highlight w:val="none"/>
        </w:rPr>
      </w:pPr>
      <w:bookmarkStart w:id="107" w:name="_Toc32835617"/>
      <w:r>
        <w:rPr>
          <w:rFonts w:eastAsia="黑体"/>
          <w:b w:val="0"/>
          <w:color w:val="auto"/>
          <w:sz w:val="24"/>
          <w:szCs w:val="24"/>
          <w:highlight w:val="none"/>
        </w:rPr>
        <w:t>2.3 发包人人员</w:t>
      </w:r>
      <w:bookmarkEnd w:id="107"/>
    </w:p>
    <w:p w14:paraId="2258007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395465C9">
      <w:pPr>
        <w:spacing w:line="360" w:lineRule="auto"/>
        <w:ind w:firstLine="640"/>
        <w:jc w:val="left"/>
        <w:rPr>
          <w:rFonts w:eastAsia="仿宋_GB2312"/>
          <w:color w:val="auto"/>
          <w:kern w:val="0"/>
          <w:sz w:val="24"/>
          <w:szCs w:val="24"/>
          <w:highlight w:val="none"/>
        </w:rPr>
      </w:pPr>
      <w:r>
        <w:rPr>
          <w:rFonts w:eastAsia="仿宋_GB2312"/>
          <w:color w:val="auto"/>
          <w:kern w:val="0"/>
          <w:sz w:val="24"/>
          <w:szCs w:val="24"/>
          <w:highlight w:val="none"/>
        </w:rPr>
        <w:t>发包人人员包括发包人代表及其他由发包人派驻施工现场的人员。</w:t>
      </w:r>
      <w:bookmarkEnd w:id="103"/>
      <w:bookmarkEnd w:id="104"/>
      <w:bookmarkEnd w:id="105"/>
    </w:p>
    <w:p w14:paraId="20A7F065">
      <w:pPr>
        <w:pStyle w:val="7"/>
        <w:spacing w:before="120" w:after="120" w:line="360" w:lineRule="auto"/>
        <w:ind w:firstLine="480" w:firstLineChars="200"/>
        <w:rPr>
          <w:rFonts w:eastAsia="黑体"/>
          <w:b w:val="0"/>
          <w:color w:val="auto"/>
          <w:sz w:val="24"/>
          <w:szCs w:val="24"/>
          <w:highlight w:val="none"/>
        </w:rPr>
      </w:pPr>
      <w:bookmarkStart w:id="108" w:name="_Toc32835618"/>
      <w:r>
        <w:rPr>
          <w:rFonts w:eastAsia="黑体"/>
          <w:b w:val="0"/>
          <w:color w:val="auto"/>
          <w:sz w:val="24"/>
          <w:szCs w:val="24"/>
          <w:highlight w:val="none"/>
        </w:rPr>
        <w:t>2</w:t>
      </w:r>
      <w:bookmarkStart w:id="109" w:name="_Toc296346541"/>
      <w:bookmarkStart w:id="110" w:name="_Toc337558741"/>
      <w:bookmarkStart w:id="111" w:name="_Toc296503040"/>
      <w:r>
        <w:rPr>
          <w:rFonts w:eastAsia="黑体"/>
          <w:b w:val="0"/>
          <w:color w:val="auto"/>
          <w:sz w:val="24"/>
          <w:szCs w:val="24"/>
          <w:highlight w:val="none"/>
        </w:rPr>
        <w:t>.4 施工现场、施工条件和基础资料的提供</w:t>
      </w:r>
      <w:bookmarkEnd w:id="108"/>
      <w:r>
        <w:rPr>
          <w:rFonts w:eastAsia="黑体"/>
          <w:b w:val="0"/>
          <w:color w:val="auto"/>
          <w:sz w:val="24"/>
          <w:szCs w:val="24"/>
          <w:highlight w:val="none"/>
        </w:rPr>
        <w:t xml:space="preserve"> </w:t>
      </w:r>
      <w:bookmarkEnd w:id="109"/>
      <w:bookmarkEnd w:id="110"/>
      <w:bookmarkEnd w:id="111"/>
      <w:r>
        <w:rPr>
          <w:rFonts w:eastAsia="黑体"/>
          <w:b w:val="0"/>
          <w:color w:val="auto"/>
          <w:sz w:val="24"/>
          <w:szCs w:val="24"/>
          <w:highlight w:val="none"/>
        </w:rPr>
        <w:t xml:space="preserve"> </w:t>
      </w:r>
    </w:p>
    <w:p w14:paraId="78CE273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2.4.1 提供施工现场</w:t>
      </w:r>
    </w:p>
    <w:p w14:paraId="3118CC1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w:t>
      </w:r>
      <w:bookmarkEnd w:id="100"/>
      <w:bookmarkEnd w:id="101"/>
      <w:r>
        <w:rPr>
          <w:rFonts w:eastAsia="仿宋_GB2312"/>
          <w:color w:val="auto"/>
          <w:kern w:val="0"/>
          <w:sz w:val="24"/>
          <w:szCs w:val="24"/>
          <w:highlight w:val="none"/>
        </w:rPr>
        <w:t>专用合同条款另有约定外，发包人应</w:t>
      </w:r>
      <w:r>
        <w:rPr>
          <w:rFonts w:hint="eastAsia" w:eastAsia="仿宋_GB2312"/>
          <w:color w:val="auto"/>
          <w:kern w:val="0"/>
          <w:sz w:val="24"/>
          <w:szCs w:val="24"/>
          <w:highlight w:val="none"/>
        </w:rPr>
        <w:t>最迟于</w:t>
      </w:r>
      <w:r>
        <w:rPr>
          <w:rFonts w:eastAsia="仿宋_GB2312"/>
          <w:color w:val="auto"/>
          <w:kern w:val="0"/>
          <w:sz w:val="24"/>
          <w:szCs w:val="24"/>
          <w:highlight w:val="none"/>
        </w:rPr>
        <w:t>开工日期7天前向承包人移交施工现场。</w:t>
      </w:r>
    </w:p>
    <w:p w14:paraId="02DFB25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2.4.2 提供施工条件</w:t>
      </w:r>
    </w:p>
    <w:p w14:paraId="2A0BBB5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除专用合同条款另有约定外，发包人应负责提供施工所需要的条件，包括：</w:t>
      </w:r>
    </w:p>
    <w:p w14:paraId="1DDDAE2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（1）将施工用水、电力、通讯线路等施工所必需的条件接至施工现场内；</w:t>
      </w:r>
    </w:p>
    <w:p w14:paraId="3642BB1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（2）保证向承包人提供正常施工所需要的进入施工现场的交通条件；</w:t>
      </w:r>
    </w:p>
    <w:p w14:paraId="10990CE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（3）协调处理施工现场周围地下管线和邻近建筑物、构筑物、古树名木的保护工作，并承担相关费用；</w:t>
      </w:r>
    </w:p>
    <w:p w14:paraId="039D359C">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（4）按照专用合同条款约定</w:t>
      </w:r>
      <w:r>
        <w:rPr>
          <w:rFonts w:hint="eastAsia" w:eastAsia="仿宋_GB2312"/>
          <w:color w:val="auto"/>
          <w:kern w:val="0"/>
          <w:sz w:val="24"/>
          <w:szCs w:val="24"/>
          <w:highlight w:val="none"/>
        </w:rPr>
        <w:t>应</w:t>
      </w:r>
      <w:r>
        <w:rPr>
          <w:rFonts w:eastAsia="仿宋_GB2312"/>
          <w:color w:val="auto"/>
          <w:kern w:val="0"/>
          <w:sz w:val="24"/>
          <w:szCs w:val="24"/>
          <w:highlight w:val="none"/>
        </w:rPr>
        <w:t>提供的其他设施和条件。</w:t>
      </w:r>
    </w:p>
    <w:p w14:paraId="3A3B09ED">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kern w:val="0"/>
          <w:sz w:val="24"/>
          <w:szCs w:val="24"/>
          <w:highlight w:val="none"/>
        </w:rPr>
        <w:t>2.4.3 提供基础资料</w:t>
      </w:r>
    </w:p>
    <w:p w14:paraId="0B2FF273">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55B1BA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267D3280">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2.4.4 逾期提供的责任</w:t>
      </w:r>
    </w:p>
    <w:p w14:paraId="47230711">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因发包人原因未能按合同约定及时向承包人提供施工现场、施工条件、基础资料的，由发包人承担由此增加的费用和（或）延误的工期。</w:t>
      </w:r>
    </w:p>
    <w:p w14:paraId="2F09A166">
      <w:pPr>
        <w:pStyle w:val="7"/>
        <w:spacing w:before="120" w:after="120" w:line="360" w:lineRule="auto"/>
        <w:ind w:firstLine="480" w:firstLineChars="200"/>
        <w:rPr>
          <w:rFonts w:eastAsia="黑体"/>
          <w:b w:val="0"/>
          <w:color w:val="auto"/>
          <w:sz w:val="24"/>
          <w:szCs w:val="24"/>
          <w:highlight w:val="none"/>
        </w:rPr>
      </w:pPr>
      <w:bookmarkStart w:id="112" w:name="_Toc32835619"/>
      <w:r>
        <w:rPr>
          <w:rFonts w:eastAsia="黑体"/>
          <w:b w:val="0"/>
          <w:color w:val="auto"/>
          <w:sz w:val="24"/>
          <w:szCs w:val="24"/>
          <w:highlight w:val="none"/>
        </w:rPr>
        <w:t>2</w:t>
      </w:r>
      <w:bookmarkStart w:id="113" w:name="_Toc337558745"/>
      <w:bookmarkStart w:id="114" w:name="_Toc296346543"/>
      <w:bookmarkStart w:id="115" w:name="_Toc296503042"/>
      <w:r>
        <w:rPr>
          <w:rFonts w:eastAsia="黑体"/>
          <w:b w:val="0"/>
          <w:color w:val="auto"/>
          <w:sz w:val="24"/>
          <w:szCs w:val="24"/>
          <w:highlight w:val="none"/>
        </w:rPr>
        <w:t>.5 资</w:t>
      </w:r>
      <w:bookmarkEnd w:id="113"/>
      <w:bookmarkEnd w:id="114"/>
      <w:bookmarkEnd w:id="115"/>
      <w:r>
        <w:rPr>
          <w:rFonts w:eastAsia="黑体"/>
          <w:b w:val="0"/>
          <w:color w:val="auto"/>
          <w:sz w:val="24"/>
          <w:szCs w:val="24"/>
          <w:highlight w:val="none"/>
        </w:rPr>
        <w:t>金来源证明及支付担保</w:t>
      </w:r>
      <w:bookmarkEnd w:id="112"/>
    </w:p>
    <w:p w14:paraId="64DA98F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02FC63F4">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07E63AAC">
      <w:pPr>
        <w:pStyle w:val="7"/>
        <w:spacing w:before="120" w:after="120" w:line="360" w:lineRule="auto"/>
        <w:ind w:firstLine="480" w:firstLineChars="200"/>
        <w:rPr>
          <w:rFonts w:eastAsia="黑体"/>
          <w:b w:val="0"/>
          <w:color w:val="auto"/>
          <w:sz w:val="24"/>
          <w:szCs w:val="24"/>
          <w:highlight w:val="none"/>
        </w:rPr>
      </w:pPr>
      <w:bookmarkStart w:id="116" w:name="_Toc32835620"/>
      <w:r>
        <w:rPr>
          <w:rFonts w:eastAsia="黑体"/>
          <w:b w:val="0"/>
          <w:color w:val="auto"/>
          <w:sz w:val="24"/>
          <w:szCs w:val="24"/>
          <w:highlight w:val="none"/>
        </w:rPr>
        <w:t>2.6 支付合同价款</w:t>
      </w:r>
      <w:bookmarkEnd w:id="116"/>
    </w:p>
    <w:p w14:paraId="3A2A92A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发包人应按合同约定向承包人及时支付合同价款。</w:t>
      </w:r>
    </w:p>
    <w:p w14:paraId="5852C0D1">
      <w:pPr>
        <w:pStyle w:val="7"/>
        <w:spacing w:before="120" w:after="120" w:line="360" w:lineRule="auto"/>
        <w:ind w:firstLine="480" w:firstLineChars="200"/>
        <w:rPr>
          <w:rFonts w:eastAsia="黑体"/>
          <w:b w:val="0"/>
          <w:color w:val="auto"/>
          <w:sz w:val="24"/>
          <w:szCs w:val="24"/>
          <w:highlight w:val="none"/>
        </w:rPr>
      </w:pPr>
      <w:bookmarkStart w:id="117" w:name="_Toc32835621"/>
      <w:r>
        <w:rPr>
          <w:rFonts w:eastAsia="黑体"/>
          <w:b w:val="0"/>
          <w:color w:val="auto"/>
          <w:sz w:val="24"/>
          <w:szCs w:val="24"/>
          <w:highlight w:val="none"/>
        </w:rPr>
        <w:t>2.7 组织竣工验收</w:t>
      </w:r>
      <w:bookmarkEnd w:id="117"/>
    </w:p>
    <w:p w14:paraId="54D2D11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发包人应按合同约定及时组织竣工验收。</w:t>
      </w:r>
    </w:p>
    <w:p w14:paraId="77A8ABFE">
      <w:pPr>
        <w:pStyle w:val="7"/>
        <w:spacing w:before="120" w:after="120" w:line="360" w:lineRule="auto"/>
        <w:ind w:firstLine="480" w:firstLineChars="200"/>
        <w:rPr>
          <w:rFonts w:eastAsia="黑体"/>
          <w:b w:val="0"/>
          <w:color w:val="auto"/>
          <w:sz w:val="24"/>
          <w:szCs w:val="24"/>
          <w:highlight w:val="none"/>
        </w:rPr>
      </w:pPr>
      <w:bookmarkStart w:id="118" w:name="_Toc32835622"/>
      <w:r>
        <w:rPr>
          <w:rFonts w:eastAsia="黑体"/>
          <w:b w:val="0"/>
          <w:color w:val="auto"/>
          <w:sz w:val="24"/>
          <w:szCs w:val="24"/>
          <w:highlight w:val="none"/>
        </w:rPr>
        <w:t>2.8 现场统一管理协议</w:t>
      </w:r>
      <w:bookmarkEnd w:id="118"/>
    </w:p>
    <w:p w14:paraId="0DDAD98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发包人应与承包人、</w:t>
      </w:r>
      <w:r>
        <w:rPr>
          <w:rFonts w:hint="eastAsia" w:eastAsia="仿宋_GB2312"/>
          <w:color w:val="auto"/>
          <w:kern w:val="0"/>
          <w:sz w:val="24"/>
          <w:szCs w:val="24"/>
          <w:highlight w:val="none"/>
        </w:rPr>
        <w:t>平行发包工程</w:t>
      </w:r>
      <w:r>
        <w:rPr>
          <w:rFonts w:eastAsia="仿宋_GB2312"/>
          <w:color w:val="auto"/>
          <w:kern w:val="0"/>
          <w:sz w:val="24"/>
          <w:szCs w:val="24"/>
          <w:highlight w:val="none"/>
        </w:rPr>
        <w:t>承包人签订施工现场统一管理协议，明确各方的权利义务。施工现场统一管理协议作为专用合同条款的附件。</w:t>
      </w:r>
    </w:p>
    <w:p w14:paraId="0F7E5DB5">
      <w:pPr>
        <w:pStyle w:val="6"/>
        <w:spacing w:before="120" w:after="120" w:line="360" w:lineRule="auto"/>
        <w:rPr>
          <w:rFonts w:ascii="Times New Roman" w:hAnsi="Times New Roman" w:eastAsia="黑体"/>
          <w:b w:val="0"/>
          <w:color w:val="auto"/>
          <w:sz w:val="24"/>
          <w:szCs w:val="24"/>
          <w:highlight w:val="none"/>
        </w:rPr>
      </w:pPr>
      <w:bookmarkStart w:id="119" w:name="_Toc32835623"/>
      <w:r>
        <w:rPr>
          <w:rFonts w:ascii="Times New Roman" w:hAnsi="Times New Roman" w:eastAsia="黑体"/>
          <w:b w:val="0"/>
          <w:color w:val="auto"/>
          <w:sz w:val="24"/>
          <w:szCs w:val="24"/>
          <w:highlight w:val="none"/>
        </w:rPr>
        <w:t>3</w:t>
      </w:r>
      <w:bookmarkStart w:id="120" w:name="_Toc296346546"/>
      <w:bookmarkStart w:id="121" w:name="_Toc296503045"/>
      <w:bookmarkStart w:id="122" w:name="_Toc337558746"/>
      <w:r>
        <w:rPr>
          <w:rFonts w:ascii="Times New Roman" w:hAnsi="Times New Roman" w:eastAsia="黑体"/>
          <w:b w:val="0"/>
          <w:color w:val="auto"/>
          <w:sz w:val="24"/>
          <w:szCs w:val="24"/>
          <w:highlight w:val="none"/>
        </w:rPr>
        <w:t>. 承包人</w:t>
      </w:r>
      <w:bookmarkEnd w:id="119"/>
    </w:p>
    <w:bookmarkEnd w:id="120"/>
    <w:bookmarkEnd w:id="121"/>
    <w:bookmarkEnd w:id="122"/>
    <w:p w14:paraId="573E0F2F">
      <w:pPr>
        <w:pStyle w:val="7"/>
        <w:spacing w:before="120" w:after="120" w:line="360" w:lineRule="auto"/>
        <w:ind w:firstLine="480" w:firstLineChars="200"/>
        <w:rPr>
          <w:rFonts w:eastAsia="黑体"/>
          <w:b w:val="0"/>
          <w:color w:val="auto"/>
          <w:sz w:val="24"/>
          <w:szCs w:val="24"/>
          <w:highlight w:val="none"/>
        </w:rPr>
      </w:pPr>
      <w:bookmarkStart w:id="123" w:name="_Toc32835624"/>
      <w:r>
        <w:rPr>
          <w:rFonts w:eastAsia="黑体"/>
          <w:b w:val="0"/>
          <w:color w:val="auto"/>
          <w:sz w:val="24"/>
          <w:szCs w:val="24"/>
          <w:highlight w:val="none"/>
        </w:rPr>
        <w:t>3</w:t>
      </w:r>
      <w:bookmarkStart w:id="124" w:name="_Toc296503046"/>
      <w:bookmarkStart w:id="125" w:name="_Toc296346547"/>
      <w:bookmarkStart w:id="126" w:name="_Toc337558747"/>
      <w:r>
        <w:rPr>
          <w:rFonts w:eastAsia="黑体"/>
          <w:b w:val="0"/>
          <w:color w:val="auto"/>
          <w:sz w:val="24"/>
          <w:szCs w:val="24"/>
          <w:highlight w:val="none"/>
        </w:rPr>
        <w:t>.1 承包人的一般义务</w:t>
      </w:r>
      <w:bookmarkEnd w:id="123"/>
    </w:p>
    <w:bookmarkEnd w:id="124"/>
    <w:bookmarkEnd w:id="125"/>
    <w:bookmarkEnd w:id="126"/>
    <w:p w14:paraId="642DF18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承包人在履行合同过程中应遵守法律和工程建设标准规范，并履行以下义务：</w:t>
      </w:r>
    </w:p>
    <w:p w14:paraId="435B97C6">
      <w:pPr>
        <w:numPr>
          <w:ilvl w:val="0"/>
          <w:numId w:val="3"/>
        </w:num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办理法律规定</w:t>
      </w:r>
      <w:r>
        <w:rPr>
          <w:rFonts w:hint="eastAsia" w:eastAsia="仿宋_GB2312"/>
          <w:color w:val="auto"/>
          <w:kern w:val="0"/>
          <w:sz w:val="24"/>
          <w:szCs w:val="24"/>
          <w:highlight w:val="none"/>
        </w:rPr>
        <w:t>应</w:t>
      </w:r>
      <w:r>
        <w:rPr>
          <w:rFonts w:eastAsia="仿宋_GB2312"/>
          <w:color w:val="auto"/>
          <w:kern w:val="0"/>
          <w:sz w:val="24"/>
          <w:szCs w:val="24"/>
          <w:highlight w:val="none"/>
        </w:rPr>
        <w:t>由承包人办理的许可和批准，并将</w:t>
      </w:r>
      <w:r>
        <w:rPr>
          <w:rFonts w:hint="eastAsia" w:eastAsia="仿宋_GB2312"/>
          <w:color w:val="auto"/>
          <w:kern w:val="0"/>
          <w:sz w:val="24"/>
          <w:szCs w:val="24"/>
          <w:highlight w:val="none"/>
        </w:rPr>
        <w:t>办理</w:t>
      </w:r>
      <w:r>
        <w:rPr>
          <w:rFonts w:eastAsia="仿宋_GB2312"/>
          <w:color w:val="auto"/>
          <w:kern w:val="0"/>
          <w:sz w:val="24"/>
          <w:szCs w:val="24"/>
          <w:highlight w:val="none"/>
        </w:rPr>
        <w:t>结果书面报送发包人留存；</w:t>
      </w:r>
    </w:p>
    <w:p w14:paraId="17DD83E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（2）按法律规定和合同约定完成工程，并在保修期内承担保修义务；</w:t>
      </w:r>
    </w:p>
    <w:p w14:paraId="79A9DC4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（3）按法律规定和合同约定采取施工安全和环境保护措施，办理工伤保险，确保工程及人员、材料、设备和设施的安全；</w:t>
      </w:r>
    </w:p>
    <w:p w14:paraId="0E1237E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（4）按合同约定的工作内容和施工进度要求，编制施工组织设计和施工措施计划，并对所有施工作业和施工方法的完备性和安全可靠性负责；</w:t>
      </w:r>
    </w:p>
    <w:p w14:paraId="04EE9BA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8472A2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（6）按照第6.3款</w:t>
      </w:r>
      <w:r>
        <w:rPr>
          <w:rFonts w:hint="eastAsia" w:eastAsia="仿宋_GB2312"/>
          <w:color w:val="auto"/>
          <w:kern w:val="0"/>
          <w:sz w:val="24"/>
          <w:szCs w:val="24"/>
          <w:highlight w:val="none"/>
        </w:rPr>
        <w:t>〔</w:t>
      </w:r>
      <w:r>
        <w:rPr>
          <w:rFonts w:eastAsia="仿宋_GB2312"/>
          <w:color w:val="auto"/>
          <w:kern w:val="0"/>
          <w:sz w:val="24"/>
          <w:szCs w:val="24"/>
          <w:highlight w:val="none"/>
        </w:rPr>
        <w:t>环境保护</w:t>
      </w:r>
      <w:r>
        <w:rPr>
          <w:rFonts w:hint="eastAsia" w:eastAsia="仿宋_GB2312"/>
          <w:color w:val="auto"/>
          <w:kern w:val="0"/>
          <w:sz w:val="24"/>
          <w:szCs w:val="24"/>
          <w:highlight w:val="none"/>
        </w:rPr>
        <w:t>〕</w:t>
      </w:r>
      <w:r>
        <w:rPr>
          <w:rFonts w:eastAsia="仿宋_GB2312"/>
          <w:color w:val="auto"/>
          <w:kern w:val="0"/>
          <w:sz w:val="24"/>
          <w:szCs w:val="24"/>
          <w:highlight w:val="none"/>
        </w:rPr>
        <w:t>约定负责施工场地及其周边环境与生态的保护工作；</w:t>
      </w:r>
    </w:p>
    <w:p w14:paraId="5AA59D5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（7）按第6.1款</w:t>
      </w:r>
      <w:r>
        <w:rPr>
          <w:rFonts w:hint="eastAsia" w:eastAsia="仿宋_GB2312"/>
          <w:color w:val="auto"/>
          <w:kern w:val="0"/>
          <w:sz w:val="24"/>
          <w:szCs w:val="24"/>
          <w:highlight w:val="none"/>
        </w:rPr>
        <w:t>〔</w:t>
      </w:r>
      <w:r>
        <w:rPr>
          <w:rFonts w:eastAsia="仿宋_GB2312"/>
          <w:color w:val="auto"/>
          <w:kern w:val="0"/>
          <w:sz w:val="24"/>
          <w:szCs w:val="24"/>
          <w:highlight w:val="none"/>
        </w:rPr>
        <w:t>安全文明施工</w:t>
      </w:r>
      <w:r>
        <w:rPr>
          <w:rFonts w:hint="eastAsia" w:eastAsia="仿宋_GB2312"/>
          <w:color w:val="auto"/>
          <w:kern w:val="0"/>
          <w:sz w:val="24"/>
          <w:szCs w:val="24"/>
          <w:highlight w:val="none"/>
        </w:rPr>
        <w:t>〕</w:t>
      </w:r>
      <w:r>
        <w:rPr>
          <w:rFonts w:eastAsia="仿宋_GB2312"/>
          <w:color w:val="auto"/>
          <w:kern w:val="0"/>
          <w:sz w:val="24"/>
          <w:szCs w:val="24"/>
          <w:highlight w:val="none"/>
        </w:rPr>
        <w:t>约定采取施工安全措施，确保工程及其人员、材料、设备和设施的安全，防止因工程施工造成的人身伤害和财产损失；</w:t>
      </w:r>
    </w:p>
    <w:p w14:paraId="5707CFC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w:t>
      </w:r>
      <w:r>
        <w:rPr>
          <w:rFonts w:hint="eastAsia" w:eastAsia="仿宋_GB2312"/>
          <w:color w:val="auto"/>
          <w:kern w:val="0"/>
          <w:sz w:val="24"/>
          <w:szCs w:val="24"/>
          <w:highlight w:val="none"/>
        </w:rPr>
        <w:t>将</w:t>
      </w:r>
      <w:r>
        <w:rPr>
          <w:rFonts w:eastAsia="仿宋_GB2312"/>
          <w:color w:val="auto"/>
          <w:kern w:val="0"/>
          <w:sz w:val="24"/>
          <w:szCs w:val="24"/>
          <w:highlight w:val="none"/>
        </w:rPr>
        <w:t>发包人按合同约定支付的各项价款专用于合同工程，且应及时支付其雇用人员工资，并及时向分包人支付合同价款；</w:t>
      </w:r>
    </w:p>
    <w:p w14:paraId="3B1E40B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（9）按照法律规定和合同约定编制竣工资料，完成竣工资料立卷及归档，并按专用合同条款约定的竣工资料的套数、内容、时间等要求移交发包人；</w:t>
      </w:r>
    </w:p>
    <w:p w14:paraId="222C614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（10）应履行的其他义务。</w:t>
      </w:r>
    </w:p>
    <w:p w14:paraId="724C8CFD">
      <w:pPr>
        <w:pStyle w:val="7"/>
        <w:spacing w:before="120" w:after="120" w:line="360" w:lineRule="auto"/>
        <w:ind w:firstLine="480" w:firstLineChars="200"/>
        <w:rPr>
          <w:rFonts w:eastAsia="黑体"/>
          <w:b w:val="0"/>
          <w:color w:val="auto"/>
          <w:sz w:val="24"/>
          <w:szCs w:val="24"/>
          <w:highlight w:val="none"/>
        </w:rPr>
      </w:pPr>
      <w:bookmarkStart w:id="127" w:name="_Toc32835625"/>
      <w:r>
        <w:rPr>
          <w:rFonts w:eastAsia="黑体"/>
          <w:b w:val="0"/>
          <w:color w:val="auto"/>
          <w:sz w:val="24"/>
          <w:szCs w:val="24"/>
          <w:highlight w:val="none"/>
        </w:rPr>
        <w:t>3</w:t>
      </w:r>
      <w:bookmarkStart w:id="128" w:name="_Toc296346548"/>
      <w:bookmarkStart w:id="129" w:name="_Toc337558748"/>
      <w:bookmarkStart w:id="130" w:name="_Toc296503047"/>
      <w:r>
        <w:rPr>
          <w:rFonts w:eastAsia="黑体"/>
          <w:b w:val="0"/>
          <w:color w:val="auto"/>
          <w:sz w:val="24"/>
          <w:szCs w:val="24"/>
          <w:highlight w:val="none"/>
        </w:rPr>
        <w:t>.2 项目经理</w:t>
      </w:r>
      <w:bookmarkEnd w:id="127"/>
    </w:p>
    <w:bookmarkEnd w:id="128"/>
    <w:bookmarkEnd w:id="129"/>
    <w:bookmarkEnd w:id="130"/>
    <w:p w14:paraId="1D79588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819E70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C1C5A0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承包人违反上述约定的，应按照专用合同条款的约定，承担违约责任。</w:t>
      </w:r>
    </w:p>
    <w:p w14:paraId="2EEF9C9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3.2.2 项目经理按合同约定组织工程实施。在紧急情况下</w:t>
      </w:r>
      <w:r>
        <w:rPr>
          <w:rFonts w:hint="eastAsia" w:eastAsia="仿宋_GB2312"/>
          <w:color w:val="auto"/>
          <w:kern w:val="0"/>
          <w:sz w:val="24"/>
          <w:szCs w:val="24"/>
          <w:highlight w:val="none"/>
        </w:rPr>
        <w:t>为确保施工安全和人员安全</w:t>
      </w:r>
      <w:r>
        <w:rPr>
          <w:rFonts w:eastAsia="仿宋_GB2312"/>
          <w:color w:val="auto"/>
          <w:kern w:val="0"/>
          <w:sz w:val="24"/>
          <w:szCs w:val="24"/>
          <w:highlight w:val="none"/>
        </w:rPr>
        <w:t>，</w:t>
      </w:r>
      <w:r>
        <w:rPr>
          <w:rFonts w:hint="eastAsia" w:eastAsia="仿宋_GB2312"/>
          <w:color w:val="auto"/>
          <w:kern w:val="0"/>
          <w:sz w:val="24"/>
          <w:szCs w:val="24"/>
          <w:highlight w:val="none"/>
        </w:rPr>
        <w:t>在</w:t>
      </w:r>
      <w:r>
        <w:rPr>
          <w:rFonts w:eastAsia="仿宋_GB2312"/>
          <w:color w:val="auto"/>
          <w:kern w:val="0"/>
          <w:sz w:val="24"/>
          <w:szCs w:val="24"/>
          <w:highlight w:val="none"/>
        </w:rPr>
        <w:t>无法与发包人代表和总监理工程师</w:t>
      </w:r>
      <w:r>
        <w:rPr>
          <w:rFonts w:hint="eastAsia" w:eastAsia="仿宋_GB2312"/>
          <w:color w:val="auto"/>
          <w:kern w:val="0"/>
          <w:sz w:val="24"/>
          <w:szCs w:val="24"/>
          <w:highlight w:val="none"/>
        </w:rPr>
        <w:t>及时</w:t>
      </w:r>
      <w:r>
        <w:rPr>
          <w:rFonts w:eastAsia="仿宋_GB2312"/>
          <w:color w:val="auto"/>
          <w:kern w:val="0"/>
          <w:sz w:val="24"/>
          <w:szCs w:val="24"/>
          <w:highlight w:val="none"/>
        </w:rPr>
        <w:t>取得联系时，项目经理有权采取必要的措施保证与工程有关的人身、财产和工程的安全，但应在48小时内向发包人代表和总监理工程师提交书面报告。</w:t>
      </w:r>
    </w:p>
    <w:p w14:paraId="3531B70C">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226124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eastAsia="仿宋_GB2312"/>
          <w:color w:val="auto"/>
          <w:kern w:val="0"/>
          <w:sz w:val="24"/>
          <w:szCs w:val="24"/>
          <w:highlight w:val="none"/>
        </w:rPr>
        <w:t>继</w:t>
      </w:r>
      <w:r>
        <w:rPr>
          <w:rFonts w:eastAsia="仿宋_GB2312"/>
          <w:color w:val="auto"/>
          <w:kern w:val="0"/>
          <w:sz w:val="24"/>
          <w:szCs w:val="24"/>
          <w:highlight w:val="none"/>
        </w:rPr>
        <w:t>任项目经理继续履行第3.2.1项约定的职责。承包人无正当理由拒绝更换项目经理的，应按照专用合同条款的约定承担违约责任。</w:t>
      </w:r>
    </w:p>
    <w:p w14:paraId="65C0891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3C22C9F2">
      <w:pPr>
        <w:pStyle w:val="7"/>
        <w:spacing w:before="120" w:after="120" w:line="360" w:lineRule="auto"/>
        <w:ind w:firstLine="480" w:firstLineChars="200"/>
        <w:rPr>
          <w:rFonts w:eastAsia="黑体"/>
          <w:b w:val="0"/>
          <w:color w:val="auto"/>
          <w:sz w:val="24"/>
          <w:szCs w:val="24"/>
          <w:highlight w:val="none"/>
        </w:rPr>
      </w:pPr>
      <w:bookmarkStart w:id="131" w:name="_Toc32835626"/>
      <w:r>
        <w:rPr>
          <w:rFonts w:eastAsia="黑体"/>
          <w:b w:val="0"/>
          <w:color w:val="auto"/>
          <w:sz w:val="24"/>
          <w:szCs w:val="24"/>
          <w:highlight w:val="none"/>
        </w:rPr>
        <w:t>3</w:t>
      </w:r>
      <w:bookmarkStart w:id="132" w:name="_Toc296346549"/>
      <w:bookmarkStart w:id="133" w:name="_Toc296503048"/>
      <w:bookmarkStart w:id="134" w:name="_Toc337558749"/>
      <w:r>
        <w:rPr>
          <w:rFonts w:eastAsia="黑体"/>
          <w:b w:val="0"/>
          <w:color w:val="auto"/>
          <w:sz w:val="24"/>
          <w:szCs w:val="24"/>
          <w:highlight w:val="none"/>
        </w:rPr>
        <w:t xml:space="preserve">.3 </w:t>
      </w:r>
      <w:bookmarkEnd w:id="132"/>
      <w:bookmarkEnd w:id="133"/>
      <w:r>
        <w:rPr>
          <w:rFonts w:eastAsia="黑体"/>
          <w:b w:val="0"/>
          <w:color w:val="auto"/>
          <w:sz w:val="24"/>
          <w:szCs w:val="24"/>
          <w:highlight w:val="none"/>
        </w:rPr>
        <w:t>承包人人员</w:t>
      </w:r>
      <w:bookmarkEnd w:id="131"/>
    </w:p>
    <w:bookmarkEnd w:id="134"/>
    <w:p w14:paraId="183F88D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eastAsia="仿宋_GB2312"/>
          <w:color w:val="auto"/>
          <w:kern w:val="0"/>
          <w:sz w:val="24"/>
          <w:szCs w:val="24"/>
          <w:highlight w:val="none"/>
        </w:rPr>
        <w:t>和</w:t>
      </w:r>
      <w:r>
        <w:rPr>
          <w:rFonts w:eastAsia="仿宋_GB2312"/>
          <w:color w:val="auto"/>
          <w:kern w:val="0"/>
          <w:sz w:val="24"/>
          <w:szCs w:val="24"/>
          <w:highlight w:val="none"/>
        </w:rPr>
        <w:t>缴纳社会保险的有效证明。</w:t>
      </w:r>
    </w:p>
    <w:p w14:paraId="515EB19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3.3.2 承包人派驻到施工现场的主要施工管理人员应相对稳定。施工过程中</w:t>
      </w:r>
      <w:r>
        <w:rPr>
          <w:rFonts w:hint="eastAsia" w:eastAsia="仿宋_GB2312"/>
          <w:color w:val="auto"/>
          <w:kern w:val="0"/>
          <w:sz w:val="24"/>
          <w:szCs w:val="24"/>
          <w:highlight w:val="none"/>
        </w:rPr>
        <w:t>如有变动</w:t>
      </w:r>
      <w:r>
        <w:rPr>
          <w:rFonts w:eastAsia="仿宋_GB2312"/>
          <w:color w:val="auto"/>
          <w:kern w:val="0"/>
          <w:sz w:val="24"/>
          <w:szCs w:val="24"/>
          <w:highlight w:val="none"/>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4BE2C63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特殊工种作业人员均应持有相应的资格证明，监理人可以随时检查。</w:t>
      </w:r>
    </w:p>
    <w:p w14:paraId="57CE0ADC">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3.3.3 发包人对于承包人主要施工管理人员</w:t>
      </w:r>
      <w:r>
        <w:rPr>
          <w:rFonts w:hint="eastAsia" w:eastAsia="仿宋_GB2312"/>
          <w:color w:val="auto"/>
          <w:kern w:val="0"/>
          <w:sz w:val="24"/>
          <w:szCs w:val="24"/>
          <w:highlight w:val="none"/>
        </w:rPr>
        <w:t>的资格或能力</w:t>
      </w:r>
      <w:r>
        <w:rPr>
          <w:rFonts w:eastAsia="仿宋_GB2312"/>
          <w:color w:val="auto"/>
          <w:kern w:val="0"/>
          <w:sz w:val="24"/>
          <w:szCs w:val="24"/>
          <w:highlight w:val="non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5541C7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85D7A3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3.3.5 承包人擅自更换主要施工管理人员，或前述人员未经监理人或发包人同意擅自离开施工现场的，应按照专用合同条款约定承担违约责任。</w:t>
      </w:r>
    </w:p>
    <w:p w14:paraId="1A8A7D8F">
      <w:pPr>
        <w:pStyle w:val="7"/>
        <w:spacing w:before="120" w:after="120" w:line="360" w:lineRule="auto"/>
        <w:ind w:firstLine="480" w:firstLineChars="200"/>
        <w:rPr>
          <w:rFonts w:eastAsia="黑体"/>
          <w:b w:val="0"/>
          <w:color w:val="auto"/>
          <w:sz w:val="24"/>
          <w:szCs w:val="24"/>
          <w:highlight w:val="none"/>
        </w:rPr>
      </w:pPr>
      <w:bookmarkStart w:id="135" w:name="_Toc32835627"/>
      <w:r>
        <w:rPr>
          <w:rFonts w:eastAsia="黑体"/>
          <w:b w:val="0"/>
          <w:color w:val="auto"/>
          <w:sz w:val="24"/>
          <w:szCs w:val="24"/>
          <w:highlight w:val="none"/>
        </w:rPr>
        <w:t>3</w:t>
      </w:r>
      <w:bookmarkStart w:id="136" w:name="_Toc337558750"/>
      <w:bookmarkStart w:id="137" w:name="_Toc296503050"/>
      <w:bookmarkStart w:id="138" w:name="_Toc296346551"/>
      <w:r>
        <w:rPr>
          <w:rFonts w:eastAsia="黑体"/>
          <w:b w:val="0"/>
          <w:color w:val="auto"/>
          <w:sz w:val="24"/>
          <w:szCs w:val="24"/>
          <w:highlight w:val="none"/>
        </w:rPr>
        <w:t>.4 承包人现场查勘</w:t>
      </w:r>
      <w:bookmarkEnd w:id="135"/>
    </w:p>
    <w:bookmarkEnd w:id="136"/>
    <w:bookmarkEnd w:id="137"/>
    <w:bookmarkEnd w:id="138"/>
    <w:p w14:paraId="266C9FD2">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kern w:val="0"/>
          <w:sz w:val="24"/>
          <w:szCs w:val="24"/>
          <w:highlight w:val="none"/>
        </w:rPr>
        <w:t>承包人应对基于发包人按照第2.4.3项</w:t>
      </w:r>
      <w:r>
        <w:rPr>
          <w:rFonts w:hint="eastAsia" w:eastAsia="仿宋_GB2312"/>
          <w:color w:val="auto"/>
          <w:kern w:val="0"/>
          <w:sz w:val="24"/>
          <w:szCs w:val="24"/>
          <w:highlight w:val="none"/>
        </w:rPr>
        <w:t>〔</w:t>
      </w:r>
      <w:r>
        <w:rPr>
          <w:rFonts w:eastAsia="仿宋_GB2312"/>
          <w:color w:val="auto"/>
          <w:kern w:val="0"/>
          <w:sz w:val="24"/>
          <w:szCs w:val="24"/>
          <w:highlight w:val="none"/>
        </w:rPr>
        <w:t>提供基础资料</w:t>
      </w:r>
      <w:r>
        <w:rPr>
          <w:rFonts w:hint="eastAsia" w:eastAsia="仿宋_GB2312"/>
          <w:color w:val="auto"/>
          <w:kern w:val="0"/>
          <w:sz w:val="24"/>
          <w:szCs w:val="24"/>
          <w:highlight w:val="none"/>
        </w:rPr>
        <w:t>〕</w:t>
      </w:r>
      <w:r>
        <w:rPr>
          <w:rFonts w:eastAsia="仿宋_GB2312"/>
          <w:color w:val="auto"/>
          <w:kern w:val="0"/>
          <w:sz w:val="24"/>
          <w:szCs w:val="24"/>
          <w:highlight w:val="none"/>
        </w:rPr>
        <w:t>提交的基础资料所做出的解释和推断负责。</w:t>
      </w:r>
    </w:p>
    <w:p w14:paraId="579752C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23C6D57">
      <w:pPr>
        <w:pStyle w:val="7"/>
        <w:spacing w:before="120" w:after="120" w:line="360" w:lineRule="auto"/>
        <w:ind w:firstLine="480" w:firstLineChars="200"/>
        <w:rPr>
          <w:rFonts w:hint="eastAsia" w:eastAsia="黑体"/>
          <w:b w:val="0"/>
          <w:color w:val="auto"/>
          <w:sz w:val="24"/>
          <w:szCs w:val="24"/>
          <w:highlight w:val="none"/>
        </w:rPr>
      </w:pPr>
      <w:bookmarkStart w:id="139" w:name="_Toc32835628"/>
      <w:r>
        <w:rPr>
          <w:rFonts w:eastAsia="黑体"/>
          <w:b w:val="0"/>
          <w:color w:val="auto"/>
          <w:sz w:val="24"/>
          <w:szCs w:val="24"/>
          <w:highlight w:val="none"/>
        </w:rPr>
        <w:t>3</w:t>
      </w:r>
      <w:bookmarkStart w:id="140" w:name="_Toc296503051"/>
      <w:bookmarkStart w:id="141" w:name="_Toc337558751"/>
      <w:bookmarkStart w:id="142" w:name="_Toc296346552"/>
      <w:r>
        <w:rPr>
          <w:rFonts w:eastAsia="黑体"/>
          <w:b w:val="0"/>
          <w:color w:val="auto"/>
          <w:sz w:val="24"/>
          <w:szCs w:val="24"/>
          <w:highlight w:val="none"/>
        </w:rPr>
        <w:t>.5 分包</w:t>
      </w:r>
      <w:bookmarkEnd w:id="139"/>
    </w:p>
    <w:bookmarkEnd w:id="140"/>
    <w:bookmarkEnd w:id="141"/>
    <w:bookmarkEnd w:id="142"/>
    <w:p w14:paraId="7E510F9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3.5.1 分包的一般约定</w:t>
      </w:r>
    </w:p>
    <w:p w14:paraId="0A817201">
      <w:pPr>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4899158">
      <w:pPr>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承包人不得以劳务分包的名义转包或违法分包工程。</w:t>
      </w:r>
    </w:p>
    <w:p w14:paraId="212C925A">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3.5.2 分包的确定</w:t>
      </w:r>
    </w:p>
    <w:p w14:paraId="30AED08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承包人应按专用合同条款的约定进行分包，确定分包人。已标价工程量清单或预算书中给定暂估价的专业工程，按照第10.7款</w:t>
      </w:r>
      <w:r>
        <w:rPr>
          <w:rFonts w:hint="eastAsia" w:eastAsia="仿宋_GB2312"/>
          <w:color w:val="auto"/>
          <w:kern w:val="0"/>
          <w:sz w:val="24"/>
          <w:szCs w:val="24"/>
          <w:highlight w:val="none"/>
        </w:rPr>
        <w:t>〔</w:t>
      </w:r>
      <w:r>
        <w:rPr>
          <w:rFonts w:eastAsia="仿宋_GB2312"/>
          <w:color w:val="auto"/>
          <w:kern w:val="0"/>
          <w:sz w:val="24"/>
          <w:szCs w:val="24"/>
          <w:highlight w:val="none"/>
        </w:rPr>
        <w:t>暂估价</w:t>
      </w:r>
      <w:r>
        <w:rPr>
          <w:rFonts w:hint="eastAsia" w:eastAsia="仿宋_GB2312"/>
          <w:color w:val="auto"/>
          <w:kern w:val="0"/>
          <w:sz w:val="24"/>
          <w:szCs w:val="24"/>
          <w:highlight w:val="none"/>
        </w:rPr>
        <w:t>〕</w:t>
      </w:r>
      <w:r>
        <w:rPr>
          <w:rFonts w:eastAsia="仿宋_GB2312"/>
          <w:color w:val="auto"/>
          <w:kern w:val="0"/>
          <w:sz w:val="24"/>
          <w:szCs w:val="24"/>
          <w:highlight w:val="none"/>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45F62B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3.5.3 分包管理</w:t>
      </w:r>
    </w:p>
    <w:p w14:paraId="45AA4BA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承包人应向监理人提交分包人的主要施工管理人员表，并对分包人的施工人员进行实名制管理，包括但不限于进出场管理、登记造册以及各种证照的办理。</w:t>
      </w:r>
    </w:p>
    <w:p w14:paraId="44DE169E">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3.5.4 分包合同价款</w:t>
      </w:r>
    </w:p>
    <w:p w14:paraId="06AB1D5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（1）除本项第（2）目约定的情况或专用合同条款另有约定外，分包合同价款由承包人与分包人结算，未经承包人同意，发包人不得向分包人支付分包工程价款；</w:t>
      </w:r>
    </w:p>
    <w:p w14:paraId="597FE3A3">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（2）生效法律文书要求发包人向分包人支付分包合同价款的，发包人有权从应付承包人工程款中扣除该部分款项。</w:t>
      </w:r>
    </w:p>
    <w:p w14:paraId="3DDD873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3.5.5 分包合同权益的转让</w:t>
      </w:r>
    </w:p>
    <w:p w14:paraId="43E2C854">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76C840CE">
      <w:pPr>
        <w:pStyle w:val="7"/>
        <w:spacing w:before="120" w:after="120" w:line="360" w:lineRule="auto"/>
        <w:ind w:firstLine="480" w:firstLineChars="200"/>
        <w:rPr>
          <w:rFonts w:eastAsia="黑体"/>
          <w:b w:val="0"/>
          <w:color w:val="auto"/>
          <w:sz w:val="24"/>
          <w:szCs w:val="24"/>
          <w:highlight w:val="none"/>
        </w:rPr>
      </w:pPr>
      <w:bookmarkStart w:id="143" w:name="_Toc32835629"/>
      <w:r>
        <w:rPr>
          <w:rFonts w:eastAsia="黑体"/>
          <w:b w:val="0"/>
          <w:color w:val="auto"/>
          <w:sz w:val="24"/>
          <w:szCs w:val="24"/>
          <w:highlight w:val="none"/>
        </w:rPr>
        <w:t>3.6 工程照管与成品、半成品保护</w:t>
      </w:r>
      <w:bookmarkEnd w:id="143"/>
    </w:p>
    <w:p w14:paraId="22E1013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（1）除专用合同条款另有约定外，自发包人向承包人移交施工现场之日起，承包人应负责照管工程及工程相关的材料、工程设备，直到颁发工程接收证书之日止。</w:t>
      </w:r>
    </w:p>
    <w:p w14:paraId="31D6640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w:t>
      </w:r>
      <w:r>
        <w:rPr>
          <w:rFonts w:hint="eastAsia" w:eastAsia="仿宋_GB2312"/>
          <w:color w:val="auto"/>
          <w:kern w:val="0"/>
          <w:sz w:val="24"/>
          <w:szCs w:val="24"/>
          <w:highlight w:val="none"/>
        </w:rPr>
        <w:t>2</w:t>
      </w:r>
      <w:r>
        <w:rPr>
          <w:rFonts w:eastAsia="仿宋_GB2312"/>
          <w:color w:val="auto"/>
          <w:kern w:val="0"/>
          <w:sz w:val="24"/>
          <w:szCs w:val="24"/>
          <w:highlight w:val="none"/>
        </w:rPr>
        <w:t>）在承包人负责照管期间，因承包人原因造成工程、材料、工程设备损坏的，由承包人负责修复或更换，并承担由此增加的费用和（或）延误的工期。</w:t>
      </w:r>
    </w:p>
    <w:p w14:paraId="0A018B33">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w:t>
      </w:r>
      <w:r>
        <w:rPr>
          <w:rFonts w:hint="eastAsia" w:eastAsia="仿宋_GB2312"/>
          <w:color w:val="auto"/>
          <w:kern w:val="0"/>
          <w:sz w:val="24"/>
          <w:szCs w:val="24"/>
          <w:highlight w:val="none"/>
        </w:rPr>
        <w:t>3</w:t>
      </w:r>
      <w:r>
        <w:rPr>
          <w:rFonts w:eastAsia="仿宋_GB2312"/>
          <w:color w:val="auto"/>
          <w:kern w:val="0"/>
          <w:sz w:val="24"/>
          <w:szCs w:val="24"/>
          <w:highlight w:val="none"/>
        </w:rPr>
        <w:t>）对合同内分期完成的成品和半成品，在工程接收证书颁发前，由承包人承担保护责任。因承包人原因造成成品或半成品损坏的，由承包人负责修复或更换，并承担由此增加的费用和（或）延误的工期。</w:t>
      </w:r>
    </w:p>
    <w:p w14:paraId="707BC063">
      <w:pPr>
        <w:pStyle w:val="7"/>
        <w:spacing w:before="120" w:after="120" w:line="360" w:lineRule="auto"/>
        <w:ind w:firstLine="480" w:firstLineChars="200"/>
        <w:rPr>
          <w:rFonts w:eastAsia="黑体"/>
          <w:b w:val="0"/>
          <w:color w:val="auto"/>
          <w:sz w:val="24"/>
          <w:szCs w:val="24"/>
          <w:highlight w:val="none"/>
        </w:rPr>
      </w:pPr>
      <w:bookmarkStart w:id="144" w:name="_Toc32835630"/>
      <w:r>
        <w:rPr>
          <w:rFonts w:eastAsia="黑体"/>
          <w:b w:val="0"/>
          <w:color w:val="auto"/>
          <w:sz w:val="24"/>
          <w:szCs w:val="24"/>
          <w:highlight w:val="none"/>
        </w:rPr>
        <w:t>3</w:t>
      </w:r>
      <w:bookmarkStart w:id="145" w:name="_Toc296346553"/>
      <w:bookmarkStart w:id="146" w:name="_Toc296503052"/>
      <w:bookmarkStart w:id="147" w:name="_Toc337558752"/>
      <w:r>
        <w:rPr>
          <w:rFonts w:eastAsia="黑体"/>
          <w:b w:val="0"/>
          <w:color w:val="auto"/>
          <w:sz w:val="24"/>
          <w:szCs w:val="24"/>
          <w:highlight w:val="none"/>
        </w:rPr>
        <w:t>.7 履约担保</w:t>
      </w:r>
      <w:bookmarkEnd w:id="144"/>
    </w:p>
    <w:bookmarkEnd w:id="145"/>
    <w:bookmarkEnd w:id="146"/>
    <w:bookmarkEnd w:id="147"/>
    <w:p w14:paraId="648E63AB">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hint="eastAsia" w:eastAsia="仿宋_GB2312"/>
          <w:color w:val="auto"/>
          <w:kern w:val="0"/>
          <w:sz w:val="24"/>
          <w:szCs w:val="24"/>
          <w:highlight w:val="none"/>
        </w:rPr>
        <w:t>发包人需要承包人提供履约担保的，由合同当事人在专用合同条款中约定履约担保的方式、金额及期限等。</w:t>
      </w:r>
      <w:r>
        <w:rPr>
          <w:rFonts w:eastAsia="仿宋_GB2312"/>
          <w:color w:val="auto"/>
          <w:kern w:val="0"/>
          <w:sz w:val="24"/>
          <w:szCs w:val="24"/>
          <w:highlight w:val="none"/>
        </w:rPr>
        <w:t>履约担保可以采用银行保函或担保公司担保等形式，具体由合同当事人在专用合同条款中约定。</w:t>
      </w:r>
    </w:p>
    <w:p w14:paraId="5513C81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53217125">
      <w:pPr>
        <w:pStyle w:val="7"/>
        <w:spacing w:before="120" w:after="120" w:line="360" w:lineRule="auto"/>
        <w:ind w:firstLine="480" w:firstLineChars="200"/>
        <w:rPr>
          <w:rFonts w:eastAsia="黑体"/>
          <w:b w:val="0"/>
          <w:color w:val="auto"/>
          <w:sz w:val="24"/>
          <w:szCs w:val="24"/>
          <w:highlight w:val="none"/>
        </w:rPr>
      </w:pPr>
      <w:bookmarkStart w:id="148" w:name="_Toc32835631"/>
      <w:r>
        <w:rPr>
          <w:rFonts w:eastAsia="黑体"/>
          <w:b w:val="0"/>
          <w:color w:val="auto"/>
          <w:sz w:val="24"/>
          <w:szCs w:val="24"/>
          <w:highlight w:val="none"/>
        </w:rPr>
        <w:t>3.8 联合体</w:t>
      </w:r>
      <w:bookmarkEnd w:id="148"/>
    </w:p>
    <w:p w14:paraId="70C35BB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3.8.1 联合体各方应共同与发包人签订合同协议书。联合体各方应为履行合同</w:t>
      </w:r>
      <w:r>
        <w:rPr>
          <w:rFonts w:hint="eastAsia" w:eastAsia="仿宋_GB2312"/>
          <w:color w:val="auto"/>
          <w:kern w:val="0"/>
          <w:sz w:val="24"/>
          <w:szCs w:val="24"/>
          <w:highlight w:val="none"/>
        </w:rPr>
        <w:t>向发包人</w:t>
      </w:r>
      <w:r>
        <w:rPr>
          <w:rFonts w:eastAsia="仿宋_GB2312"/>
          <w:color w:val="auto"/>
          <w:kern w:val="0"/>
          <w:sz w:val="24"/>
          <w:szCs w:val="24"/>
          <w:highlight w:val="none"/>
        </w:rPr>
        <w:t>承担连带责任。</w:t>
      </w:r>
    </w:p>
    <w:p w14:paraId="3ADA6D1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3.8.2 联合体协议经发包人确认后作为合同附件。在履行合同过程中，未经发包人同意，不得修改联合体协议。</w:t>
      </w:r>
    </w:p>
    <w:p w14:paraId="6BEEE6C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3.8.3 联合体牵头人负责与发包人和监理人联系，并接受指示，负责组织联合体各成员全面履行合同。</w:t>
      </w:r>
    </w:p>
    <w:p w14:paraId="18510452">
      <w:pPr>
        <w:pStyle w:val="6"/>
        <w:spacing w:before="120" w:after="120" w:line="360" w:lineRule="auto"/>
        <w:rPr>
          <w:rFonts w:ascii="Times New Roman" w:hAnsi="Times New Roman" w:eastAsia="黑体"/>
          <w:b w:val="0"/>
          <w:color w:val="auto"/>
          <w:sz w:val="24"/>
          <w:szCs w:val="24"/>
          <w:highlight w:val="none"/>
        </w:rPr>
      </w:pPr>
      <w:bookmarkStart w:id="149" w:name="_Toc32835632"/>
      <w:r>
        <w:rPr>
          <w:rFonts w:ascii="Times New Roman" w:hAnsi="Times New Roman" w:eastAsia="黑体"/>
          <w:b w:val="0"/>
          <w:color w:val="auto"/>
          <w:sz w:val="24"/>
          <w:szCs w:val="24"/>
          <w:highlight w:val="none"/>
        </w:rPr>
        <w:t>4</w:t>
      </w:r>
      <w:bookmarkStart w:id="150" w:name="_Toc296346554"/>
      <w:bookmarkStart w:id="151" w:name="_Toc296503053"/>
      <w:bookmarkStart w:id="152" w:name="_Toc337558753"/>
      <w:r>
        <w:rPr>
          <w:rFonts w:ascii="Times New Roman" w:hAnsi="Times New Roman" w:eastAsia="黑体"/>
          <w:b w:val="0"/>
          <w:color w:val="auto"/>
          <w:sz w:val="24"/>
          <w:szCs w:val="24"/>
          <w:highlight w:val="none"/>
        </w:rPr>
        <w:t>. 监</w:t>
      </w:r>
      <w:bookmarkEnd w:id="150"/>
      <w:bookmarkEnd w:id="151"/>
      <w:r>
        <w:rPr>
          <w:rFonts w:ascii="Times New Roman" w:hAnsi="Times New Roman" w:eastAsia="黑体"/>
          <w:b w:val="0"/>
          <w:color w:val="auto"/>
          <w:sz w:val="24"/>
          <w:szCs w:val="24"/>
          <w:highlight w:val="none"/>
        </w:rPr>
        <w:t>理人</w:t>
      </w:r>
      <w:bookmarkEnd w:id="149"/>
    </w:p>
    <w:bookmarkEnd w:id="152"/>
    <w:p w14:paraId="36687A84">
      <w:pPr>
        <w:pStyle w:val="7"/>
        <w:spacing w:before="120" w:after="120" w:line="360" w:lineRule="auto"/>
        <w:ind w:firstLine="480" w:firstLineChars="200"/>
        <w:rPr>
          <w:rFonts w:eastAsia="黑体"/>
          <w:b w:val="0"/>
          <w:color w:val="auto"/>
          <w:sz w:val="24"/>
          <w:szCs w:val="24"/>
          <w:highlight w:val="none"/>
        </w:rPr>
      </w:pPr>
      <w:bookmarkStart w:id="153" w:name="_Toc32835633"/>
      <w:r>
        <w:rPr>
          <w:rFonts w:eastAsia="黑体"/>
          <w:b w:val="0"/>
          <w:color w:val="auto"/>
          <w:sz w:val="24"/>
          <w:szCs w:val="24"/>
          <w:highlight w:val="none"/>
        </w:rPr>
        <w:t>4</w:t>
      </w:r>
      <w:bookmarkStart w:id="154" w:name="_Toc296503054"/>
      <w:bookmarkStart w:id="155" w:name="_Toc337558754"/>
      <w:bookmarkStart w:id="156" w:name="_Toc296346555"/>
      <w:r>
        <w:rPr>
          <w:rFonts w:eastAsia="黑体"/>
          <w:b w:val="0"/>
          <w:color w:val="auto"/>
          <w:sz w:val="24"/>
          <w:szCs w:val="24"/>
          <w:highlight w:val="none"/>
        </w:rPr>
        <w:t>.1监理人的一般规定</w:t>
      </w:r>
      <w:bookmarkEnd w:id="153"/>
    </w:p>
    <w:bookmarkEnd w:id="154"/>
    <w:bookmarkEnd w:id="155"/>
    <w:bookmarkEnd w:id="156"/>
    <w:p w14:paraId="014C99E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6983048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除专用合同条款另有约定外，监理人在施工现场的办公场所、生活场所由承包人提供，所发生的费用由发包人承担。</w:t>
      </w:r>
    </w:p>
    <w:p w14:paraId="50C04BE3">
      <w:pPr>
        <w:pStyle w:val="7"/>
        <w:spacing w:before="120" w:after="120" w:line="360" w:lineRule="auto"/>
        <w:ind w:firstLine="480" w:firstLineChars="200"/>
        <w:rPr>
          <w:rFonts w:eastAsia="黑体"/>
          <w:b w:val="0"/>
          <w:color w:val="auto"/>
          <w:sz w:val="24"/>
          <w:szCs w:val="24"/>
          <w:highlight w:val="none"/>
        </w:rPr>
      </w:pPr>
      <w:bookmarkStart w:id="157" w:name="_Toc32835634"/>
      <w:r>
        <w:rPr>
          <w:rFonts w:eastAsia="黑体"/>
          <w:b w:val="0"/>
          <w:color w:val="auto"/>
          <w:sz w:val="24"/>
          <w:szCs w:val="24"/>
          <w:highlight w:val="none"/>
        </w:rPr>
        <w:t>4</w:t>
      </w:r>
      <w:bookmarkStart w:id="158" w:name="_Toc337558755"/>
      <w:r>
        <w:rPr>
          <w:rFonts w:eastAsia="黑体"/>
          <w:b w:val="0"/>
          <w:color w:val="auto"/>
          <w:sz w:val="24"/>
          <w:szCs w:val="24"/>
          <w:highlight w:val="none"/>
        </w:rPr>
        <w:t>.2监理人员</w:t>
      </w:r>
      <w:bookmarkEnd w:id="157"/>
    </w:p>
    <w:bookmarkEnd w:id="158"/>
    <w:p w14:paraId="025B341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9761E65">
      <w:pPr>
        <w:pStyle w:val="7"/>
        <w:spacing w:before="120" w:after="120" w:line="360" w:lineRule="auto"/>
        <w:ind w:firstLine="480" w:firstLineChars="200"/>
        <w:rPr>
          <w:rFonts w:eastAsia="黑体"/>
          <w:b w:val="0"/>
          <w:color w:val="auto"/>
          <w:sz w:val="24"/>
          <w:szCs w:val="24"/>
          <w:highlight w:val="none"/>
        </w:rPr>
      </w:pPr>
      <w:bookmarkStart w:id="159" w:name="_Toc32835635"/>
      <w:r>
        <w:rPr>
          <w:rFonts w:eastAsia="黑体"/>
          <w:b w:val="0"/>
          <w:color w:val="auto"/>
          <w:sz w:val="24"/>
          <w:szCs w:val="24"/>
          <w:highlight w:val="none"/>
        </w:rPr>
        <w:t>4</w:t>
      </w:r>
      <w:bookmarkStart w:id="160" w:name="_Toc296346556"/>
      <w:bookmarkStart w:id="161" w:name="_Toc296503055"/>
      <w:bookmarkStart w:id="162" w:name="_Toc337558756"/>
      <w:r>
        <w:rPr>
          <w:rFonts w:eastAsia="黑体"/>
          <w:b w:val="0"/>
          <w:color w:val="auto"/>
          <w:sz w:val="24"/>
          <w:szCs w:val="24"/>
          <w:highlight w:val="none"/>
        </w:rPr>
        <w:t>.3</w:t>
      </w:r>
      <w:bookmarkEnd w:id="160"/>
      <w:bookmarkEnd w:id="161"/>
      <w:r>
        <w:rPr>
          <w:rFonts w:eastAsia="黑体"/>
          <w:b w:val="0"/>
          <w:color w:val="auto"/>
          <w:sz w:val="24"/>
          <w:szCs w:val="24"/>
          <w:highlight w:val="none"/>
        </w:rPr>
        <w:t>监理人的指</w:t>
      </w:r>
      <w:bookmarkEnd w:id="162"/>
      <w:r>
        <w:rPr>
          <w:rFonts w:eastAsia="黑体"/>
          <w:b w:val="0"/>
          <w:color w:val="auto"/>
          <w:sz w:val="24"/>
          <w:szCs w:val="24"/>
          <w:highlight w:val="none"/>
        </w:rPr>
        <w:t>示</w:t>
      </w:r>
      <w:bookmarkEnd w:id="159"/>
    </w:p>
    <w:p w14:paraId="4418B42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96D6BE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eastAsia="仿宋_GB2312"/>
          <w:color w:val="auto"/>
          <w:kern w:val="0"/>
          <w:sz w:val="24"/>
          <w:szCs w:val="24"/>
          <w:highlight w:val="none"/>
        </w:rPr>
        <w:t>相应</w:t>
      </w:r>
      <w:r>
        <w:rPr>
          <w:rFonts w:eastAsia="仿宋_GB2312"/>
          <w:color w:val="auto"/>
          <w:kern w:val="0"/>
          <w:sz w:val="24"/>
          <w:szCs w:val="24"/>
          <w:highlight w:val="none"/>
        </w:rPr>
        <w:t>责任。除专用合同条款另有约定外，总监理工程师不应将第4.4款</w:t>
      </w:r>
      <w:r>
        <w:rPr>
          <w:rFonts w:hint="eastAsia" w:eastAsia="仿宋_GB2312"/>
          <w:color w:val="auto"/>
          <w:kern w:val="0"/>
          <w:sz w:val="24"/>
          <w:szCs w:val="24"/>
          <w:highlight w:val="none"/>
        </w:rPr>
        <w:t>〔</w:t>
      </w:r>
      <w:r>
        <w:rPr>
          <w:rFonts w:eastAsia="仿宋_GB2312"/>
          <w:color w:val="auto"/>
          <w:kern w:val="0"/>
          <w:sz w:val="24"/>
          <w:szCs w:val="24"/>
          <w:highlight w:val="none"/>
        </w:rPr>
        <w:t>商定或确定</w:t>
      </w:r>
      <w:r>
        <w:rPr>
          <w:rFonts w:hint="eastAsia" w:eastAsia="仿宋_GB2312"/>
          <w:color w:val="auto"/>
          <w:kern w:val="0"/>
          <w:sz w:val="24"/>
          <w:szCs w:val="24"/>
          <w:highlight w:val="none"/>
        </w:rPr>
        <w:t>〕</w:t>
      </w:r>
      <w:r>
        <w:rPr>
          <w:rFonts w:eastAsia="仿宋_GB2312"/>
          <w:color w:val="auto"/>
          <w:kern w:val="0"/>
          <w:sz w:val="24"/>
          <w:szCs w:val="24"/>
          <w:highlight w:val="none"/>
        </w:rPr>
        <w:t>约定应由总监理工程师作出确定的权力授权或委托给其他监理人员。</w:t>
      </w:r>
    </w:p>
    <w:p w14:paraId="6FEADFA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2A91490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645907DC">
      <w:pPr>
        <w:pStyle w:val="6"/>
        <w:spacing w:before="120" w:after="120" w:line="360" w:lineRule="auto"/>
        <w:ind w:firstLine="480" w:firstLineChars="200"/>
        <w:rPr>
          <w:rFonts w:hint="eastAsia" w:ascii="Times New Roman" w:hAnsi="Times New Roman" w:eastAsia="黑体"/>
          <w:b w:val="0"/>
          <w:color w:val="auto"/>
          <w:sz w:val="24"/>
          <w:szCs w:val="24"/>
          <w:highlight w:val="none"/>
        </w:rPr>
      </w:pPr>
      <w:bookmarkStart w:id="163" w:name="_Toc32835636"/>
      <w:r>
        <w:rPr>
          <w:rFonts w:ascii="Times New Roman" w:hAnsi="Times New Roman" w:eastAsia="黑体"/>
          <w:b w:val="0"/>
          <w:color w:val="auto"/>
          <w:sz w:val="24"/>
          <w:szCs w:val="24"/>
          <w:highlight w:val="none"/>
        </w:rPr>
        <w:t>4</w:t>
      </w:r>
      <w:bookmarkStart w:id="164" w:name="_Toc337558757"/>
      <w:bookmarkStart w:id="165" w:name="_Toc296503057"/>
      <w:bookmarkStart w:id="166" w:name="_Toc296346558"/>
      <w:r>
        <w:rPr>
          <w:rFonts w:ascii="Times New Roman" w:hAnsi="Times New Roman" w:eastAsia="黑体"/>
          <w:b w:val="0"/>
          <w:color w:val="auto"/>
          <w:sz w:val="24"/>
          <w:szCs w:val="24"/>
          <w:highlight w:val="none"/>
        </w:rPr>
        <w:t>.4 商定或确定</w:t>
      </w:r>
      <w:bookmarkEnd w:id="163"/>
    </w:p>
    <w:bookmarkEnd w:id="164"/>
    <w:bookmarkEnd w:id="165"/>
    <w:bookmarkEnd w:id="166"/>
    <w:p w14:paraId="15B7EA3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合同</w:t>
      </w:r>
      <w:r>
        <w:rPr>
          <w:rFonts w:hint="eastAsia" w:eastAsia="仿宋_GB2312"/>
          <w:color w:val="auto"/>
          <w:kern w:val="0"/>
          <w:sz w:val="24"/>
          <w:szCs w:val="24"/>
          <w:highlight w:val="none"/>
        </w:rPr>
        <w:t>当事人</w:t>
      </w:r>
      <w:r>
        <w:rPr>
          <w:rFonts w:eastAsia="仿宋_GB2312"/>
          <w:color w:val="auto"/>
          <w:kern w:val="0"/>
          <w:sz w:val="24"/>
          <w:szCs w:val="24"/>
          <w:highlight w:val="none"/>
        </w:rPr>
        <w:t>进行</w:t>
      </w:r>
      <w:r>
        <w:rPr>
          <w:rFonts w:hint="eastAsia" w:eastAsia="仿宋_GB2312"/>
          <w:color w:val="auto"/>
          <w:kern w:val="0"/>
          <w:sz w:val="24"/>
          <w:szCs w:val="24"/>
          <w:highlight w:val="none"/>
        </w:rPr>
        <w:t>商定</w:t>
      </w:r>
      <w:r>
        <w:rPr>
          <w:rFonts w:eastAsia="仿宋_GB2312"/>
          <w:color w:val="auto"/>
          <w:kern w:val="0"/>
          <w:sz w:val="24"/>
          <w:szCs w:val="24"/>
          <w:highlight w:val="none"/>
        </w:rPr>
        <w:t>或确定时，总监理工程师应当会同合同当事人尽量通过协商达成一致，不能达成一致的，由总监理工程师按照合同约定审慎做出公正的确定。</w:t>
      </w:r>
    </w:p>
    <w:p w14:paraId="6352A81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eastAsia="仿宋_GB2312"/>
          <w:color w:val="auto"/>
          <w:kern w:val="0"/>
          <w:sz w:val="24"/>
          <w:szCs w:val="24"/>
          <w:highlight w:val="none"/>
        </w:rPr>
        <w:t>〔</w:t>
      </w:r>
      <w:r>
        <w:rPr>
          <w:rFonts w:eastAsia="仿宋_GB2312"/>
          <w:color w:val="auto"/>
          <w:kern w:val="0"/>
          <w:sz w:val="24"/>
          <w:szCs w:val="24"/>
          <w:highlight w:val="none"/>
        </w:rPr>
        <w:t>争议解决</w:t>
      </w:r>
      <w:r>
        <w:rPr>
          <w:rFonts w:hint="eastAsia" w:eastAsia="仿宋_GB2312"/>
          <w:color w:val="auto"/>
          <w:kern w:val="0"/>
          <w:sz w:val="24"/>
          <w:szCs w:val="24"/>
          <w:highlight w:val="none"/>
        </w:rPr>
        <w:t>〕</w:t>
      </w:r>
      <w:r>
        <w:rPr>
          <w:rFonts w:eastAsia="仿宋_GB2312"/>
          <w:color w:val="auto"/>
          <w:kern w:val="0"/>
          <w:sz w:val="24"/>
          <w:szCs w:val="24"/>
          <w:highlight w:val="none"/>
        </w:rPr>
        <w:t>约定处理。争议解决前，合同当事人暂按总监理工程师的确定执行；争议解决后，争议解决的结果与总监理工程师的确定不一致的，按照争议解决的结果执行，由此造成的损失由责任人承担。</w:t>
      </w:r>
    </w:p>
    <w:p w14:paraId="0CAE4201">
      <w:pPr>
        <w:pStyle w:val="6"/>
        <w:spacing w:before="120" w:after="120" w:line="360" w:lineRule="auto"/>
        <w:rPr>
          <w:rFonts w:ascii="Times New Roman" w:hAnsi="Times New Roman" w:eastAsia="黑体"/>
          <w:b w:val="0"/>
          <w:color w:val="auto"/>
          <w:sz w:val="24"/>
          <w:szCs w:val="24"/>
          <w:highlight w:val="none"/>
        </w:rPr>
      </w:pPr>
      <w:bookmarkStart w:id="167" w:name="_Toc32835637"/>
      <w:r>
        <w:rPr>
          <w:rFonts w:ascii="Times New Roman" w:hAnsi="Times New Roman" w:eastAsia="黑体"/>
          <w:b w:val="0"/>
          <w:color w:val="auto"/>
          <w:sz w:val="24"/>
          <w:szCs w:val="24"/>
          <w:highlight w:val="none"/>
        </w:rPr>
        <w:t>5</w:t>
      </w:r>
      <w:bookmarkStart w:id="168" w:name="_Toc337558758"/>
      <w:r>
        <w:rPr>
          <w:rFonts w:ascii="Times New Roman" w:hAnsi="Times New Roman" w:eastAsia="黑体"/>
          <w:b w:val="0"/>
          <w:color w:val="auto"/>
          <w:sz w:val="24"/>
          <w:szCs w:val="24"/>
          <w:highlight w:val="none"/>
        </w:rPr>
        <w:t>. 工程质量</w:t>
      </w:r>
      <w:bookmarkEnd w:id="167"/>
    </w:p>
    <w:bookmarkEnd w:id="168"/>
    <w:p w14:paraId="5166F1EA">
      <w:pPr>
        <w:pStyle w:val="7"/>
        <w:spacing w:before="120" w:after="120" w:line="360" w:lineRule="auto"/>
        <w:ind w:firstLine="480" w:firstLineChars="200"/>
        <w:rPr>
          <w:rFonts w:eastAsia="黑体"/>
          <w:b w:val="0"/>
          <w:color w:val="auto"/>
          <w:sz w:val="24"/>
          <w:szCs w:val="24"/>
          <w:highlight w:val="none"/>
        </w:rPr>
      </w:pPr>
      <w:bookmarkStart w:id="169" w:name="_Toc32835638"/>
      <w:r>
        <w:rPr>
          <w:rFonts w:eastAsia="黑体"/>
          <w:b w:val="0"/>
          <w:color w:val="auto"/>
          <w:sz w:val="24"/>
          <w:szCs w:val="24"/>
          <w:highlight w:val="none"/>
        </w:rPr>
        <w:t>5</w:t>
      </w:r>
      <w:bookmarkStart w:id="170" w:name="_Toc337558759"/>
      <w:r>
        <w:rPr>
          <w:rFonts w:eastAsia="黑体"/>
          <w:b w:val="0"/>
          <w:color w:val="auto"/>
          <w:sz w:val="24"/>
          <w:szCs w:val="24"/>
          <w:highlight w:val="none"/>
        </w:rPr>
        <w:t>.1质量要求</w:t>
      </w:r>
      <w:bookmarkEnd w:id="169"/>
    </w:p>
    <w:bookmarkEnd w:id="170"/>
    <w:p w14:paraId="0588A4D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5.1.1 工程质量标准必须符合现行国家有关工程施工质量验收规范和标准的要求。有关工程质量的特殊标准或要求由合同当事人在专用合同条款中约定。</w:t>
      </w:r>
    </w:p>
    <w:p w14:paraId="32C2D80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5.1.2 因发包人原因造成工程质量未达到合同约定标准的，由发包人承担由此增加的费用和（或）延误的工期，并支付承包人合理的利润。</w:t>
      </w:r>
    </w:p>
    <w:p w14:paraId="4C6ACD1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7D006D89">
      <w:pPr>
        <w:pStyle w:val="7"/>
        <w:spacing w:before="120" w:after="120" w:line="360" w:lineRule="auto"/>
        <w:ind w:firstLine="480" w:firstLineChars="200"/>
        <w:rPr>
          <w:rFonts w:eastAsia="黑体"/>
          <w:b w:val="0"/>
          <w:color w:val="auto"/>
          <w:sz w:val="24"/>
          <w:szCs w:val="24"/>
          <w:highlight w:val="none"/>
        </w:rPr>
      </w:pPr>
      <w:bookmarkStart w:id="171" w:name="_Toc32835639"/>
      <w:r>
        <w:rPr>
          <w:rFonts w:eastAsia="黑体"/>
          <w:b w:val="0"/>
          <w:color w:val="auto"/>
          <w:sz w:val="24"/>
          <w:szCs w:val="24"/>
          <w:highlight w:val="none"/>
        </w:rPr>
        <w:t>5</w:t>
      </w:r>
      <w:bookmarkStart w:id="172" w:name="_Toc337558760"/>
      <w:r>
        <w:rPr>
          <w:rFonts w:eastAsia="黑体"/>
          <w:b w:val="0"/>
          <w:color w:val="auto"/>
          <w:sz w:val="24"/>
          <w:szCs w:val="24"/>
          <w:highlight w:val="none"/>
        </w:rPr>
        <w:t>.2质量保证措施</w:t>
      </w:r>
      <w:bookmarkEnd w:id="171"/>
    </w:p>
    <w:bookmarkEnd w:id="172"/>
    <w:p w14:paraId="2A4003F4">
      <w:pPr>
        <w:autoSpaceDE w:val="0"/>
        <w:autoSpaceDN w:val="0"/>
        <w:adjustRightInd w:val="0"/>
        <w:spacing w:line="360" w:lineRule="auto"/>
        <w:ind w:firstLine="480" w:firstLineChars="200"/>
        <w:jc w:val="left"/>
        <w:outlineLvl w:val="0"/>
        <w:rPr>
          <w:rFonts w:eastAsia="仿宋_GB2312"/>
          <w:color w:val="auto"/>
          <w:kern w:val="0"/>
          <w:sz w:val="24"/>
          <w:szCs w:val="24"/>
          <w:highlight w:val="none"/>
        </w:rPr>
      </w:pPr>
      <w:bookmarkStart w:id="173" w:name="_Toc32835640"/>
      <w:r>
        <w:rPr>
          <w:rFonts w:eastAsia="仿宋_GB2312"/>
          <w:color w:val="auto"/>
          <w:kern w:val="0"/>
          <w:sz w:val="24"/>
          <w:szCs w:val="24"/>
          <w:highlight w:val="none"/>
        </w:rPr>
        <w:t>5.2.1 发包人的质量管理</w:t>
      </w:r>
      <w:bookmarkEnd w:id="173"/>
    </w:p>
    <w:p w14:paraId="7C5B8C4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发包人应按照法律规定及合同约定完成与工程质量有关的各项工作。</w:t>
      </w:r>
    </w:p>
    <w:p w14:paraId="4CBA4F7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5.2.2 承包人的质量管理</w:t>
      </w:r>
    </w:p>
    <w:p w14:paraId="4E9931B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承包人按照第7.1款</w:t>
      </w:r>
      <w:r>
        <w:rPr>
          <w:rFonts w:hint="eastAsia" w:eastAsia="仿宋_GB2312"/>
          <w:color w:val="auto"/>
          <w:kern w:val="0"/>
          <w:sz w:val="24"/>
          <w:szCs w:val="24"/>
          <w:highlight w:val="none"/>
        </w:rPr>
        <w:t>〔</w:t>
      </w:r>
      <w:r>
        <w:rPr>
          <w:rFonts w:eastAsia="仿宋_GB2312"/>
          <w:color w:val="auto"/>
          <w:kern w:val="0"/>
          <w:sz w:val="24"/>
          <w:szCs w:val="24"/>
          <w:highlight w:val="none"/>
        </w:rPr>
        <w:t>施工组织设计</w:t>
      </w:r>
      <w:r>
        <w:rPr>
          <w:rFonts w:hint="eastAsia" w:eastAsia="仿宋_GB2312"/>
          <w:color w:val="auto"/>
          <w:kern w:val="0"/>
          <w:sz w:val="24"/>
          <w:szCs w:val="24"/>
          <w:highlight w:val="none"/>
        </w:rPr>
        <w:t>〕</w:t>
      </w:r>
      <w:r>
        <w:rPr>
          <w:rFonts w:eastAsia="仿宋_GB2312"/>
          <w:color w:val="auto"/>
          <w:kern w:val="0"/>
          <w:sz w:val="24"/>
          <w:szCs w:val="24"/>
          <w:highlight w:val="none"/>
        </w:rPr>
        <w:t>约定向发包人和监理人提交工程质量保证体系及措施文件，建立完善的质量检查制度，并提交相应的工程质量文件。对于发包人和监理人违反法律规定和合同约定的错误指示，承包人有权拒绝实施。</w:t>
      </w:r>
    </w:p>
    <w:p w14:paraId="1201776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承包人应对施工人员进行质量教育和技术培训，定期考核施工人员的劳动技能，严格执行施工规范和操作规程。</w:t>
      </w:r>
    </w:p>
    <w:p w14:paraId="3883EB4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8308DF0">
      <w:pPr>
        <w:autoSpaceDE w:val="0"/>
        <w:autoSpaceDN w:val="0"/>
        <w:adjustRightInd w:val="0"/>
        <w:spacing w:line="360" w:lineRule="auto"/>
        <w:ind w:firstLine="480" w:firstLineChars="200"/>
        <w:jc w:val="left"/>
        <w:outlineLvl w:val="0"/>
        <w:rPr>
          <w:rFonts w:eastAsia="仿宋_GB2312"/>
          <w:color w:val="auto"/>
          <w:kern w:val="0"/>
          <w:sz w:val="24"/>
          <w:szCs w:val="24"/>
          <w:highlight w:val="none"/>
        </w:rPr>
      </w:pPr>
      <w:bookmarkStart w:id="174" w:name="_Toc32835641"/>
      <w:r>
        <w:rPr>
          <w:rFonts w:eastAsia="仿宋_GB2312"/>
          <w:color w:val="auto"/>
          <w:kern w:val="0"/>
          <w:sz w:val="24"/>
          <w:szCs w:val="24"/>
          <w:highlight w:val="none"/>
        </w:rPr>
        <w:t>5.2.3 监理人的质量检查和检验</w:t>
      </w:r>
      <w:bookmarkEnd w:id="174"/>
    </w:p>
    <w:p w14:paraId="58C309B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78AD0D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B7BB510">
      <w:pPr>
        <w:pStyle w:val="7"/>
        <w:spacing w:before="120" w:after="120" w:line="360" w:lineRule="auto"/>
        <w:ind w:firstLine="480" w:firstLineChars="200"/>
        <w:rPr>
          <w:rFonts w:eastAsia="黑体"/>
          <w:b w:val="0"/>
          <w:color w:val="auto"/>
          <w:sz w:val="24"/>
          <w:szCs w:val="24"/>
          <w:highlight w:val="none"/>
        </w:rPr>
      </w:pPr>
      <w:bookmarkStart w:id="175" w:name="_Toc32835642"/>
      <w:r>
        <w:rPr>
          <w:rFonts w:eastAsia="黑体"/>
          <w:b w:val="0"/>
          <w:color w:val="auto"/>
          <w:sz w:val="24"/>
          <w:szCs w:val="24"/>
          <w:highlight w:val="none"/>
        </w:rPr>
        <w:t>5</w:t>
      </w:r>
      <w:bookmarkStart w:id="176" w:name="_Toc337558761"/>
      <w:r>
        <w:rPr>
          <w:rFonts w:eastAsia="黑体"/>
          <w:b w:val="0"/>
          <w:color w:val="auto"/>
          <w:sz w:val="24"/>
          <w:szCs w:val="24"/>
          <w:highlight w:val="none"/>
        </w:rPr>
        <w:t>.3 隐蔽工程检查</w:t>
      </w:r>
      <w:bookmarkEnd w:id="175"/>
    </w:p>
    <w:bookmarkEnd w:id="176"/>
    <w:p w14:paraId="350F606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5.3.1承包人自检</w:t>
      </w:r>
    </w:p>
    <w:p w14:paraId="68887A4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承包人应当对工程隐蔽部位进行自检，并经自检确认是否具备覆盖条件。</w:t>
      </w:r>
    </w:p>
    <w:p w14:paraId="41A05430">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5.3.2检查程序</w:t>
      </w:r>
    </w:p>
    <w:p w14:paraId="3E1AC52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除专用合同条款另有约定外，工程隐蔽部位经承包人自检确认具备覆盖条件的，承包人应在</w:t>
      </w:r>
      <w:r>
        <w:rPr>
          <w:rFonts w:hint="eastAsia" w:eastAsia="仿宋_GB2312"/>
          <w:color w:val="auto"/>
          <w:kern w:val="0"/>
          <w:sz w:val="24"/>
          <w:szCs w:val="24"/>
          <w:highlight w:val="none"/>
        </w:rPr>
        <w:t>共同</w:t>
      </w:r>
      <w:r>
        <w:rPr>
          <w:rFonts w:eastAsia="仿宋_GB2312"/>
          <w:color w:val="auto"/>
          <w:kern w:val="0"/>
          <w:sz w:val="24"/>
          <w:szCs w:val="24"/>
          <w:highlight w:val="none"/>
        </w:rPr>
        <w:t>检查前48小时书面通知监理人检查，通知中应载明隐蔽检查的内容、时间和地点，并应附有自检记录和必要的检查资料。</w:t>
      </w:r>
    </w:p>
    <w:p w14:paraId="4C21A3D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7746163">
      <w:pPr>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eastAsia="仿宋_GB2312"/>
          <w:color w:val="auto"/>
          <w:kern w:val="0"/>
          <w:sz w:val="24"/>
          <w:szCs w:val="24"/>
          <w:highlight w:val="none"/>
        </w:rPr>
        <w:t>〔</w:t>
      </w:r>
      <w:r>
        <w:rPr>
          <w:rFonts w:eastAsia="仿宋_GB2312"/>
          <w:color w:val="auto"/>
          <w:kern w:val="0"/>
          <w:sz w:val="24"/>
          <w:szCs w:val="24"/>
          <w:highlight w:val="none"/>
        </w:rPr>
        <w:t>重新检查</w:t>
      </w:r>
      <w:r>
        <w:rPr>
          <w:rFonts w:hint="eastAsia" w:eastAsia="仿宋_GB2312"/>
          <w:color w:val="auto"/>
          <w:kern w:val="0"/>
          <w:sz w:val="24"/>
          <w:szCs w:val="24"/>
          <w:highlight w:val="none"/>
        </w:rPr>
        <w:t>〕</w:t>
      </w:r>
      <w:r>
        <w:rPr>
          <w:rFonts w:eastAsia="仿宋_GB2312"/>
          <w:color w:val="auto"/>
          <w:kern w:val="0"/>
          <w:sz w:val="24"/>
          <w:szCs w:val="24"/>
          <w:highlight w:val="none"/>
        </w:rPr>
        <w:t>的约定重新检查。</w:t>
      </w:r>
    </w:p>
    <w:p w14:paraId="7BC155C9">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5.3.3 重新检查</w:t>
      </w:r>
    </w:p>
    <w:p w14:paraId="02E841D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86B37F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5.3.4 承包人私自覆盖</w:t>
      </w:r>
    </w:p>
    <w:p w14:paraId="5D2510FC">
      <w:pPr>
        <w:spacing w:line="360" w:lineRule="auto"/>
        <w:ind w:firstLine="480" w:firstLineChars="200"/>
        <w:jc w:val="left"/>
        <w:rPr>
          <w:rFonts w:eastAsia="仿宋_GB2312"/>
          <w:color w:val="auto"/>
          <w:sz w:val="24"/>
          <w:szCs w:val="24"/>
          <w:highlight w:val="none"/>
        </w:rPr>
      </w:pPr>
      <w:r>
        <w:rPr>
          <w:rFonts w:eastAsia="仿宋_GB2312"/>
          <w:color w:val="auto"/>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86BBC8B">
      <w:pPr>
        <w:pStyle w:val="7"/>
        <w:spacing w:before="120" w:after="120" w:line="360" w:lineRule="auto"/>
        <w:ind w:firstLine="480" w:firstLineChars="200"/>
        <w:rPr>
          <w:rFonts w:eastAsia="黑体"/>
          <w:b w:val="0"/>
          <w:color w:val="auto"/>
          <w:sz w:val="24"/>
          <w:szCs w:val="24"/>
          <w:highlight w:val="none"/>
        </w:rPr>
      </w:pPr>
      <w:bookmarkStart w:id="177" w:name="_Toc32835643"/>
      <w:r>
        <w:rPr>
          <w:rFonts w:eastAsia="黑体"/>
          <w:b w:val="0"/>
          <w:color w:val="auto"/>
          <w:sz w:val="24"/>
          <w:szCs w:val="24"/>
          <w:highlight w:val="none"/>
        </w:rPr>
        <w:t>5</w:t>
      </w:r>
      <w:bookmarkStart w:id="178" w:name="_Toc337558762"/>
      <w:r>
        <w:rPr>
          <w:rFonts w:eastAsia="黑体"/>
          <w:b w:val="0"/>
          <w:color w:val="auto"/>
          <w:sz w:val="24"/>
          <w:szCs w:val="24"/>
          <w:highlight w:val="none"/>
        </w:rPr>
        <w:t>.4不合格工程的处理</w:t>
      </w:r>
      <w:bookmarkEnd w:id="177"/>
    </w:p>
    <w:bookmarkEnd w:id="178"/>
    <w:p w14:paraId="048FFD8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5.4.1 因承包人原因造成工程不合格的，发包人有权随时要求承包人采取补救措施，直至达到合同要求的质量标准，由此增加的费用和（或）延误的工期由承包人承担。无法补救的，按照第13.2.4项</w:t>
      </w:r>
      <w:r>
        <w:rPr>
          <w:rFonts w:hint="eastAsia" w:eastAsia="仿宋_GB2312"/>
          <w:color w:val="auto"/>
          <w:kern w:val="0"/>
          <w:sz w:val="24"/>
          <w:szCs w:val="24"/>
          <w:highlight w:val="none"/>
        </w:rPr>
        <w:t>〔</w:t>
      </w:r>
      <w:r>
        <w:rPr>
          <w:rFonts w:eastAsia="仿宋_GB2312"/>
          <w:color w:val="auto"/>
          <w:kern w:val="0"/>
          <w:sz w:val="24"/>
          <w:szCs w:val="24"/>
          <w:highlight w:val="none"/>
        </w:rPr>
        <w:t>拒绝接收全部或部分工程</w:t>
      </w:r>
      <w:r>
        <w:rPr>
          <w:rFonts w:hint="eastAsia" w:eastAsia="仿宋_GB2312"/>
          <w:color w:val="auto"/>
          <w:kern w:val="0"/>
          <w:sz w:val="24"/>
          <w:szCs w:val="24"/>
          <w:highlight w:val="none"/>
        </w:rPr>
        <w:t>〕</w:t>
      </w:r>
      <w:r>
        <w:rPr>
          <w:rFonts w:eastAsia="仿宋_GB2312"/>
          <w:color w:val="auto"/>
          <w:kern w:val="0"/>
          <w:sz w:val="24"/>
          <w:szCs w:val="24"/>
          <w:highlight w:val="none"/>
        </w:rPr>
        <w:t xml:space="preserve">约定执行。 </w:t>
      </w:r>
    </w:p>
    <w:p w14:paraId="1682CA56">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5.4.2 因发包人原因造成工程不合格的，由此增加的费用和（或）延误的工期由发包人承担，并支付承包人合理的利润。</w:t>
      </w:r>
    </w:p>
    <w:p w14:paraId="78AD7983">
      <w:pPr>
        <w:pStyle w:val="7"/>
        <w:spacing w:before="120" w:after="120" w:line="360" w:lineRule="auto"/>
        <w:ind w:firstLine="480" w:firstLineChars="200"/>
        <w:rPr>
          <w:rFonts w:eastAsia="黑体"/>
          <w:b w:val="0"/>
          <w:color w:val="auto"/>
          <w:sz w:val="24"/>
          <w:szCs w:val="24"/>
          <w:highlight w:val="none"/>
        </w:rPr>
      </w:pPr>
      <w:bookmarkStart w:id="179" w:name="_Toc32835644"/>
      <w:r>
        <w:rPr>
          <w:rFonts w:eastAsia="黑体"/>
          <w:b w:val="0"/>
          <w:color w:val="auto"/>
          <w:sz w:val="24"/>
          <w:szCs w:val="24"/>
          <w:highlight w:val="none"/>
        </w:rPr>
        <w:t>5.5 质量争议检测</w:t>
      </w:r>
      <w:bookmarkEnd w:id="179"/>
    </w:p>
    <w:p w14:paraId="4A43014C">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合同当事人对工程质量有争议的，由双方协商确定的工程质量检测机构鉴定，由此产生的费用及因此造成的损失，由责任方承担。</w:t>
      </w:r>
    </w:p>
    <w:p w14:paraId="7CA2E24E">
      <w:pPr>
        <w:autoSpaceDE w:val="0"/>
        <w:autoSpaceDN w:val="0"/>
        <w:adjustRightInd w:val="0"/>
        <w:spacing w:line="360" w:lineRule="auto"/>
        <w:jc w:val="left"/>
        <w:rPr>
          <w:rFonts w:eastAsia="仿宋_GB2312"/>
          <w:color w:val="auto"/>
          <w:kern w:val="0"/>
          <w:sz w:val="24"/>
          <w:szCs w:val="24"/>
          <w:highlight w:val="none"/>
        </w:rPr>
      </w:pPr>
      <w:r>
        <w:rPr>
          <w:rFonts w:eastAsia="仿宋_GB2312"/>
          <w:color w:val="auto"/>
          <w:kern w:val="0"/>
          <w:sz w:val="24"/>
          <w:szCs w:val="24"/>
          <w:highlight w:val="none"/>
        </w:rPr>
        <w:t>合同当事人均有责任的，由双方根据其责任分别承担。合同当事人无法达成一致的，按照第4.4款</w:t>
      </w:r>
      <w:r>
        <w:rPr>
          <w:rFonts w:hint="eastAsia" w:eastAsia="仿宋_GB2312"/>
          <w:color w:val="auto"/>
          <w:kern w:val="0"/>
          <w:sz w:val="24"/>
          <w:szCs w:val="24"/>
          <w:highlight w:val="none"/>
        </w:rPr>
        <w:t>〔</w:t>
      </w:r>
      <w:r>
        <w:rPr>
          <w:rFonts w:eastAsia="仿宋_GB2312"/>
          <w:color w:val="auto"/>
          <w:kern w:val="0"/>
          <w:sz w:val="24"/>
          <w:szCs w:val="24"/>
          <w:highlight w:val="none"/>
        </w:rPr>
        <w:t>商定或确定</w:t>
      </w:r>
      <w:r>
        <w:rPr>
          <w:rFonts w:hint="eastAsia" w:eastAsia="仿宋_GB2312"/>
          <w:color w:val="auto"/>
          <w:kern w:val="0"/>
          <w:sz w:val="24"/>
          <w:szCs w:val="24"/>
          <w:highlight w:val="none"/>
        </w:rPr>
        <w:t>〕</w:t>
      </w:r>
      <w:r>
        <w:rPr>
          <w:rFonts w:eastAsia="仿宋_GB2312"/>
          <w:color w:val="auto"/>
          <w:kern w:val="0"/>
          <w:sz w:val="24"/>
          <w:szCs w:val="24"/>
          <w:highlight w:val="none"/>
        </w:rPr>
        <w:t>执行。</w:t>
      </w:r>
    </w:p>
    <w:p w14:paraId="760446F1">
      <w:pPr>
        <w:pStyle w:val="6"/>
        <w:spacing w:before="120" w:after="120" w:line="360" w:lineRule="auto"/>
        <w:rPr>
          <w:rFonts w:ascii="Times New Roman" w:hAnsi="Times New Roman" w:eastAsia="黑体"/>
          <w:b w:val="0"/>
          <w:color w:val="auto"/>
          <w:sz w:val="24"/>
          <w:szCs w:val="24"/>
          <w:highlight w:val="none"/>
        </w:rPr>
      </w:pPr>
      <w:bookmarkStart w:id="180" w:name="_Toc32835645"/>
      <w:r>
        <w:rPr>
          <w:rFonts w:ascii="Times New Roman" w:hAnsi="Times New Roman" w:eastAsia="黑体"/>
          <w:b w:val="0"/>
          <w:color w:val="auto"/>
          <w:sz w:val="24"/>
          <w:szCs w:val="24"/>
          <w:highlight w:val="none"/>
        </w:rPr>
        <w:t>6</w:t>
      </w:r>
      <w:bookmarkStart w:id="181" w:name="_Toc337558763"/>
      <w:r>
        <w:rPr>
          <w:rFonts w:ascii="Times New Roman" w:hAnsi="Times New Roman" w:eastAsia="黑体"/>
          <w:b w:val="0"/>
          <w:color w:val="auto"/>
          <w:sz w:val="24"/>
          <w:szCs w:val="24"/>
          <w:highlight w:val="none"/>
        </w:rPr>
        <w:t>. 安全文明施工与环境保护</w:t>
      </w:r>
      <w:bookmarkEnd w:id="180"/>
    </w:p>
    <w:bookmarkEnd w:id="181"/>
    <w:p w14:paraId="16160C69">
      <w:pPr>
        <w:pStyle w:val="7"/>
        <w:spacing w:before="120" w:after="120" w:line="360" w:lineRule="auto"/>
        <w:ind w:firstLine="480" w:firstLineChars="200"/>
        <w:rPr>
          <w:rFonts w:eastAsia="黑体"/>
          <w:b w:val="0"/>
          <w:color w:val="auto"/>
          <w:sz w:val="24"/>
          <w:szCs w:val="24"/>
          <w:highlight w:val="none"/>
        </w:rPr>
      </w:pPr>
      <w:bookmarkStart w:id="182" w:name="_Toc32835646"/>
      <w:r>
        <w:rPr>
          <w:rFonts w:eastAsia="黑体"/>
          <w:b w:val="0"/>
          <w:color w:val="auto"/>
          <w:sz w:val="24"/>
          <w:szCs w:val="24"/>
          <w:highlight w:val="none"/>
        </w:rPr>
        <w:t>6</w:t>
      </w:r>
      <w:bookmarkStart w:id="183" w:name="_Toc337558764"/>
      <w:r>
        <w:rPr>
          <w:rFonts w:eastAsia="黑体"/>
          <w:b w:val="0"/>
          <w:color w:val="auto"/>
          <w:sz w:val="24"/>
          <w:szCs w:val="24"/>
          <w:highlight w:val="none"/>
        </w:rPr>
        <w:t>.1安全文明施工</w:t>
      </w:r>
      <w:bookmarkEnd w:id="182"/>
    </w:p>
    <w:bookmarkEnd w:id="183"/>
    <w:p w14:paraId="33622D68">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6.1.1安全生产要求</w:t>
      </w:r>
    </w:p>
    <w:p w14:paraId="75BB5F65">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2BD70B4">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在施工过程中，如遇到突发的地质变动、事先未知的地下施工障碍等影响施工安全的紧急情况，</w:t>
      </w:r>
      <w:r>
        <w:rPr>
          <w:rFonts w:hint="eastAsia" w:eastAsia="仿宋_GB2312"/>
          <w:color w:val="auto"/>
          <w:sz w:val="24"/>
          <w:szCs w:val="24"/>
          <w:highlight w:val="none"/>
        </w:rPr>
        <w:t>承包人应及时报告监理人和发包人，</w:t>
      </w:r>
      <w:r>
        <w:rPr>
          <w:rFonts w:eastAsia="仿宋_GB2312"/>
          <w:color w:val="auto"/>
          <w:sz w:val="24"/>
          <w:szCs w:val="24"/>
          <w:highlight w:val="none"/>
        </w:rPr>
        <w:t>发包人应当及时下令停工并报</w:t>
      </w:r>
      <w:r>
        <w:rPr>
          <w:rFonts w:eastAsia="仿宋_GB2312"/>
          <w:color w:val="auto"/>
          <w:kern w:val="0"/>
          <w:sz w:val="24"/>
          <w:szCs w:val="24"/>
          <w:highlight w:val="none"/>
        </w:rPr>
        <w:t>政府有关行政管理部门</w:t>
      </w:r>
      <w:r>
        <w:rPr>
          <w:rFonts w:eastAsia="仿宋_GB2312"/>
          <w:color w:val="auto"/>
          <w:sz w:val="24"/>
          <w:szCs w:val="24"/>
          <w:highlight w:val="none"/>
        </w:rPr>
        <w:t>采取应急措施。</w:t>
      </w:r>
    </w:p>
    <w:p w14:paraId="0758231A">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因安全生产需要暂停施工的，按照第7.8款</w:t>
      </w:r>
      <w:r>
        <w:rPr>
          <w:rFonts w:hint="eastAsia" w:eastAsia="仿宋_GB2312"/>
          <w:color w:val="auto"/>
          <w:sz w:val="24"/>
          <w:szCs w:val="24"/>
          <w:highlight w:val="none"/>
        </w:rPr>
        <w:t>〔</w:t>
      </w:r>
      <w:r>
        <w:rPr>
          <w:rFonts w:eastAsia="仿宋_GB2312"/>
          <w:color w:val="auto"/>
          <w:sz w:val="24"/>
          <w:szCs w:val="24"/>
          <w:highlight w:val="none"/>
        </w:rPr>
        <w:t>暂停施工</w:t>
      </w:r>
      <w:r>
        <w:rPr>
          <w:rFonts w:hint="eastAsia" w:eastAsia="仿宋_GB2312"/>
          <w:color w:val="auto"/>
          <w:sz w:val="24"/>
          <w:szCs w:val="24"/>
          <w:highlight w:val="none"/>
        </w:rPr>
        <w:t>〕</w:t>
      </w:r>
      <w:r>
        <w:rPr>
          <w:rFonts w:eastAsia="仿宋_GB2312"/>
          <w:color w:val="auto"/>
          <w:sz w:val="24"/>
          <w:szCs w:val="24"/>
          <w:highlight w:val="none"/>
        </w:rPr>
        <w:t>的约定执行。</w:t>
      </w:r>
    </w:p>
    <w:p w14:paraId="5E00F324">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6.1.2 安全生产保证措施</w:t>
      </w:r>
    </w:p>
    <w:p w14:paraId="58296C46">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sz w:val="24"/>
          <w:szCs w:val="24"/>
          <w:highlight w:val="none"/>
        </w:rPr>
        <w:t>承包人应当按照有关</w:t>
      </w:r>
      <w:r>
        <w:rPr>
          <w:rFonts w:eastAsia="仿宋_GB2312"/>
          <w:color w:val="auto"/>
          <w:kern w:val="0"/>
          <w:sz w:val="24"/>
          <w:szCs w:val="24"/>
          <w:highlight w:val="none"/>
        </w:rPr>
        <w:t>规定编制安全技术措施或者专项施工方案，</w:t>
      </w:r>
      <w:r>
        <w:rPr>
          <w:rFonts w:eastAsia="仿宋_GB2312"/>
          <w:color w:val="auto"/>
          <w:sz w:val="24"/>
          <w:szCs w:val="24"/>
          <w:highlight w:val="none"/>
        </w:rPr>
        <w:t>建立安全生产责任制度、治安保卫制度及安全生产教育培训制度，并</w:t>
      </w:r>
      <w:r>
        <w:rPr>
          <w:rFonts w:eastAsia="仿宋_GB2312"/>
          <w:color w:val="auto"/>
          <w:kern w:val="0"/>
          <w:sz w:val="24"/>
          <w:szCs w:val="24"/>
          <w:highlight w:val="none"/>
        </w:rPr>
        <w:t>按安全生产法律规定及合同约定履行安全职责，</w:t>
      </w:r>
      <w:r>
        <w:rPr>
          <w:rFonts w:hint="eastAsia" w:eastAsia="仿宋_GB2312"/>
          <w:color w:val="auto"/>
          <w:kern w:val="0"/>
          <w:sz w:val="24"/>
          <w:szCs w:val="24"/>
          <w:highlight w:val="none"/>
        </w:rPr>
        <w:t>如实</w:t>
      </w:r>
      <w:r>
        <w:rPr>
          <w:rFonts w:eastAsia="仿宋_GB2312"/>
          <w:color w:val="auto"/>
          <w:sz w:val="24"/>
          <w:szCs w:val="24"/>
          <w:highlight w:val="none"/>
        </w:rPr>
        <w:t>编制工程安全生产的有关记录，</w:t>
      </w:r>
      <w:r>
        <w:rPr>
          <w:rFonts w:eastAsia="仿宋_GB2312"/>
          <w:color w:val="auto"/>
          <w:kern w:val="0"/>
          <w:sz w:val="24"/>
          <w:szCs w:val="24"/>
          <w:highlight w:val="none"/>
        </w:rPr>
        <w:t>接受发包人、监理人及政府安全监督部门的检查与监督。</w:t>
      </w:r>
    </w:p>
    <w:p w14:paraId="2C7A2DA5">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6.1.3特别安全生产事项</w:t>
      </w:r>
    </w:p>
    <w:p w14:paraId="525B6966">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0308AA2">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67B73E1">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4D56FDD8">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需单独编制危险性较大分部分项专项工程施工方案的，及要求进行专家论证的超过一定规模的危险性较大的分部分项工程，承包人应及时编制和组织论证。</w:t>
      </w:r>
    </w:p>
    <w:p w14:paraId="194B0A61">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6.1.4 治安保卫</w:t>
      </w:r>
    </w:p>
    <w:p w14:paraId="30F93FF7">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08B1CAC3">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发包人和承包人除应协助现场治安管理机构或联防组织维护施工场地的社会治安外，还应做好包括生活区在内的各自管辖区的治安保卫工作。</w:t>
      </w:r>
    </w:p>
    <w:p w14:paraId="679F3047">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eastAsia="仿宋_GB2312"/>
          <w:color w:val="auto"/>
          <w:sz w:val="24"/>
          <w:szCs w:val="24"/>
          <w:highlight w:val="none"/>
        </w:rPr>
        <w:t>和</w:t>
      </w:r>
      <w:r>
        <w:rPr>
          <w:rFonts w:eastAsia="仿宋_GB2312"/>
          <w:color w:val="auto"/>
          <w:sz w:val="24"/>
          <w:szCs w:val="24"/>
          <w:highlight w:val="none"/>
        </w:rPr>
        <w:t>财产损失。</w:t>
      </w:r>
    </w:p>
    <w:p w14:paraId="415E2FD9">
      <w:pPr>
        <w:spacing w:line="360" w:lineRule="auto"/>
        <w:ind w:firstLine="480" w:firstLineChars="200"/>
        <w:rPr>
          <w:rFonts w:eastAsia="仿宋_GB2312"/>
          <w:color w:val="auto"/>
          <w:kern w:val="0"/>
          <w:sz w:val="24"/>
          <w:szCs w:val="24"/>
          <w:highlight w:val="none"/>
        </w:rPr>
      </w:pPr>
      <w:r>
        <w:rPr>
          <w:rFonts w:eastAsia="仿宋_GB2312"/>
          <w:color w:val="auto"/>
          <w:sz w:val="24"/>
          <w:szCs w:val="24"/>
          <w:highlight w:val="none"/>
        </w:rPr>
        <w:t>6.1.5 文明施工</w:t>
      </w:r>
    </w:p>
    <w:p w14:paraId="017C82B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承包人在工程施工期间，应当采取措施保持施工现场平整，物料堆放整齐。工程所在地有关政府行政管理部门有特殊要求的，按照其要求执行。</w:t>
      </w:r>
      <w:r>
        <w:rPr>
          <w:rFonts w:hint="eastAsia" w:eastAsia="仿宋_GB2312"/>
          <w:color w:val="auto"/>
          <w:kern w:val="0"/>
          <w:sz w:val="24"/>
          <w:szCs w:val="24"/>
          <w:highlight w:val="none"/>
        </w:rPr>
        <w:t>合同当事人对文明施工有其他要求的，可以在专用合同条款中明确。</w:t>
      </w:r>
    </w:p>
    <w:p w14:paraId="0880D6F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D659771">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6.1.6 绿色施工安全防护措施费</w:t>
      </w:r>
    </w:p>
    <w:p w14:paraId="48AFC9D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绿色施工安全防护措施费由发包人承担，发包人不得以任何形式扣减该部分费用。因基准日期后合同所适用的法律或政府有关规定发生变化，增加的绿色施工安全防护措施费由发包人承担。</w:t>
      </w:r>
    </w:p>
    <w:p w14:paraId="6451C74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495EDF5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发包人应在开工后28天内预付绿色施工安全防护措施费总额的50%，其余部分与进度款同期支付。发包人逾期支付绿色施工安全防护措施费超过7天的，承包人有权向发包人发出要求预付的催告通知，发包人收到通知后7天内仍未支付的，承包人有权暂停施工，并按第16.1.1项</w:t>
      </w:r>
      <w:r>
        <w:rPr>
          <w:rFonts w:hint="eastAsia" w:eastAsia="仿宋_GB2312"/>
          <w:color w:val="auto"/>
          <w:kern w:val="0"/>
          <w:sz w:val="24"/>
          <w:szCs w:val="24"/>
          <w:highlight w:val="none"/>
        </w:rPr>
        <w:t>〔</w:t>
      </w:r>
      <w:r>
        <w:rPr>
          <w:rFonts w:eastAsia="仿宋_GB2312"/>
          <w:color w:val="auto"/>
          <w:kern w:val="0"/>
          <w:sz w:val="24"/>
          <w:szCs w:val="24"/>
          <w:highlight w:val="none"/>
        </w:rPr>
        <w:t>发包人违约的情形</w:t>
      </w:r>
      <w:r>
        <w:rPr>
          <w:rFonts w:hint="eastAsia" w:eastAsia="仿宋_GB2312"/>
          <w:color w:val="auto"/>
          <w:kern w:val="0"/>
          <w:sz w:val="24"/>
          <w:szCs w:val="24"/>
          <w:highlight w:val="none"/>
        </w:rPr>
        <w:t>〕</w:t>
      </w:r>
      <w:r>
        <w:rPr>
          <w:rFonts w:eastAsia="仿宋_GB2312"/>
          <w:color w:val="auto"/>
          <w:kern w:val="0"/>
          <w:sz w:val="24"/>
          <w:szCs w:val="24"/>
          <w:highlight w:val="none"/>
        </w:rPr>
        <w:t>执行。</w:t>
      </w:r>
    </w:p>
    <w:p w14:paraId="5161684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对绿色施工安全防护措施费应专款专用，承包人应在财务账目中单独列项备查，不得挪作他用，否则发包人有权责令其限期改正；逾期未改正的，可以责令其暂停施工，由此增加的费用和（或）延误的工期由承包人承担。</w:t>
      </w:r>
    </w:p>
    <w:p w14:paraId="6E8C917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6.1.7 紧急情况</w:t>
      </w:r>
      <w:r>
        <w:rPr>
          <w:rFonts w:hint="eastAsia" w:eastAsia="仿宋_GB2312"/>
          <w:color w:val="auto"/>
          <w:kern w:val="0"/>
          <w:sz w:val="24"/>
          <w:szCs w:val="24"/>
          <w:highlight w:val="none"/>
        </w:rPr>
        <w:t>处理</w:t>
      </w:r>
    </w:p>
    <w:p w14:paraId="0493C8AA">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01EDB3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6.1.8 事故处理</w:t>
      </w:r>
    </w:p>
    <w:p w14:paraId="15173C2E">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CE84075">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6.1.9 安全生产责任</w:t>
      </w:r>
    </w:p>
    <w:p w14:paraId="38FE48C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6.1.9.1 发包人的安全责任</w:t>
      </w:r>
    </w:p>
    <w:p w14:paraId="51457DD9">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发包人应负责赔偿以下各种情况造成</w:t>
      </w:r>
      <w:r>
        <w:rPr>
          <w:rFonts w:hint="eastAsia" w:eastAsia="仿宋_GB2312"/>
          <w:color w:val="auto"/>
          <w:sz w:val="24"/>
          <w:szCs w:val="24"/>
          <w:highlight w:val="none"/>
        </w:rPr>
        <w:t>的</w:t>
      </w:r>
      <w:r>
        <w:rPr>
          <w:rFonts w:eastAsia="仿宋_GB2312"/>
          <w:color w:val="auto"/>
          <w:sz w:val="24"/>
          <w:szCs w:val="24"/>
          <w:highlight w:val="none"/>
        </w:rPr>
        <w:t>损失：</w:t>
      </w:r>
    </w:p>
    <w:p w14:paraId="2FB44D45">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（1）工程或工程的任何部分对土地的占用所造成的第三者财产损失；</w:t>
      </w:r>
    </w:p>
    <w:p w14:paraId="0B7FE6D8">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（2）由于发包人原因在施工场地及其毗邻地带造成的第三者人身伤亡和财产损失</w:t>
      </w:r>
      <w:r>
        <w:rPr>
          <w:rFonts w:hint="eastAsia" w:eastAsia="仿宋_GB2312"/>
          <w:color w:val="auto"/>
          <w:sz w:val="24"/>
          <w:szCs w:val="24"/>
          <w:highlight w:val="none"/>
        </w:rPr>
        <w:t>；</w:t>
      </w:r>
    </w:p>
    <w:p w14:paraId="6F5413F9">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（3）由于发包人原因对承包人、监理人造成的人员人身伤亡和财产损失；</w:t>
      </w:r>
    </w:p>
    <w:p w14:paraId="300CD912">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（4）由于发包人原因造成的发包人自身人员的人身伤害以及财产损失。</w:t>
      </w:r>
    </w:p>
    <w:p w14:paraId="5EFA665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6.1.9.2 承包人的安全责任</w:t>
      </w:r>
    </w:p>
    <w:p w14:paraId="67A562C6">
      <w:pPr>
        <w:spacing w:line="360" w:lineRule="auto"/>
        <w:ind w:firstLine="480" w:firstLineChars="200"/>
        <w:rPr>
          <w:rFonts w:eastAsia="仿宋_GB2312"/>
          <w:color w:val="auto"/>
          <w:kern w:val="0"/>
          <w:sz w:val="24"/>
          <w:szCs w:val="24"/>
          <w:highlight w:val="none"/>
        </w:rPr>
      </w:pPr>
      <w:r>
        <w:rPr>
          <w:rFonts w:eastAsia="仿宋_GB2312"/>
          <w:color w:val="auto"/>
          <w:sz w:val="24"/>
          <w:szCs w:val="24"/>
          <w:highlight w:val="none"/>
        </w:rPr>
        <w:t>由于承包人原因在施工场地内及其毗邻地带造成的</w:t>
      </w:r>
      <w:r>
        <w:rPr>
          <w:rFonts w:hint="eastAsia" w:eastAsia="仿宋_GB2312"/>
          <w:color w:val="auto"/>
          <w:sz w:val="24"/>
          <w:szCs w:val="24"/>
          <w:highlight w:val="none"/>
        </w:rPr>
        <w:t>发包人、监理人以及</w:t>
      </w:r>
      <w:r>
        <w:rPr>
          <w:rFonts w:eastAsia="仿宋_GB2312"/>
          <w:color w:val="auto"/>
          <w:sz w:val="24"/>
          <w:szCs w:val="24"/>
          <w:highlight w:val="none"/>
        </w:rPr>
        <w:t>第三者人员伤亡和财产损失，由承包人负责赔偿。</w:t>
      </w:r>
    </w:p>
    <w:p w14:paraId="57830326">
      <w:pPr>
        <w:pStyle w:val="7"/>
        <w:spacing w:before="120" w:after="120" w:line="360" w:lineRule="auto"/>
        <w:ind w:firstLine="480" w:firstLineChars="200"/>
        <w:rPr>
          <w:rFonts w:eastAsia="黑体"/>
          <w:b w:val="0"/>
          <w:color w:val="auto"/>
          <w:sz w:val="24"/>
          <w:szCs w:val="24"/>
          <w:highlight w:val="none"/>
        </w:rPr>
      </w:pPr>
      <w:bookmarkStart w:id="184" w:name="_Toc32835647"/>
      <w:r>
        <w:rPr>
          <w:rFonts w:eastAsia="黑体"/>
          <w:b w:val="0"/>
          <w:color w:val="auto"/>
          <w:sz w:val="24"/>
          <w:szCs w:val="24"/>
          <w:highlight w:val="none"/>
        </w:rPr>
        <w:t>6</w:t>
      </w:r>
      <w:bookmarkStart w:id="185" w:name="_Toc337558765"/>
      <w:r>
        <w:rPr>
          <w:rFonts w:eastAsia="黑体"/>
          <w:b w:val="0"/>
          <w:color w:val="auto"/>
          <w:sz w:val="24"/>
          <w:szCs w:val="24"/>
          <w:highlight w:val="none"/>
        </w:rPr>
        <w:t>.2 职业健康</w:t>
      </w:r>
      <w:bookmarkEnd w:id="184"/>
    </w:p>
    <w:bookmarkEnd w:id="185"/>
    <w:p w14:paraId="7395405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6.2.1 劳动保护</w:t>
      </w:r>
    </w:p>
    <w:p w14:paraId="2648DDE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91BFD0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155EB3B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承包人应按</w:t>
      </w:r>
      <w:r>
        <w:rPr>
          <w:rFonts w:hint="eastAsia" w:eastAsia="仿宋_GB2312"/>
          <w:color w:val="auto"/>
          <w:kern w:val="0"/>
          <w:sz w:val="24"/>
          <w:szCs w:val="24"/>
          <w:highlight w:val="none"/>
        </w:rPr>
        <w:t>法律</w:t>
      </w:r>
      <w:r>
        <w:rPr>
          <w:rFonts w:eastAsia="仿宋_GB2312"/>
          <w:color w:val="auto"/>
          <w:kern w:val="0"/>
          <w:sz w:val="24"/>
          <w:szCs w:val="24"/>
          <w:highlight w:val="none"/>
        </w:rPr>
        <w:t>规定安排工作时间，保证其雇佣人员享有休息和休假的权利。因工程施工的特殊需要占用休假日或延长工作时间的，应不超过法律规定的限度，并按法律规定给予补休或付酬。</w:t>
      </w:r>
    </w:p>
    <w:p w14:paraId="52144DF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6.2.2 生活条件</w:t>
      </w:r>
    </w:p>
    <w:p w14:paraId="3732EA2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1C6E7C4">
      <w:pPr>
        <w:pStyle w:val="7"/>
        <w:spacing w:before="120" w:after="120" w:line="360" w:lineRule="auto"/>
        <w:ind w:firstLine="480" w:firstLineChars="200"/>
        <w:rPr>
          <w:rFonts w:eastAsia="黑体"/>
          <w:b w:val="0"/>
          <w:color w:val="auto"/>
          <w:sz w:val="24"/>
          <w:szCs w:val="24"/>
          <w:highlight w:val="none"/>
        </w:rPr>
      </w:pPr>
      <w:bookmarkStart w:id="186" w:name="_Toc32835648"/>
      <w:r>
        <w:rPr>
          <w:rFonts w:eastAsia="黑体"/>
          <w:b w:val="0"/>
          <w:color w:val="auto"/>
          <w:sz w:val="24"/>
          <w:szCs w:val="24"/>
          <w:highlight w:val="none"/>
        </w:rPr>
        <w:t>6</w:t>
      </w:r>
      <w:bookmarkStart w:id="187" w:name="_Toc337558766"/>
      <w:r>
        <w:rPr>
          <w:rFonts w:eastAsia="黑体"/>
          <w:b w:val="0"/>
          <w:color w:val="auto"/>
          <w:sz w:val="24"/>
          <w:szCs w:val="24"/>
          <w:highlight w:val="none"/>
        </w:rPr>
        <w:t>.3 环境保护</w:t>
      </w:r>
      <w:bookmarkEnd w:id="186"/>
    </w:p>
    <w:bookmarkEnd w:id="187"/>
    <w:p w14:paraId="0DA7B66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7A73CD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3AE6D003">
      <w:pPr>
        <w:pStyle w:val="6"/>
        <w:spacing w:before="120" w:after="120" w:line="360" w:lineRule="auto"/>
        <w:rPr>
          <w:rFonts w:ascii="Times New Roman" w:hAnsi="Times New Roman" w:eastAsia="黑体"/>
          <w:b w:val="0"/>
          <w:color w:val="auto"/>
          <w:sz w:val="24"/>
          <w:szCs w:val="24"/>
          <w:highlight w:val="none"/>
        </w:rPr>
      </w:pPr>
      <w:bookmarkStart w:id="188" w:name="_Toc32835649"/>
      <w:r>
        <w:rPr>
          <w:rFonts w:ascii="Times New Roman" w:hAnsi="Times New Roman" w:eastAsia="黑体"/>
          <w:b w:val="0"/>
          <w:color w:val="auto"/>
          <w:sz w:val="24"/>
          <w:szCs w:val="24"/>
          <w:highlight w:val="none"/>
        </w:rPr>
        <w:t>7</w:t>
      </w:r>
      <w:bookmarkStart w:id="189" w:name="_Toc337558767"/>
      <w:r>
        <w:rPr>
          <w:rFonts w:ascii="Times New Roman" w:hAnsi="Times New Roman" w:eastAsia="黑体"/>
          <w:b w:val="0"/>
          <w:color w:val="auto"/>
          <w:sz w:val="24"/>
          <w:szCs w:val="24"/>
          <w:highlight w:val="none"/>
        </w:rPr>
        <w:t>. 工期和进度</w:t>
      </w:r>
      <w:bookmarkEnd w:id="188"/>
    </w:p>
    <w:bookmarkEnd w:id="189"/>
    <w:p w14:paraId="01C79D91">
      <w:pPr>
        <w:pStyle w:val="7"/>
        <w:spacing w:before="120" w:after="120" w:line="360" w:lineRule="auto"/>
        <w:ind w:firstLine="480" w:firstLineChars="200"/>
        <w:rPr>
          <w:rFonts w:eastAsia="黑体"/>
          <w:b w:val="0"/>
          <w:color w:val="auto"/>
          <w:sz w:val="24"/>
          <w:szCs w:val="24"/>
          <w:highlight w:val="none"/>
        </w:rPr>
      </w:pPr>
      <w:bookmarkStart w:id="190" w:name="_Toc32835650"/>
      <w:r>
        <w:rPr>
          <w:rFonts w:eastAsia="黑体"/>
          <w:b w:val="0"/>
          <w:color w:val="auto"/>
          <w:sz w:val="24"/>
          <w:szCs w:val="24"/>
          <w:highlight w:val="none"/>
        </w:rPr>
        <w:t>7</w:t>
      </w:r>
      <w:bookmarkStart w:id="191" w:name="_Toc337558768"/>
      <w:bookmarkStart w:id="192" w:name="_Toc296346567"/>
      <w:bookmarkStart w:id="193" w:name="_Toc296503066"/>
      <w:r>
        <w:rPr>
          <w:rFonts w:eastAsia="黑体"/>
          <w:b w:val="0"/>
          <w:color w:val="auto"/>
          <w:sz w:val="24"/>
          <w:szCs w:val="24"/>
          <w:highlight w:val="none"/>
        </w:rPr>
        <w:t>.1施工组织设计</w:t>
      </w:r>
      <w:bookmarkEnd w:id="190"/>
    </w:p>
    <w:bookmarkEnd w:id="191"/>
    <w:p w14:paraId="3117D88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sz w:val="24"/>
          <w:szCs w:val="24"/>
          <w:highlight w:val="none"/>
        </w:rPr>
        <w:t xml:space="preserve">7.1.1 </w:t>
      </w:r>
      <w:r>
        <w:rPr>
          <w:rFonts w:eastAsia="仿宋_GB2312"/>
          <w:color w:val="auto"/>
          <w:kern w:val="0"/>
          <w:sz w:val="24"/>
          <w:szCs w:val="24"/>
          <w:highlight w:val="none"/>
        </w:rPr>
        <w:t>施工组织设计的内容</w:t>
      </w:r>
    </w:p>
    <w:p w14:paraId="5987850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施工组织设计应包含以下内容：</w:t>
      </w:r>
    </w:p>
    <w:p w14:paraId="3CD3FEA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 xml:space="preserve">（1）施工方案； </w:t>
      </w:r>
    </w:p>
    <w:p w14:paraId="24313EC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（2）施工现场平面布置图；</w:t>
      </w:r>
    </w:p>
    <w:p w14:paraId="7CCCA8B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 xml:space="preserve">（3）施工进度计划和保证措施； </w:t>
      </w:r>
    </w:p>
    <w:p w14:paraId="3B65212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（4）劳动力及材料供应计划；</w:t>
      </w:r>
    </w:p>
    <w:p w14:paraId="1BA2072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（5）施工机械设备的选用；</w:t>
      </w:r>
    </w:p>
    <w:p w14:paraId="2948C71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（6）质量保证体系及措施；</w:t>
      </w:r>
    </w:p>
    <w:p w14:paraId="495BBD6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（7）安全生产、文明施工措施；</w:t>
      </w:r>
    </w:p>
    <w:p w14:paraId="220B0E4D">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（8）环境保护、成本控制措施</w:t>
      </w:r>
      <w:r>
        <w:rPr>
          <w:rFonts w:hint="eastAsia" w:eastAsia="仿宋_GB2312"/>
          <w:color w:val="auto"/>
          <w:kern w:val="0"/>
          <w:sz w:val="24"/>
          <w:szCs w:val="24"/>
          <w:highlight w:val="none"/>
        </w:rPr>
        <w:t>；</w:t>
      </w:r>
    </w:p>
    <w:p w14:paraId="5AD3689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（9）合同当事人约定的其他内容</w:t>
      </w:r>
      <w:r>
        <w:rPr>
          <w:rFonts w:eastAsia="仿宋_GB2312"/>
          <w:color w:val="auto"/>
          <w:kern w:val="0"/>
          <w:sz w:val="24"/>
          <w:szCs w:val="24"/>
          <w:highlight w:val="none"/>
        </w:rPr>
        <w:t>。</w:t>
      </w:r>
    </w:p>
    <w:p w14:paraId="6B7B505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sz w:val="24"/>
          <w:szCs w:val="24"/>
          <w:highlight w:val="none"/>
        </w:rPr>
        <w:t xml:space="preserve">7.1.2 </w:t>
      </w:r>
      <w:r>
        <w:rPr>
          <w:rFonts w:eastAsia="仿宋_GB2312"/>
          <w:color w:val="auto"/>
          <w:kern w:val="0"/>
          <w:sz w:val="24"/>
          <w:szCs w:val="24"/>
          <w:highlight w:val="none"/>
        </w:rPr>
        <w:t>施工组织设计的提交和修改</w:t>
      </w:r>
    </w:p>
    <w:p w14:paraId="3D0E2C0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除专用合同条款另有约定外，承包人应在合同签订后14天内，但至迟不得晚于第7.3.2项</w:t>
      </w:r>
      <w:r>
        <w:rPr>
          <w:rFonts w:hint="eastAsia" w:eastAsia="仿宋_GB2312"/>
          <w:color w:val="auto"/>
          <w:kern w:val="0"/>
          <w:sz w:val="24"/>
          <w:szCs w:val="24"/>
          <w:highlight w:val="none"/>
        </w:rPr>
        <w:t>〔</w:t>
      </w:r>
      <w:r>
        <w:rPr>
          <w:rFonts w:eastAsia="仿宋_GB2312"/>
          <w:color w:val="auto"/>
          <w:kern w:val="0"/>
          <w:sz w:val="24"/>
          <w:szCs w:val="24"/>
          <w:highlight w:val="none"/>
        </w:rPr>
        <w:t>开工通知</w:t>
      </w:r>
      <w:r>
        <w:rPr>
          <w:rFonts w:hint="eastAsia" w:eastAsia="仿宋_GB2312"/>
          <w:color w:val="auto"/>
          <w:kern w:val="0"/>
          <w:sz w:val="24"/>
          <w:szCs w:val="24"/>
          <w:highlight w:val="none"/>
        </w:rPr>
        <w:t>〕</w:t>
      </w:r>
      <w:r>
        <w:rPr>
          <w:rFonts w:eastAsia="仿宋_GB2312"/>
          <w:color w:val="auto"/>
          <w:kern w:val="0"/>
          <w:sz w:val="24"/>
          <w:szCs w:val="24"/>
          <w:highlight w:val="none"/>
        </w:rPr>
        <w:t>载明的开工日期前7天，向监理人提交详细的施工组织设计，并由监理人报送发包人。</w:t>
      </w:r>
      <w:r>
        <w:rPr>
          <w:rFonts w:hint="eastAsia" w:eastAsia="仿宋_GB2312"/>
          <w:color w:val="auto"/>
          <w:kern w:val="0"/>
          <w:sz w:val="24"/>
          <w:szCs w:val="24"/>
          <w:highlight w:val="none"/>
        </w:rPr>
        <w:t>除专用合同条款另有约定外，发包人和监理人应在监理人收到施工组织设计后7天内确认或提出修改意见</w:t>
      </w:r>
      <w:r>
        <w:rPr>
          <w:rFonts w:eastAsia="仿宋_GB2312"/>
          <w:color w:val="auto"/>
          <w:kern w:val="0"/>
          <w:sz w:val="24"/>
          <w:szCs w:val="24"/>
          <w:highlight w:val="none"/>
        </w:rPr>
        <w:t>。对发包人和监理人提出的合理意见和要求，承包人应自费修改完善。根据工程实际情况需要修改施工组织设计的，承包人应向发包人和监理人提交修改后的施工组织设计。</w:t>
      </w:r>
    </w:p>
    <w:p w14:paraId="36CFCF7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施工进度计划的编制和修改按照第7.2款</w:t>
      </w:r>
      <w:r>
        <w:rPr>
          <w:rFonts w:hint="eastAsia" w:eastAsia="仿宋_GB2312"/>
          <w:color w:val="auto"/>
          <w:kern w:val="0"/>
          <w:sz w:val="24"/>
          <w:szCs w:val="24"/>
          <w:highlight w:val="none"/>
        </w:rPr>
        <w:t>〔</w:t>
      </w:r>
      <w:r>
        <w:rPr>
          <w:rFonts w:eastAsia="仿宋_GB2312"/>
          <w:color w:val="auto"/>
          <w:kern w:val="0"/>
          <w:sz w:val="24"/>
          <w:szCs w:val="24"/>
          <w:highlight w:val="none"/>
        </w:rPr>
        <w:t>施工进度计划</w:t>
      </w:r>
      <w:r>
        <w:rPr>
          <w:rFonts w:hint="eastAsia" w:eastAsia="仿宋_GB2312"/>
          <w:color w:val="auto"/>
          <w:kern w:val="0"/>
          <w:sz w:val="24"/>
          <w:szCs w:val="24"/>
          <w:highlight w:val="none"/>
        </w:rPr>
        <w:t>〕</w:t>
      </w:r>
      <w:r>
        <w:rPr>
          <w:rFonts w:eastAsia="仿宋_GB2312"/>
          <w:color w:val="auto"/>
          <w:kern w:val="0"/>
          <w:sz w:val="24"/>
          <w:szCs w:val="24"/>
          <w:highlight w:val="none"/>
        </w:rPr>
        <w:t>执行。</w:t>
      </w:r>
    </w:p>
    <w:p w14:paraId="3EFCC7C9">
      <w:pPr>
        <w:pStyle w:val="7"/>
        <w:spacing w:before="120" w:after="120" w:line="360" w:lineRule="auto"/>
        <w:ind w:firstLine="480" w:firstLineChars="200"/>
        <w:rPr>
          <w:rFonts w:eastAsia="黑体"/>
          <w:b w:val="0"/>
          <w:color w:val="auto"/>
          <w:sz w:val="24"/>
          <w:szCs w:val="24"/>
          <w:highlight w:val="none"/>
        </w:rPr>
      </w:pPr>
      <w:bookmarkStart w:id="194" w:name="_Toc32835651"/>
      <w:r>
        <w:rPr>
          <w:rFonts w:eastAsia="黑体"/>
          <w:b w:val="0"/>
          <w:color w:val="auto"/>
          <w:sz w:val="24"/>
          <w:szCs w:val="24"/>
          <w:highlight w:val="none"/>
        </w:rPr>
        <w:t>7</w:t>
      </w:r>
      <w:bookmarkStart w:id="195" w:name="_Toc337558769"/>
      <w:r>
        <w:rPr>
          <w:rFonts w:eastAsia="黑体"/>
          <w:b w:val="0"/>
          <w:color w:val="auto"/>
          <w:sz w:val="24"/>
          <w:szCs w:val="24"/>
          <w:highlight w:val="none"/>
        </w:rPr>
        <w:t>.2 施工进度计划</w:t>
      </w:r>
      <w:bookmarkEnd w:id="194"/>
    </w:p>
    <w:bookmarkEnd w:id="195"/>
    <w:p w14:paraId="5C62658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7.2.1 施工进度计划的编制</w:t>
      </w:r>
    </w:p>
    <w:p w14:paraId="483D61E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承包人应按照第7.1款</w:t>
      </w:r>
      <w:r>
        <w:rPr>
          <w:rFonts w:hint="eastAsia" w:eastAsia="仿宋_GB2312"/>
          <w:color w:val="auto"/>
          <w:kern w:val="0"/>
          <w:sz w:val="24"/>
          <w:szCs w:val="24"/>
          <w:highlight w:val="none"/>
        </w:rPr>
        <w:t>〔</w:t>
      </w:r>
      <w:r>
        <w:rPr>
          <w:rFonts w:eastAsia="仿宋_GB2312"/>
          <w:color w:val="auto"/>
          <w:kern w:val="0"/>
          <w:sz w:val="24"/>
          <w:szCs w:val="24"/>
          <w:highlight w:val="none"/>
        </w:rPr>
        <w:t>施工组织设计</w:t>
      </w:r>
      <w:r>
        <w:rPr>
          <w:rFonts w:hint="eastAsia" w:eastAsia="仿宋_GB2312"/>
          <w:color w:val="auto"/>
          <w:kern w:val="0"/>
          <w:sz w:val="24"/>
          <w:szCs w:val="24"/>
          <w:highlight w:val="none"/>
        </w:rPr>
        <w:t>〕</w:t>
      </w:r>
      <w:r>
        <w:rPr>
          <w:rFonts w:eastAsia="仿宋_GB2312"/>
          <w:color w:val="auto"/>
          <w:kern w:val="0"/>
          <w:sz w:val="24"/>
          <w:szCs w:val="24"/>
          <w:highlight w:val="none"/>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4878B0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sz w:val="24"/>
          <w:szCs w:val="24"/>
          <w:highlight w:val="none"/>
        </w:rPr>
        <w:t>7.2.2 施工进度计划的修订</w:t>
      </w:r>
    </w:p>
    <w:p w14:paraId="4906522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97C9D73">
      <w:pPr>
        <w:pStyle w:val="7"/>
        <w:spacing w:before="120" w:after="120" w:line="360" w:lineRule="auto"/>
        <w:ind w:firstLine="480" w:firstLineChars="200"/>
        <w:rPr>
          <w:rFonts w:eastAsia="黑体"/>
          <w:b w:val="0"/>
          <w:color w:val="auto"/>
          <w:sz w:val="24"/>
          <w:szCs w:val="24"/>
          <w:highlight w:val="none"/>
        </w:rPr>
      </w:pPr>
      <w:bookmarkStart w:id="196" w:name="_Toc32835652"/>
      <w:r>
        <w:rPr>
          <w:rFonts w:eastAsia="黑体"/>
          <w:b w:val="0"/>
          <w:color w:val="auto"/>
          <w:sz w:val="24"/>
          <w:szCs w:val="24"/>
          <w:highlight w:val="none"/>
        </w:rPr>
        <w:t>7</w:t>
      </w:r>
      <w:bookmarkStart w:id="197" w:name="_Toc337558770"/>
      <w:r>
        <w:rPr>
          <w:rFonts w:eastAsia="黑体"/>
          <w:b w:val="0"/>
          <w:color w:val="auto"/>
          <w:sz w:val="24"/>
          <w:szCs w:val="24"/>
          <w:highlight w:val="none"/>
        </w:rPr>
        <w:t>.3 开工</w:t>
      </w:r>
      <w:bookmarkEnd w:id="196"/>
    </w:p>
    <w:p w14:paraId="013917D5">
      <w:pPr>
        <w:spacing w:line="360" w:lineRule="auto"/>
        <w:ind w:firstLine="480" w:firstLineChars="200"/>
        <w:rPr>
          <w:rFonts w:eastAsia="仿宋_GB2312"/>
          <w:color w:val="auto"/>
          <w:sz w:val="24"/>
          <w:szCs w:val="24"/>
          <w:highlight w:val="none"/>
        </w:rPr>
      </w:pPr>
      <w:r>
        <w:rPr>
          <w:rFonts w:eastAsia="仿宋_GB2312"/>
          <w:color w:val="auto"/>
          <w:kern w:val="0"/>
          <w:sz w:val="24"/>
          <w:szCs w:val="24"/>
          <w:highlight w:val="none"/>
        </w:rPr>
        <w:t>7.3.1 开工准备</w:t>
      </w:r>
    </w:p>
    <w:p w14:paraId="31CC79F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除专用合同条款另有约定外，承包人应按照第7.1款</w:t>
      </w:r>
      <w:r>
        <w:rPr>
          <w:rFonts w:hint="eastAsia" w:eastAsia="仿宋_GB2312"/>
          <w:color w:val="auto"/>
          <w:kern w:val="0"/>
          <w:sz w:val="24"/>
          <w:szCs w:val="24"/>
          <w:highlight w:val="none"/>
        </w:rPr>
        <w:t>〔</w:t>
      </w:r>
      <w:r>
        <w:rPr>
          <w:rFonts w:eastAsia="仿宋_GB2312"/>
          <w:color w:val="auto"/>
          <w:kern w:val="0"/>
          <w:sz w:val="24"/>
          <w:szCs w:val="24"/>
          <w:highlight w:val="none"/>
        </w:rPr>
        <w:t>施工组织设计</w:t>
      </w:r>
      <w:r>
        <w:rPr>
          <w:rFonts w:hint="eastAsia" w:eastAsia="仿宋_GB2312"/>
          <w:color w:val="auto"/>
          <w:kern w:val="0"/>
          <w:sz w:val="24"/>
          <w:szCs w:val="24"/>
          <w:highlight w:val="none"/>
        </w:rPr>
        <w:t>〕</w:t>
      </w:r>
      <w:r>
        <w:rPr>
          <w:rFonts w:eastAsia="仿宋_GB2312"/>
          <w:color w:val="auto"/>
          <w:kern w:val="0"/>
          <w:sz w:val="24"/>
          <w:szCs w:val="24"/>
          <w:highlight w:val="none"/>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9746E2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除专用合同条款另有约定外，合同当事人应按约定完成开工准备工作。</w:t>
      </w:r>
    </w:p>
    <w:p w14:paraId="2F496DB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7.3.2 开工通知</w:t>
      </w:r>
    </w:p>
    <w:bookmarkEnd w:id="197"/>
    <w:p w14:paraId="124A131C">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4B4E094">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1B38CA0B">
      <w:pPr>
        <w:pStyle w:val="7"/>
        <w:spacing w:before="120" w:after="120" w:line="360" w:lineRule="auto"/>
        <w:ind w:firstLine="480" w:firstLineChars="200"/>
        <w:rPr>
          <w:rFonts w:eastAsia="黑体"/>
          <w:b w:val="0"/>
          <w:color w:val="auto"/>
          <w:sz w:val="24"/>
          <w:szCs w:val="24"/>
          <w:highlight w:val="none"/>
        </w:rPr>
      </w:pPr>
      <w:bookmarkStart w:id="198" w:name="_Toc32835653"/>
      <w:r>
        <w:rPr>
          <w:rFonts w:eastAsia="黑体"/>
          <w:b w:val="0"/>
          <w:color w:val="auto"/>
          <w:sz w:val="24"/>
          <w:szCs w:val="24"/>
          <w:highlight w:val="none"/>
        </w:rPr>
        <w:t>7.4测量放线</w:t>
      </w:r>
      <w:bookmarkEnd w:id="198"/>
    </w:p>
    <w:p w14:paraId="5F4CD2F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7.4.1 除专用合同条款另有约定外，发包人应在</w:t>
      </w:r>
      <w:r>
        <w:rPr>
          <w:rFonts w:hint="eastAsia" w:eastAsia="仿宋_GB2312"/>
          <w:color w:val="auto"/>
          <w:kern w:val="0"/>
          <w:sz w:val="24"/>
          <w:szCs w:val="24"/>
          <w:highlight w:val="none"/>
        </w:rPr>
        <w:t>最</w:t>
      </w:r>
      <w:r>
        <w:rPr>
          <w:rFonts w:eastAsia="仿宋_GB2312"/>
          <w:color w:val="auto"/>
          <w:kern w:val="0"/>
          <w:sz w:val="24"/>
          <w:szCs w:val="24"/>
          <w:highlight w:val="none"/>
        </w:rPr>
        <w:t>迟不得晚于第7.3.2项</w:t>
      </w:r>
      <w:r>
        <w:rPr>
          <w:rFonts w:hint="eastAsia" w:eastAsia="仿宋_GB2312"/>
          <w:color w:val="auto"/>
          <w:kern w:val="0"/>
          <w:sz w:val="24"/>
          <w:szCs w:val="24"/>
          <w:highlight w:val="none"/>
        </w:rPr>
        <w:t>〔</w:t>
      </w:r>
      <w:r>
        <w:rPr>
          <w:rFonts w:eastAsia="仿宋_GB2312"/>
          <w:color w:val="auto"/>
          <w:kern w:val="0"/>
          <w:sz w:val="24"/>
          <w:szCs w:val="24"/>
          <w:highlight w:val="none"/>
        </w:rPr>
        <w:t>开工通知</w:t>
      </w:r>
      <w:r>
        <w:rPr>
          <w:rFonts w:hint="eastAsia" w:eastAsia="仿宋_GB2312"/>
          <w:color w:val="auto"/>
          <w:kern w:val="0"/>
          <w:sz w:val="24"/>
          <w:szCs w:val="24"/>
          <w:highlight w:val="none"/>
        </w:rPr>
        <w:t>〕</w:t>
      </w:r>
      <w:r>
        <w:rPr>
          <w:rFonts w:eastAsia="仿宋_GB2312"/>
          <w:color w:val="auto"/>
          <w:kern w:val="0"/>
          <w:sz w:val="24"/>
          <w:szCs w:val="24"/>
          <w:highlight w:val="none"/>
        </w:rPr>
        <w:t>载明的开工日期前7天通过监理人向承包人提供测量基准点、基准线和水准点及其书面资料。发包人应对其提供的测量基准点、基准线和水准点及其书面资料的真实性、准确性和完整性负责。</w:t>
      </w:r>
    </w:p>
    <w:p w14:paraId="138FE4F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5265D7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8CDB05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施工过程中对施工现场内水准点等测量标志物的保护工作由承包人负责。</w:t>
      </w:r>
    </w:p>
    <w:p w14:paraId="1F1DB811">
      <w:pPr>
        <w:pStyle w:val="7"/>
        <w:spacing w:before="120" w:after="120" w:line="360" w:lineRule="auto"/>
        <w:ind w:firstLine="480" w:firstLineChars="200"/>
        <w:rPr>
          <w:rFonts w:eastAsia="黑体"/>
          <w:b w:val="0"/>
          <w:color w:val="auto"/>
          <w:sz w:val="24"/>
          <w:szCs w:val="24"/>
          <w:highlight w:val="none"/>
        </w:rPr>
      </w:pPr>
      <w:bookmarkStart w:id="199" w:name="_Toc32835654"/>
      <w:r>
        <w:rPr>
          <w:rFonts w:eastAsia="黑体"/>
          <w:b w:val="0"/>
          <w:color w:val="auto"/>
          <w:sz w:val="24"/>
          <w:szCs w:val="24"/>
          <w:highlight w:val="none"/>
        </w:rPr>
        <w:t>7</w:t>
      </w:r>
      <w:bookmarkEnd w:id="192"/>
      <w:bookmarkEnd w:id="193"/>
      <w:bookmarkStart w:id="200" w:name="_Toc296503073"/>
      <w:bookmarkStart w:id="201" w:name="_Toc337558772"/>
      <w:bookmarkStart w:id="202" w:name="_Toc296346574"/>
      <w:r>
        <w:rPr>
          <w:rFonts w:eastAsia="黑体"/>
          <w:b w:val="0"/>
          <w:color w:val="auto"/>
          <w:sz w:val="24"/>
          <w:szCs w:val="24"/>
          <w:highlight w:val="none"/>
        </w:rPr>
        <w:t>.5</w:t>
      </w:r>
      <w:r>
        <w:rPr>
          <w:rFonts w:hint="eastAsia" w:eastAsia="黑体"/>
          <w:b w:val="0"/>
          <w:color w:val="auto"/>
          <w:sz w:val="24"/>
          <w:szCs w:val="24"/>
          <w:highlight w:val="none"/>
        </w:rPr>
        <w:t xml:space="preserve"> </w:t>
      </w:r>
      <w:r>
        <w:rPr>
          <w:rFonts w:eastAsia="黑体"/>
          <w:b w:val="0"/>
          <w:color w:val="auto"/>
          <w:sz w:val="24"/>
          <w:szCs w:val="24"/>
          <w:highlight w:val="none"/>
        </w:rPr>
        <w:t>工期延误</w:t>
      </w:r>
      <w:bookmarkEnd w:id="199"/>
    </w:p>
    <w:bookmarkEnd w:id="200"/>
    <w:bookmarkEnd w:id="201"/>
    <w:bookmarkEnd w:id="202"/>
    <w:p w14:paraId="3B2B3E23">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7.5.1 因发包人原因导致工期延误</w:t>
      </w:r>
    </w:p>
    <w:p w14:paraId="3B964A2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 xml:space="preserve">在合同履行过程中，因下列情况导致工期延误和（或）费用增加的，由发包人承担由此延误的工期和（或）增加的费用，且发包人应支付承包人合理的利润： </w:t>
      </w:r>
    </w:p>
    <w:p w14:paraId="6132AD61">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（1）发包人未能按合同约定提供图纸或所提供图纸不符合合同约定的；</w:t>
      </w:r>
    </w:p>
    <w:p w14:paraId="2D5A53AE">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（2）发包人未能按合同约定提供施工现场、施工条件、基础资料、许可、批准等开工条件的；</w:t>
      </w:r>
    </w:p>
    <w:p w14:paraId="02BCF1F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（3）发包人提供的测量基准点、基准线和水准点及其书面资料存在错误或疏漏的；</w:t>
      </w:r>
    </w:p>
    <w:p w14:paraId="1F25AA4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（4）发包人未能在计划开工日期之日起7天内同意下达开工通知的；</w:t>
      </w:r>
    </w:p>
    <w:p w14:paraId="5646642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（5）发包人未能按合同约定日期支付工程预付款、进度款或竣工结算款的；</w:t>
      </w:r>
    </w:p>
    <w:p w14:paraId="76D38794">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（6）监理人未按合同约定发出指示、批准等文件的；</w:t>
      </w:r>
    </w:p>
    <w:p w14:paraId="66F3632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（7）专用合同条款中约定的其他情形。</w:t>
      </w:r>
    </w:p>
    <w:p w14:paraId="5BF05C6D">
      <w:pPr>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eastAsia="仿宋_GB2312"/>
          <w:color w:val="auto"/>
          <w:kern w:val="0"/>
          <w:sz w:val="24"/>
          <w:szCs w:val="24"/>
          <w:highlight w:val="none"/>
        </w:rPr>
        <w:t>〔</w:t>
      </w:r>
      <w:r>
        <w:rPr>
          <w:rFonts w:eastAsia="仿宋_GB2312"/>
          <w:color w:val="auto"/>
          <w:kern w:val="0"/>
          <w:sz w:val="24"/>
          <w:szCs w:val="24"/>
          <w:highlight w:val="none"/>
        </w:rPr>
        <w:t>施工进度计划的修订</w:t>
      </w:r>
      <w:r>
        <w:rPr>
          <w:rFonts w:hint="eastAsia" w:eastAsia="仿宋_GB2312"/>
          <w:color w:val="auto"/>
          <w:kern w:val="0"/>
          <w:sz w:val="24"/>
          <w:szCs w:val="24"/>
          <w:highlight w:val="none"/>
        </w:rPr>
        <w:t>〕</w:t>
      </w:r>
      <w:r>
        <w:rPr>
          <w:rFonts w:eastAsia="仿宋_GB2312"/>
          <w:color w:val="auto"/>
          <w:kern w:val="0"/>
          <w:sz w:val="24"/>
          <w:szCs w:val="24"/>
          <w:highlight w:val="none"/>
        </w:rPr>
        <w:t>执行。</w:t>
      </w:r>
    </w:p>
    <w:p w14:paraId="516C702A">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kern w:val="0"/>
          <w:sz w:val="24"/>
          <w:szCs w:val="24"/>
          <w:highlight w:val="none"/>
        </w:rPr>
        <w:t>7.5.2 因承包人原因导致工期延误</w:t>
      </w:r>
    </w:p>
    <w:p w14:paraId="71571936">
      <w:pPr>
        <w:autoSpaceDE w:val="0"/>
        <w:autoSpaceDN w:val="0"/>
        <w:adjustRightInd w:val="0"/>
        <w:spacing w:line="360" w:lineRule="auto"/>
        <w:ind w:firstLine="480" w:firstLineChars="200"/>
        <w:jc w:val="left"/>
        <w:rPr>
          <w:rFonts w:eastAsia="仿宋_GB2312"/>
          <w:color w:val="auto"/>
          <w:kern w:val="0"/>
          <w:sz w:val="24"/>
          <w:szCs w:val="24"/>
          <w:highlight w:val="none"/>
        </w:rPr>
      </w:pPr>
      <w:bookmarkStart w:id="203" w:name="_Toc296346577"/>
      <w:bookmarkStart w:id="204" w:name="_Toc296503076"/>
      <w:r>
        <w:rPr>
          <w:rFonts w:eastAsia="仿宋_GB2312"/>
          <w:color w:val="auto"/>
          <w:kern w:val="0"/>
          <w:sz w:val="24"/>
          <w:szCs w:val="24"/>
          <w:highlight w:val="none"/>
        </w:rPr>
        <w:t>因</w:t>
      </w:r>
      <w:bookmarkEnd w:id="203"/>
      <w:bookmarkEnd w:id="204"/>
      <w:r>
        <w:rPr>
          <w:rFonts w:eastAsia="仿宋_GB2312"/>
          <w:color w:val="auto"/>
          <w:kern w:val="0"/>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053F6D02">
      <w:pPr>
        <w:pStyle w:val="7"/>
        <w:spacing w:before="120" w:after="120" w:line="360" w:lineRule="auto"/>
        <w:ind w:firstLine="480" w:firstLineChars="200"/>
        <w:rPr>
          <w:rFonts w:eastAsia="黑体"/>
          <w:b w:val="0"/>
          <w:color w:val="auto"/>
          <w:sz w:val="24"/>
          <w:szCs w:val="24"/>
          <w:highlight w:val="none"/>
        </w:rPr>
      </w:pPr>
      <w:bookmarkStart w:id="205" w:name="_Toc32835655"/>
      <w:r>
        <w:rPr>
          <w:rFonts w:eastAsia="黑体"/>
          <w:b w:val="0"/>
          <w:color w:val="auto"/>
          <w:sz w:val="24"/>
          <w:szCs w:val="24"/>
          <w:highlight w:val="none"/>
        </w:rPr>
        <w:t>7</w:t>
      </w:r>
      <w:bookmarkStart w:id="206" w:name="_Toc296503074"/>
      <w:bookmarkStart w:id="207" w:name="_Toc296346575"/>
      <w:bookmarkStart w:id="208" w:name="_Toc337558773"/>
      <w:bookmarkStart w:id="209" w:name="_Toc296503077"/>
      <w:bookmarkStart w:id="210" w:name="_Toc296346578"/>
      <w:r>
        <w:rPr>
          <w:rFonts w:eastAsia="黑体"/>
          <w:b w:val="0"/>
          <w:color w:val="auto"/>
          <w:sz w:val="24"/>
          <w:szCs w:val="24"/>
          <w:highlight w:val="none"/>
        </w:rPr>
        <w:t>.6 不利物质条件</w:t>
      </w:r>
      <w:bookmarkEnd w:id="205"/>
    </w:p>
    <w:bookmarkEnd w:id="206"/>
    <w:bookmarkEnd w:id="207"/>
    <w:bookmarkEnd w:id="208"/>
    <w:p w14:paraId="2A63AC4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7AFF8E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eastAsia="仿宋_GB2312"/>
          <w:color w:val="auto"/>
          <w:kern w:val="0"/>
          <w:sz w:val="24"/>
          <w:szCs w:val="24"/>
          <w:highlight w:val="none"/>
        </w:rPr>
        <w:t>〔</w:t>
      </w:r>
      <w:r>
        <w:rPr>
          <w:rFonts w:eastAsia="仿宋_GB2312"/>
          <w:color w:val="auto"/>
          <w:kern w:val="0"/>
          <w:sz w:val="24"/>
          <w:szCs w:val="24"/>
          <w:highlight w:val="none"/>
        </w:rPr>
        <w:t>变更</w:t>
      </w:r>
      <w:r>
        <w:rPr>
          <w:rFonts w:hint="eastAsia" w:eastAsia="仿宋_GB2312"/>
          <w:color w:val="auto"/>
          <w:kern w:val="0"/>
          <w:sz w:val="24"/>
          <w:szCs w:val="24"/>
          <w:highlight w:val="none"/>
        </w:rPr>
        <w:t>〕</w:t>
      </w:r>
      <w:r>
        <w:rPr>
          <w:rFonts w:eastAsia="仿宋_GB2312"/>
          <w:color w:val="auto"/>
          <w:kern w:val="0"/>
          <w:sz w:val="24"/>
          <w:szCs w:val="24"/>
          <w:highlight w:val="none"/>
        </w:rPr>
        <w:t>约定执行。承包人因采取合理措施而增加的费用和（或）延误的工期由发包人承担。</w:t>
      </w:r>
    </w:p>
    <w:p w14:paraId="5A0755E2">
      <w:pPr>
        <w:pStyle w:val="7"/>
        <w:spacing w:before="120" w:after="120" w:line="360" w:lineRule="auto"/>
        <w:ind w:firstLine="480" w:firstLineChars="200"/>
        <w:rPr>
          <w:rFonts w:eastAsia="黑体"/>
          <w:b w:val="0"/>
          <w:color w:val="auto"/>
          <w:sz w:val="24"/>
          <w:szCs w:val="24"/>
          <w:highlight w:val="none"/>
        </w:rPr>
      </w:pPr>
      <w:bookmarkStart w:id="211" w:name="_Toc32835656"/>
      <w:r>
        <w:rPr>
          <w:rFonts w:eastAsia="黑体"/>
          <w:b w:val="0"/>
          <w:color w:val="auto"/>
          <w:sz w:val="24"/>
          <w:szCs w:val="24"/>
          <w:highlight w:val="none"/>
        </w:rPr>
        <w:t>7</w:t>
      </w:r>
      <w:bookmarkStart w:id="212" w:name="_Toc296346576"/>
      <w:bookmarkStart w:id="213" w:name="_Toc337558774"/>
      <w:bookmarkStart w:id="214" w:name="_Toc296503075"/>
      <w:r>
        <w:rPr>
          <w:rFonts w:eastAsia="黑体"/>
          <w:b w:val="0"/>
          <w:color w:val="auto"/>
          <w:sz w:val="24"/>
          <w:szCs w:val="24"/>
          <w:highlight w:val="none"/>
        </w:rPr>
        <w:t>.7</w:t>
      </w:r>
      <w:r>
        <w:rPr>
          <w:rFonts w:hint="eastAsia" w:eastAsia="黑体"/>
          <w:b w:val="0"/>
          <w:color w:val="auto"/>
          <w:sz w:val="24"/>
          <w:szCs w:val="24"/>
          <w:highlight w:val="none"/>
        </w:rPr>
        <w:t xml:space="preserve"> </w:t>
      </w:r>
      <w:r>
        <w:rPr>
          <w:rFonts w:eastAsia="黑体"/>
          <w:b w:val="0"/>
          <w:color w:val="auto"/>
          <w:sz w:val="24"/>
          <w:szCs w:val="24"/>
          <w:highlight w:val="none"/>
        </w:rPr>
        <w:t>异常恶劣的气候条件</w:t>
      </w:r>
      <w:bookmarkEnd w:id="211"/>
    </w:p>
    <w:bookmarkEnd w:id="212"/>
    <w:bookmarkEnd w:id="213"/>
    <w:bookmarkEnd w:id="214"/>
    <w:p w14:paraId="5D5E175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120E10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承包人应采取克服异常恶劣的气候条件的合理措施继续施工，并及时通知发包人和监理人。监理人经发包人同意后应当及时发出指示，指示构成变更的，按第10条</w:t>
      </w:r>
      <w:r>
        <w:rPr>
          <w:rFonts w:hint="eastAsia" w:eastAsia="仿宋_GB2312"/>
          <w:color w:val="auto"/>
          <w:kern w:val="0"/>
          <w:sz w:val="24"/>
          <w:szCs w:val="24"/>
          <w:highlight w:val="none"/>
        </w:rPr>
        <w:t>〔</w:t>
      </w:r>
      <w:r>
        <w:rPr>
          <w:rFonts w:eastAsia="仿宋_GB2312"/>
          <w:color w:val="auto"/>
          <w:kern w:val="0"/>
          <w:sz w:val="24"/>
          <w:szCs w:val="24"/>
          <w:highlight w:val="none"/>
        </w:rPr>
        <w:t>变更</w:t>
      </w:r>
      <w:r>
        <w:rPr>
          <w:rFonts w:hint="eastAsia" w:eastAsia="仿宋_GB2312"/>
          <w:color w:val="auto"/>
          <w:kern w:val="0"/>
          <w:sz w:val="24"/>
          <w:szCs w:val="24"/>
          <w:highlight w:val="none"/>
        </w:rPr>
        <w:t>〕</w:t>
      </w:r>
      <w:r>
        <w:rPr>
          <w:rFonts w:eastAsia="仿宋_GB2312"/>
          <w:color w:val="auto"/>
          <w:kern w:val="0"/>
          <w:sz w:val="24"/>
          <w:szCs w:val="24"/>
          <w:highlight w:val="none"/>
        </w:rPr>
        <w:t>约定办理。承包人因采取合理措施而增加的费用和（或）延误的工期由发包人承担。</w:t>
      </w:r>
    </w:p>
    <w:p w14:paraId="073FC2D3">
      <w:pPr>
        <w:autoSpaceDE w:val="0"/>
        <w:autoSpaceDN w:val="0"/>
        <w:adjustRightInd w:val="0"/>
        <w:spacing w:line="360" w:lineRule="auto"/>
        <w:ind w:firstLine="480" w:firstLineChars="200"/>
        <w:jc w:val="left"/>
        <w:outlineLvl w:val="0"/>
        <w:rPr>
          <w:rFonts w:eastAsia="黑体"/>
          <w:bCs/>
          <w:color w:val="auto"/>
          <w:sz w:val="24"/>
          <w:szCs w:val="24"/>
          <w:highlight w:val="none"/>
        </w:rPr>
      </w:pPr>
      <w:bookmarkStart w:id="215" w:name="_Toc32835657"/>
      <w:r>
        <w:rPr>
          <w:rFonts w:eastAsia="黑体"/>
          <w:bCs/>
          <w:color w:val="auto"/>
          <w:sz w:val="24"/>
          <w:szCs w:val="24"/>
          <w:highlight w:val="none"/>
        </w:rPr>
        <w:t>7</w:t>
      </w:r>
      <w:bookmarkStart w:id="216" w:name="_Toc337558775"/>
      <w:r>
        <w:rPr>
          <w:rFonts w:eastAsia="黑体"/>
          <w:bCs/>
          <w:color w:val="auto"/>
          <w:sz w:val="24"/>
          <w:szCs w:val="24"/>
          <w:highlight w:val="none"/>
        </w:rPr>
        <w:t>.8</w:t>
      </w:r>
      <w:r>
        <w:rPr>
          <w:rFonts w:hint="eastAsia" w:eastAsia="黑体"/>
          <w:bCs/>
          <w:color w:val="auto"/>
          <w:sz w:val="24"/>
          <w:szCs w:val="24"/>
          <w:highlight w:val="none"/>
        </w:rPr>
        <w:t xml:space="preserve"> </w:t>
      </w:r>
      <w:r>
        <w:rPr>
          <w:rFonts w:eastAsia="黑体"/>
          <w:bCs/>
          <w:color w:val="auto"/>
          <w:sz w:val="24"/>
          <w:szCs w:val="24"/>
          <w:highlight w:val="none"/>
        </w:rPr>
        <w:t>暂停施工</w:t>
      </w:r>
      <w:bookmarkEnd w:id="215"/>
    </w:p>
    <w:bookmarkEnd w:id="209"/>
    <w:bookmarkEnd w:id="210"/>
    <w:bookmarkEnd w:id="216"/>
    <w:p w14:paraId="35AB1D9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7.8.1发包人原因引起的暂停施工</w:t>
      </w:r>
    </w:p>
    <w:p w14:paraId="3829D3C6">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因发包人原因引起暂停施工的，监理人经发包人同意后，应及时下达暂停施工指示。情况紧急且监理人未及时下达暂停施工指示的，按照第7.8.4项</w:t>
      </w:r>
      <w:r>
        <w:rPr>
          <w:rFonts w:hint="eastAsia" w:eastAsia="仿宋_GB2312"/>
          <w:color w:val="auto"/>
          <w:kern w:val="0"/>
          <w:sz w:val="24"/>
          <w:szCs w:val="24"/>
          <w:highlight w:val="none"/>
        </w:rPr>
        <w:t>〔</w:t>
      </w:r>
      <w:r>
        <w:rPr>
          <w:rFonts w:eastAsia="仿宋_GB2312"/>
          <w:color w:val="auto"/>
          <w:kern w:val="0"/>
          <w:sz w:val="24"/>
          <w:szCs w:val="24"/>
          <w:highlight w:val="none"/>
        </w:rPr>
        <w:t>紧急情况下的暂停施工</w:t>
      </w:r>
      <w:r>
        <w:rPr>
          <w:rFonts w:hint="eastAsia" w:eastAsia="仿宋_GB2312"/>
          <w:color w:val="auto"/>
          <w:kern w:val="0"/>
          <w:sz w:val="24"/>
          <w:szCs w:val="24"/>
          <w:highlight w:val="none"/>
        </w:rPr>
        <w:t>〕</w:t>
      </w:r>
      <w:r>
        <w:rPr>
          <w:rFonts w:eastAsia="仿宋_GB2312"/>
          <w:color w:val="auto"/>
          <w:kern w:val="0"/>
          <w:sz w:val="24"/>
          <w:szCs w:val="24"/>
          <w:highlight w:val="none"/>
        </w:rPr>
        <w:t>执行。</w:t>
      </w:r>
    </w:p>
    <w:p w14:paraId="4CF18DB9">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因发包人原因引起的暂停施工，发包人应承担由此增加的费用和（或）延误的工期，并支付承包人合理的利润。</w:t>
      </w:r>
    </w:p>
    <w:p w14:paraId="642AA7E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7.8.2 承包人原因引起的暂停施工</w:t>
      </w:r>
    </w:p>
    <w:p w14:paraId="4FA4980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因承包人原因引起的暂停施工，承包人应承担由此增加的费用和（或）延误的工期，且承包人在收到监理人复工指示后</w:t>
      </w:r>
      <w:r>
        <w:rPr>
          <w:rFonts w:hint="eastAsia" w:eastAsia="仿宋_GB2312"/>
          <w:color w:val="auto"/>
          <w:kern w:val="0"/>
          <w:sz w:val="24"/>
          <w:szCs w:val="24"/>
          <w:highlight w:val="none"/>
        </w:rPr>
        <w:t>84</w:t>
      </w:r>
      <w:r>
        <w:rPr>
          <w:rFonts w:eastAsia="仿宋_GB2312"/>
          <w:color w:val="auto"/>
          <w:kern w:val="0"/>
          <w:sz w:val="24"/>
          <w:szCs w:val="24"/>
          <w:highlight w:val="none"/>
        </w:rPr>
        <w:t>天内仍未复工的，视为第16.2.1项</w:t>
      </w:r>
      <w:r>
        <w:rPr>
          <w:rFonts w:hint="eastAsia" w:eastAsia="仿宋_GB2312"/>
          <w:color w:val="auto"/>
          <w:kern w:val="0"/>
          <w:sz w:val="24"/>
          <w:szCs w:val="24"/>
          <w:highlight w:val="none"/>
        </w:rPr>
        <w:t>〔</w:t>
      </w:r>
      <w:r>
        <w:rPr>
          <w:rFonts w:eastAsia="仿宋_GB2312"/>
          <w:color w:val="auto"/>
          <w:kern w:val="0"/>
          <w:sz w:val="24"/>
          <w:szCs w:val="24"/>
          <w:highlight w:val="none"/>
        </w:rPr>
        <w:t>承包人违约的情形</w:t>
      </w:r>
      <w:r>
        <w:rPr>
          <w:rFonts w:hint="eastAsia" w:eastAsia="仿宋_GB2312"/>
          <w:color w:val="auto"/>
          <w:kern w:val="0"/>
          <w:sz w:val="24"/>
          <w:szCs w:val="24"/>
          <w:highlight w:val="none"/>
        </w:rPr>
        <w:t>〕</w:t>
      </w:r>
      <w:r>
        <w:rPr>
          <w:rFonts w:eastAsia="仿宋_GB2312"/>
          <w:color w:val="auto"/>
          <w:kern w:val="0"/>
          <w:sz w:val="24"/>
          <w:szCs w:val="24"/>
          <w:highlight w:val="none"/>
        </w:rPr>
        <w:t>第（7）目约定的承包人无法继续履行合同的情形。</w:t>
      </w:r>
    </w:p>
    <w:p w14:paraId="4D12BAC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7.8.3 指示暂停施工</w:t>
      </w:r>
    </w:p>
    <w:p w14:paraId="173423E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监理人认为有必要时，并经发包人批准后，可向承包人作出暂停施工的指示，承包人应按监理人指示暂停施工。</w:t>
      </w:r>
    </w:p>
    <w:p w14:paraId="26B76CAE">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7.8.4 紧急情况下的暂停施工</w:t>
      </w:r>
    </w:p>
    <w:p w14:paraId="53ECCCA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eastAsia="仿宋_GB2312"/>
          <w:color w:val="auto"/>
          <w:kern w:val="0"/>
          <w:sz w:val="24"/>
          <w:szCs w:val="24"/>
          <w:highlight w:val="none"/>
        </w:rPr>
        <w:t>〔</w:t>
      </w:r>
      <w:r>
        <w:rPr>
          <w:rFonts w:eastAsia="仿宋_GB2312"/>
          <w:color w:val="auto"/>
          <w:kern w:val="0"/>
          <w:sz w:val="24"/>
          <w:szCs w:val="24"/>
          <w:highlight w:val="none"/>
        </w:rPr>
        <w:t>争议解决</w:t>
      </w:r>
      <w:r>
        <w:rPr>
          <w:rFonts w:hint="eastAsia" w:eastAsia="仿宋_GB2312"/>
          <w:color w:val="auto"/>
          <w:kern w:val="0"/>
          <w:sz w:val="24"/>
          <w:szCs w:val="24"/>
          <w:highlight w:val="none"/>
        </w:rPr>
        <w:t>〕</w:t>
      </w:r>
      <w:r>
        <w:rPr>
          <w:rFonts w:eastAsia="仿宋_GB2312"/>
          <w:color w:val="auto"/>
          <w:kern w:val="0"/>
          <w:sz w:val="24"/>
          <w:szCs w:val="24"/>
          <w:highlight w:val="none"/>
        </w:rPr>
        <w:t>约定处理。</w:t>
      </w:r>
    </w:p>
    <w:p w14:paraId="39E4613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7.8.5 暂停施工后的复工</w:t>
      </w:r>
    </w:p>
    <w:p w14:paraId="0962EEEA">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D4A0674">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承包人无故拖延和拒绝复工的，承包人承担由此增加的费用和（或）延误的工期；因发包人原因无法按时复工的，按照第7.5.1项</w:t>
      </w:r>
      <w:r>
        <w:rPr>
          <w:rFonts w:hint="eastAsia" w:eastAsia="仿宋_GB2312"/>
          <w:color w:val="auto"/>
          <w:kern w:val="0"/>
          <w:sz w:val="24"/>
          <w:szCs w:val="24"/>
          <w:highlight w:val="none"/>
        </w:rPr>
        <w:t>〔</w:t>
      </w:r>
      <w:r>
        <w:rPr>
          <w:rFonts w:eastAsia="仿宋_GB2312"/>
          <w:color w:val="auto"/>
          <w:kern w:val="0"/>
          <w:sz w:val="24"/>
          <w:szCs w:val="24"/>
          <w:highlight w:val="none"/>
        </w:rPr>
        <w:t>因发包人原因导致工期延误</w:t>
      </w:r>
      <w:r>
        <w:rPr>
          <w:rFonts w:hint="eastAsia" w:eastAsia="仿宋_GB2312"/>
          <w:color w:val="auto"/>
          <w:kern w:val="0"/>
          <w:sz w:val="24"/>
          <w:szCs w:val="24"/>
          <w:highlight w:val="none"/>
        </w:rPr>
        <w:t>〕</w:t>
      </w:r>
      <w:r>
        <w:rPr>
          <w:rFonts w:eastAsia="仿宋_GB2312"/>
          <w:color w:val="auto"/>
          <w:kern w:val="0"/>
          <w:sz w:val="24"/>
          <w:szCs w:val="24"/>
          <w:highlight w:val="none"/>
        </w:rPr>
        <w:t>约定办理。</w:t>
      </w:r>
    </w:p>
    <w:p w14:paraId="28B354E0">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7.8.6 暂停施工持续56天以上</w:t>
      </w:r>
    </w:p>
    <w:p w14:paraId="7D122A4A">
      <w:pPr>
        <w:spacing w:line="360" w:lineRule="auto"/>
        <w:ind w:firstLine="468" w:firstLineChars="195"/>
        <w:jc w:val="left"/>
        <w:rPr>
          <w:rFonts w:eastAsia="仿宋_GB2312"/>
          <w:color w:val="auto"/>
          <w:kern w:val="0"/>
          <w:sz w:val="24"/>
          <w:szCs w:val="24"/>
          <w:highlight w:val="none"/>
        </w:rPr>
      </w:pPr>
      <w:r>
        <w:rPr>
          <w:rFonts w:eastAsia="仿宋_GB2312"/>
          <w:color w:val="auto"/>
          <w:kern w:val="0"/>
          <w:sz w:val="24"/>
          <w:szCs w:val="24"/>
          <w:highlight w:val="none"/>
        </w:rPr>
        <w:t>监理人发出暂停施工指示后56天内未向承包人发出复工通知，除该项停工属于第7.8.2项</w:t>
      </w:r>
      <w:r>
        <w:rPr>
          <w:rFonts w:hint="eastAsia" w:eastAsia="仿宋_GB2312"/>
          <w:color w:val="auto"/>
          <w:kern w:val="0"/>
          <w:sz w:val="24"/>
          <w:szCs w:val="24"/>
          <w:highlight w:val="none"/>
        </w:rPr>
        <w:t>〔</w:t>
      </w:r>
      <w:r>
        <w:rPr>
          <w:rFonts w:eastAsia="仿宋_GB2312"/>
          <w:color w:val="auto"/>
          <w:kern w:val="0"/>
          <w:sz w:val="24"/>
          <w:szCs w:val="24"/>
          <w:highlight w:val="none"/>
        </w:rPr>
        <w:t>承包人原因引起的暂停施工</w:t>
      </w:r>
      <w:r>
        <w:rPr>
          <w:rFonts w:hint="eastAsia" w:eastAsia="仿宋_GB2312"/>
          <w:color w:val="auto"/>
          <w:kern w:val="0"/>
          <w:sz w:val="24"/>
          <w:szCs w:val="24"/>
          <w:highlight w:val="none"/>
        </w:rPr>
        <w:t>〕</w:t>
      </w:r>
      <w:r>
        <w:rPr>
          <w:rFonts w:eastAsia="仿宋_GB2312"/>
          <w:color w:val="auto"/>
          <w:kern w:val="0"/>
          <w:sz w:val="24"/>
          <w:szCs w:val="24"/>
          <w:highlight w:val="none"/>
        </w:rPr>
        <w:t>及第17条</w:t>
      </w:r>
      <w:r>
        <w:rPr>
          <w:rFonts w:hint="eastAsia" w:eastAsia="仿宋_GB2312"/>
          <w:color w:val="auto"/>
          <w:kern w:val="0"/>
          <w:sz w:val="24"/>
          <w:szCs w:val="24"/>
          <w:highlight w:val="none"/>
        </w:rPr>
        <w:t>〔</w:t>
      </w:r>
      <w:r>
        <w:rPr>
          <w:rFonts w:eastAsia="仿宋_GB2312"/>
          <w:color w:val="auto"/>
          <w:kern w:val="0"/>
          <w:sz w:val="24"/>
          <w:szCs w:val="24"/>
          <w:highlight w:val="none"/>
        </w:rPr>
        <w:t>不可抗力</w:t>
      </w:r>
      <w:r>
        <w:rPr>
          <w:rFonts w:hint="eastAsia" w:eastAsia="仿宋_GB2312"/>
          <w:color w:val="auto"/>
          <w:kern w:val="0"/>
          <w:sz w:val="24"/>
          <w:szCs w:val="24"/>
          <w:highlight w:val="none"/>
        </w:rPr>
        <w:t>〕</w:t>
      </w:r>
      <w:r>
        <w:rPr>
          <w:rFonts w:eastAsia="仿宋_GB2312"/>
          <w:color w:val="auto"/>
          <w:kern w:val="0"/>
          <w:sz w:val="24"/>
          <w:szCs w:val="24"/>
          <w:highlight w:val="none"/>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eastAsia="仿宋_GB2312"/>
          <w:color w:val="auto"/>
          <w:kern w:val="0"/>
          <w:sz w:val="24"/>
          <w:szCs w:val="24"/>
          <w:highlight w:val="none"/>
        </w:rPr>
        <w:t>〔</w:t>
      </w:r>
      <w:r>
        <w:rPr>
          <w:rFonts w:eastAsia="仿宋_GB2312"/>
          <w:color w:val="auto"/>
          <w:kern w:val="0"/>
          <w:sz w:val="24"/>
          <w:szCs w:val="24"/>
          <w:highlight w:val="none"/>
        </w:rPr>
        <w:t>变更的范围</w:t>
      </w:r>
      <w:r>
        <w:rPr>
          <w:rFonts w:hint="eastAsia" w:eastAsia="仿宋_GB2312"/>
          <w:color w:val="auto"/>
          <w:kern w:val="0"/>
          <w:sz w:val="24"/>
          <w:szCs w:val="24"/>
          <w:highlight w:val="none"/>
        </w:rPr>
        <w:t>〕</w:t>
      </w:r>
      <w:r>
        <w:rPr>
          <w:rFonts w:eastAsia="仿宋_GB2312"/>
          <w:color w:val="auto"/>
          <w:kern w:val="0"/>
          <w:sz w:val="24"/>
          <w:szCs w:val="24"/>
          <w:highlight w:val="none"/>
        </w:rPr>
        <w:t>第（2）项的可取消工作。</w:t>
      </w:r>
    </w:p>
    <w:p w14:paraId="70306683">
      <w:pPr>
        <w:spacing w:line="360" w:lineRule="auto"/>
        <w:ind w:firstLine="468" w:firstLineChars="195"/>
        <w:jc w:val="left"/>
        <w:rPr>
          <w:rFonts w:eastAsia="仿宋_GB2312"/>
          <w:color w:val="auto"/>
          <w:kern w:val="0"/>
          <w:sz w:val="24"/>
          <w:szCs w:val="24"/>
          <w:highlight w:val="none"/>
        </w:rPr>
      </w:pPr>
      <w:r>
        <w:rPr>
          <w:rFonts w:eastAsia="仿宋_GB2312"/>
          <w:color w:val="auto"/>
          <w:kern w:val="0"/>
          <w:sz w:val="24"/>
          <w:szCs w:val="24"/>
          <w:highlight w:val="none"/>
        </w:rPr>
        <w:t>暂停施工持续</w:t>
      </w:r>
      <w:r>
        <w:rPr>
          <w:rFonts w:hint="eastAsia" w:eastAsia="仿宋_GB2312"/>
          <w:color w:val="auto"/>
          <w:kern w:val="0"/>
          <w:sz w:val="24"/>
          <w:szCs w:val="24"/>
          <w:highlight w:val="none"/>
        </w:rPr>
        <w:t>84</w:t>
      </w:r>
      <w:r>
        <w:rPr>
          <w:rFonts w:eastAsia="仿宋_GB2312"/>
          <w:color w:val="auto"/>
          <w:kern w:val="0"/>
          <w:sz w:val="24"/>
          <w:szCs w:val="24"/>
          <w:highlight w:val="none"/>
        </w:rPr>
        <w:t>天以上不复工的，且不属于第7.8.2项</w:t>
      </w:r>
      <w:r>
        <w:rPr>
          <w:rFonts w:hint="eastAsia" w:eastAsia="仿宋_GB2312"/>
          <w:color w:val="auto"/>
          <w:kern w:val="0"/>
          <w:sz w:val="24"/>
          <w:szCs w:val="24"/>
          <w:highlight w:val="none"/>
        </w:rPr>
        <w:t>〔</w:t>
      </w:r>
      <w:r>
        <w:rPr>
          <w:rFonts w:eastAsia="仿宋_GB2312"/>
          <w:color w:val="auto"/>
          <w:kern w:val="0"/>
          <w:sz w:val="24"/>
          <w:szCs w:val="24"/>
          <w:highlight w:val="none"/>
        </w:rPr>
        <w:t>承包人原因引起的暂停施工</w:t>
      </w:r>
      <w:r>
        <w:rPr>
          <w:rFonts w:hint="eastAsia" w:eastAsia="仿宋_GB2312"/>
          <w:color w:val="auto"/>
          <w:kern w:val="0"/>
          <w:sz w:val="24"/>
          <w:szCs w:val="24"/>
          <w:highlight w:val="none"/>
        </w:rPr>
        <w:t>〕</w:t>
      </w:r>
      <w:r>
        <w:rPr>
          <w:rFonts w:eastAsia="仿宋_GB2312"/>
          <w:color w:val="auto"/>
          <w:kern w:val="0"/>
          <w:sz w:val="24"/>
          <w:szCs w:val="24"/>
          <w:highlight w:val="none"/>
        </w:rPr>
        <w:t>及第17条</w:t>
      </w:r>
      <w:r>
        <w:rPr>
          <w:rFonts w:hint="eastAsia" w:eastAsia="仿宋_GB2312"/>
          <w:color w:val="auto"/>
          <w:kern w:val="0"/>
          <w:sz w:val="24"/>
          <w:szCs w:val="24"/>
          <w:highlight w:val="none"/>
        </w:rPr>
        <w:t>〔</w:t>
      </w:r>
      <w:r>
        <w:rPr>
          <w:rFonts w:eastAsia="仿宋_GB2312"/>
          <w:color w:val="auto"/>
          <w:kern w:val="0"/>
          <w:sz w:val="24"/>
          <w:szCs w:val="24"/>
          <w:highlight w:val="none"/>
        </w:rPr>
        <w:t>不可抗力</w:t>
      </w:r>
      <w:r>
        <w:rPr>
          <w:rFonts w:hint="eastAsia" w:eastAsia="仿宋_GB2312"/>
          <w:color w:val="auto"/>
          <w:kern w:val="0"/>
          <w:sz w:val="24"/>
          <w:szCs w:val="24"/>
          <w:highlight w:val="none"/>
        </w:rPr>
        <w:t>〕</w:t>
      </w:r>
      <w:r>
        <w:rPr>
          <w:rFonts w:eastAsia="仿宋_GB2312"/>
          <w:color w:val="auto"/>
          <w:kern w:val="0"/>
          <w:sz w:val="24"/>
          <w:szCs w:val="24"/>
          <w:highlight w:val="none"/>
        </w:rPr>
        <w:t>约定的情形，并影响到整个工程以及合同目的实现的，承包人有权提出价格调整要求，或者解除合同。解除合同的，按照第16.1.3项</w:t>
      </w:r>
      <w:r>
        <w:rPr>
          <w:rFonts w:hint="eastAsia" w:eastAsia="仿宋_GB2312"/>
          <w:color w:val="auto"/>
          <w:kern w:val="0"/>
          <w:sz w:val="24"/>
          <w:szCs w:val="24"/>
          <w:highlight w:val="none"/>
        </w:rPr>
        <w:t>〔</w:t>
      </w:r>
      <w:r>
        <w:rPr>
          <w:rFonts w:eastAsia="仿宋_GB2312"/>
          <w:color w:val="auto"/>
          <w:kern w:val="0"/>
          <w:sz w:val="24"/>
          <w:szCs w:val="24"/>
          <w:highlight w:val="none"/>
        </w:rPr>
        <w:t>因发包人违约解除合同</w:t>
      </w:r>
      <w:r>
        <w:rPr>
          <w:rFonts w:hint="eastAsia" w:eastAsia="仿宋_GB2312"/>
          <w:color w:val="auto"/>
          <w:kern w:val="0"/>
          <w:sz w:val="24"/>
          <w:szCs w:val="24"/>
          <w:highlight w:val="none"/>
        </w:rPr>
        <w:t>〕</w:t>
      </w:r>
      <w:r>
        <w:rPr>
          <w:rFonts w:eastAsia="仿宋_GB2312"/>
          <w:color w:val="auto"/>
          <w:kern w:val="0"/>
          <w:sz w:val="24"/>
          <w:szCs w:val="24"/>
          <w:highlight w:val="none"/>
        </w:rPr>
        <w:t>执行。</w:t>
      </w:r>
    </w:p>
    <w:p w14:paraId="0B261D61">
      <w:pPr>
        <w:spacing w:line="360" w:lineRule="auto"/>
        <w:ind w:left="16" w:firstLine="468" w:firstLineChars="195"/>
        <w:jc w:val="left"/>
        <w:rPr>
          <w:rFonts w:eastAsia="仿宋_GB2312"/>
          <w:color w:val="auto"/>
          <w:kern w:val="0"/>
          <w:sz w:val="24"/>
          <w:szCs w:val="24"/>
          <w:highlight w:val="none"/>
        </w:rPr>
      </w:pPr>
      <w:r>
        <w:rPr>
          <w:rFonts w:eastAsia="仿宋_GB2312"/>
          <w:color w:val="auto"/>
          <w:kern w:val="0"/>
          <w:sz w:val="24"/>
          <w:szCs w:val="24"/>
          <w:highlight w:val="none"/>
        </w:rPr>
        <w:t>7.8.7 暂停施工期间的工程照管</w:t>
      </w:r>
    </w:p>
    <w:p w14:paraId="42608AB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暂停施工期间，承包人应负责妥善照管工程并提供安全保障，由此增加的费用由责任方承担。</w:t>
      </w:r>
    </w:p>
    <w:p w14:paraId="73C1C5A4">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7.8.8 暂停施工的措施</w:t>
      </w:r>
    </w:p>
    <w:p w14:paraId="507800D6">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暂停施工期间，发包人和承包人均应采取必要的措施确保工程质量及安全，防止因暂停施工扩大损失。</w:t>
      </w:r>
    </w:p>
    <w:p w14:paraId="56E6424D">
      <w:pPr>
        <w:pStyle w:val="7"/>
        <w:spacing w:before="120" w:after="120" w:line="360" w:lineRule="auto"/>
        <w:ind w:firstLine="480" w:firstLineChars="200"/>
        <w:rPr>
          <w:rFonts w:eastAsia="黑体"/>
          <w:b w:val="0"/>
          <w:color w:val="auto"/>
          <w:sz w:val="24"/>
          <w:szCs w:val="24"/>
          <w:highlight w:val="none"/>
        </w:rPr>
      </w:pPr>
      <w:bookmarkStart w:id="217" w:name="_Toc32835658"/>
      <w:r>
        <w:rPr>
          <w:rFonts w:eastAsia="黑体"/>
          <w:b w:val="0"/>
          <w:color w:val="auto"/>
          <w:sz w:val="24"/>
          <w:szCs w:val="24"/>
          <w:highlight w:val="none"/>
        </w:rPr>
        <w:t>7.9提前竣工</w:t>
      </w:r>
      <w:bookmarkEnd w:id="217"/>
    </w:p>
    <w:p w14:paraId="430A6AA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eastAsia="仿宋_GB2312"/>
          <w:color w:val="auto"/>
          <w:kern w:val="0"/>
          <w:sz w:val="24"/>
          <w:szCs w:val="24"/>
          <w:highlight w:val="none"/>
        </w:rPr>
        <w:t>承包人认为提前竣工指示无法执行的，应向监理人和发包人提出书面异议，发包人和监理人应在收到异议后7天内予以答复。任何情况下，发包人不得压缩合理工期。</w:t>
      </w:r>
    </w:p>
    <w:p w14:paraId="7E72ED8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7.9.2 发包人要求承包人提前竣工，或承包人提出提前竣工的建议能够给发包人带来效益的，合同当事人可以在专用合同条款中约定提前竣工的奖励。</w:t>
      </w:r>
    </w:p>
    <w:p w14:paraId="75C255AD">
      <w:pPr>
        <w:pStyle w:val="6"/>
        <w:spacing w:before="120" w:after="120" w:line="360" w:lineRule="auto"/>
        <w:rPr>
          <w:rFonts w:ascii="Times New Roman" w:hAnsi="Times New Roman" w:eastAsia="黑体"/>
          <w:b w:val="0"/>
          <w:color w:val="auto"/>
          <w:sz w:val="24"/>
          <w:szCs w:val="24"/>
          <w:highlight w:val="none"/>
        </w:rPr>
      </w:pPr>
      <w:bookmarkStart w:id="218" w:name="_Toc32835659"/>
      <w:r>
        <w:rPr>
          <w:rFonts w:ascii="Times New Roman" w:hAnsi="Times New Roman" w:eastAsia="黑体"/>
          <w:b w:val="0"/>
          <w:color w:val="auto"/>
          <w:sz w:val="24"/>
          <w:szCs w:val="24"/>
          <w:highlight w:val="none"/>
        </w:rPr>
        <w:t>8</w:t>
      </w:r>
      <w:bookmarkStart w:id="219" w:name="_Toc296346559"/>
      <w:bookmarkStart w:id="220" w:name="_Toc337558776"/>
      <w:bookmarkStart w:id="221" w:name="_Toc296503058"/>
      <w:r>
        <w:rPr>
          <w:rFonts w:ascii="Times New Roman" w:hAnsi="Times New Roman" w:eastAsia="黑体"/>
          <w:b w:val="0"/>
          <w:color w:val="auto"/>
          <w:sz w:val="24"/>
          <w:szCs w:val="24"/>
          <w:highlight w:val="none"/>
        </w:rPr>
        <w:t>. 材料与设备</w:t>
      </w:r>
      <w:bookmarkEnd w:id="218"/>
    </w:p>
    <w:bookmarkEnd w:id="219"/>
    <w:bookmarkEnd w:id="220"/>
    <w:bookmarkEnd w:id="221"/>
    <w:p w14:paraId="4D8E12C4">
      <w:pPr>
        <w:pStyle w:val="7"/>
        <w:spacing w:before="120" w:after="120" w:line="360" w:lineRule="auto"/>
        <w:ind w:firstLine="480" w:firstLineChars="200"/>
        <w:rPr>
          <w:rFonts w:eastAsia="黑体"/>
          <w:b w:val="0"/>
          <w:color w:val="auto"/>
          <w:sz w:val="24"/>
          <w:szCs w:val="24"/>
          <w:highlight w:val="none"/>
        </w:rPr>
      </w:pPr>
      <w:bookmarkStart w:id="222" w:name="_Toc32835660"/>
      <w:r>
        <w:rPr>
          <w:rFonts w:eastAsia="黑体"/>
          <w:b w:val="0"/>
          <w:color w:val="auto"/>
          <w:sz w:val="24"/>
          <w:szCs w:val="24"/>
          <w:highlight w:val="none"/>
        </w:rPr>
        <w:t>8</w:t>
      </w:r>
      <w:bookmarkStart w:id="223" w:name="_Toc337558777"/>
      <w:bookmarkStart w:id="224" w:name="_Toc296503059"/>
      <w:bookmarkStart w:id="225" w:name="_Toc296346560"/>
      <w:bookmarkStart w:id="226" w:name="_Toc468936960"/>
      <w:r>
        <w:rPr>
          <w:rFonts w:eastAsia="黑体"/>
          <w:b w:val="0"/>
          <w:color w:val="auto"/>
          <w:sz w:val="24"/>
          <w:szCs w:val="24"/>
          <w:highlight w:val="none"/>
        </w:rPr>
        <w:t>.1发包人供应材料与工程设备</w:t>
      </w:r>
      <w:bookmarkEnd w:id="222"/>
    </w:p>
    <w:bookmarkEnd w:id="223"/>
    <w:bookmarkEnd w:id="224"/>
    <w:bookmarkEnd w:id="225"/>
    <w:p w14:paraId="29A0418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0679418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承包人应提前30天通过监理人以书面形式通知发包人供应材料与工程设备进场。承包人按照第7.2.2项</w:t>
      </w:r>
      <w:r>
        <w:rPr>
          <w:rFonts w:hint="eastAsia" w:eastAsia="仿宋_GB2312"/>
          <w:color w:val="auto"/>
          <w:kern w:val="0"/>
          <w:sz w:val="24"/>
          <w:szCs w:val="24"/>
          <w:highlight w:val="none"/>
        </w:rPr>
        <w:t>〔</w:t>
      </w:r>
      <w:r>
        <w:rPr>
          <w:rFonts w:eastAsia="仿宋_GB2312"/>
          <w:color w:val="auto"/>
          <w:kern w:val="0"/>
          <w:sz w:val="24"/>
          <w:szCs w:val="24"/>
          <w:highlight w:val="none"/>
        </w:rPr>
        <w:t>施工进度计划的修订</w:t>
      </w:r>
      <w:r>
        <w:rPr>
          <w:rFonts w:hint="eastAsia" w:eastAsia="仿宋_GB2312"/>
          <w:color w:val="auto"/>
          <w:kern w:val="0"/>
          <w:sz w:val="24"/>
          <w:szCs w:val="24"/>
          <w:highlight w:val="none"/>
        </w:rPr>
        <w:t>〕</w:t>
      </w:r>
      <w:r>
        <w:rPr>
          <w:rFonts w:eastAsia="仿宋_GB2312"/>
          <w:color w:val="auto"/>
          <w:kern w:val="0"/>
          <w:sz w:val="24"/>
          <w:szCs w:val="24"/>
          <w:highlight w:val="none"/>
        </w:rPr>
        <w:t>约定修订施工进度计划时，需同时提交经修订后的发包人供应材料与工程设备的进场计划。</w:t>
      </w:r>
    </w:p>
    <w:p w14:paraId="185D114A">
      <w:pPr>
        <w:pStyle w:val="7"/>
        <w:spacing w:before="120" w:after="120" w:line="360" w:lineRule="auto"/>
        <w:ind w:firstLine="480" w:firstLineChars="200"/>
        <w:rPr>
          <w:rFonts w:eastAsia="仿宋_GB2312"/>
          <w:color w:val="auto"/>
          <w:sz w:val="24"/>
          <w:szCs w:val="24"/>
          <w:highlight w:val="none"/>
        </w:rPr>
      </w:pPr>
      <w:bookmarkStart w:id="227" w:name="_Toc32835661"/>
      <w:r>
        <w:rPr>
          <w:rFonts w:eastAsia="黑体"/>
          <w:b w:val="0"/>
          <w:color w:val="auto"/>
          <w:sz w:val="24"/>
          <w:szCs w:val="24"/>
          <w:highlight w:val="none"/>
        </w:rPr>
        <w:t>8</w:t>
      </w:r>
      <w:bookmarkStart w:id="228" w:name="_Toc337558778"/>
      <w:bookmarkStart w:id="229" w:name="_Toc296503060"/>
      <w:bookmarkStart w:id="230" w:name="_Toc296346561"/>
      <w:r>
        <w:rPr>
          <w:rFonts w:eastAsia="黑体"/>
          <w:b w:val="0"/>
          <w:color w:val="auto"/>
          <w:sz w:val="24"/>
          <w:szCs w:val="24"/>
          <w:highlight w:val="none"/>
        </w:rPr>
        <w:t>.2承包人采购材料与工程设备</w:t>
      </w:r>
      <w:bookmarkEnd w:id="227"/>
    </w:p>
    <w:bookmarkEnd w:id="228"/>
    <w:bookmarkEnd w:id="229"/>
    <w:bookmarkEnd w:id="230"/>
    <w:p w14:paraId="6CF2FED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eastAsia="仿宋_GB2312"/>
          <w:color w:val="auto"/>
          <w:kern w:val="0"/>
          <w:sz w:val="24"/>
          <w:szCs w:val="24"/>
          <w:highlight w:val="none"/>
        </w:rPr>
        <w:t>相应责任</w:t>
      </w:r>
      <w:r>
        <w:rPr>
          <w:rFonts w:eastAsia="仿宋_GB2312"/>
          <w:color w:val="auto"/>
          <w:kern w:val="0"/>
          <w:sz w:val="24"/>
          <w:szCs w:val="24"/>
          <w:highlight w:val="none"/>
        </w:rPr>
        <w:t>。</w:t>
      </w:r>
    </w:p>
    <w:p w14:paraId="65EC60D6">
      <w:pPr>
        <w:pStyle w:val="7"/>
        <w:spacing w:before="120" w:after="120" w:line="360" w:lineRule="auto"/>
        <w:ind w:firstLine="480" w:firstLineChars="200"/>
        <w:rPr>
          <w:rFonts w:eastAsia="黑体"/>
          <w:b w:val="0"/>
          <w:color w:val="auto"/>
          <w:sz w:val="24"/>
          <w:szCs w:val="24"/>
          <w:highlight w:val="none"/>
        </w:rPr>
      </w:pPr>
      <w:bookmarkStart w:id="231" w:name="_Toc32835662"/>
      <w:r>
        <w:rPr>
          <w:rFonts w:eastAsia="黑体"/>
          <w:b w:val="0"/>
          <w:color w:val="auto"/>
          <w:sz w:val="24"/>
          <w:szCs w:val="24"/>
          <w:highlight w:val="none"/>
        </w:rPr>
        <w:t>8</w:t>
      </w:r>
      <w:bookmarkStart w:id="232" w:name="_Toc296503061"/>
      <w:bookmarkStart w:id="233" w:name="_Toc296346562"/>
      <w:bookmarkStart w:id="234" w:name="_Toc337558779"/>
      <w:r>
        <w:rPr>
          <w:rFonts w:eastAsia="黑体"/>
          <w:b w:val="0"/>
          <w:color w:val="auto"/>
          <w:sz w:val="24"/>
          <w:szCs w:val="24"/>
          <w:highlight w:val="none"/>
        </w:rPr>
        <w:t>.3材料与工程设备的接收与拒收</w:t>
      </w:r>
      <w:bookmarkEnd w:id="231"/>
    </w:p>
    <w:bookmarkEnd w:id="232"/>
    <w:bookmarkEnd w:id="233"/>
    <w:bookmarkEnd w:id="234"/>
    <w:p w14:paraId="1B925E2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F32E95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发包人提供的材料和工程设备的规格、数量或质量不符合合同约定的，或因发包人原因导致交货日期延误或交货地点变更等情况的，按照第16.1款</w:t>
      </w:r>
      <w:r>
        <w:rPr>
          <w:rFonts w:hint="eastAsia" w:eastAsia="仿宋_GB2312"/>
          <w:color w:val="auto"/>
          <w:kern w:val="0"/>
          <w:sz w:val="24"/>
          <w:szCs w:val="24"/>
          <w:highlight w:val="none"/>
        </w:rPr>
        <w:t>〔</w:t>
      </w:r>
      <w:r>
        <w:rPr>
          <w:rFonts w:eastAsia="仿宋_GB2312"/>
          <w:color w:val="auto"/>
          <w:kern w:val="0"/>
          <w:sz w:val="24"/>
          <w:szCs w:val="24"/>
          <w:highlight w:val="none"/>
        </w:rPr>
        <w:t>发包人违约</w:t>
      </w:r>
      <w:r>
        <w:rPr>
          <w:rFonts w:hint="eastAsia" w:eastAsia="仿宋_GB2312"/>
          <w:color w:val="auto"/>
          <w:kern w:val="0"/>
          <w:sz w:val="24"/>
          <w:szCs w:val="24"/>
          <w:highlight w:val="none"/>
        </w:rPr>
        <w:t>〕</w:t>
      </w:r>
      <w:r>
        <w:rPr>
          <w:rFonts w:eastAsia="仿宋_GB2312"/>
          <w:color w:val="auto"/>
          <w:kern w:val="0"/>
          <w:sz w:val="24"/>
          <w:szCs w:val="24"/>
          <w:highlight w:val="none"/>
        </w:rPr>
        <w:t>约定办理。</w:t>
      </w:r>
    </w:p>
    <w:p w14:paraId="1C9B0DC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8.3.2 承包人采购的材料和工程设备，应保证产品质量合格，承包人应在材料和工程设备到货前24小时通知监理人检验。承</w:t>
      </w:r>
      <w:bookmarkStart w:id="235" w:name="_Toc250655469"/>
      <w:r>
        <w:rPr>
          <w:rFonts w:eastAsia="仿宋_GB2312"/>
          <w:color w:val="auto"/>
          <w:kern w:val="0"/>
          <w:sz w:val="24"/>
          <w:szCs w:val="24"/>
          <w:highlight w:val="none"/>
        </w:rPr>
        <w:t>包人进行永久设备、材料的制造和生产的，应符合相关质量标准，并向监理人提交材料的样本以及有关资料，并应在使用该材料或工程设备之前获得监理人同意。</w:t>
      </w:r>
    </w:p>
    <w:bookmarkEnd w:id="235"/>
    <w:p w14:paraId="6F74EEC3">
      <w:pPr>
        <w:autoSpaceDE w:val="0"/>
        <w:autoSpaceDN w:val="0"/>
        <w:adjustRightInd w:val="0"/>
        <w:spacing w:line="360" w:lineRule="auto"/>
        <w:ind w:firstLine="360" w:firstLineChars="150"/>
        <w:jc w:val="left"/>
        <w:rPr>
          <w:rFonts w:eastAsia="仿宋_GB2312"/>
          <w:color w:val="auto"/>
          <w:kern w:val="0"/>
          <w:sz w:val="24"/>
          <w:szCs w:val="24"/>
          <w:highlight w:val="none"/>
        </w:rPr>
      </w:pPr>
      <w:r>
        <w:rPr>
          <w:rFonts w:eastAsia="仿宋_GB2312"/>
          <w:color w:val="auto"/>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DF43255">
      <w:pPr>
        <w:pStyle w:val="7"/>
        <w:spacing w:before="120" w:after="120" w:line="360" w:lineRule="auto"/>
        <w:ind w:firstLine="480" w:firstLineChars="200"/>
        <w:rPr>
          <w:rFonts w:eastAsia="黑体"/>
          <w:b w:val="0"/>
          <w:color w:val="auto"/>
          <w:sz w:val="24"/>
          <w:szCs w:val="24"/>
          <w:highlight w:val="none"/>
        </w:rPr>
      </w:pPr>
      <w:bookmarkStart w:id="236" w:name="_Toc32835663"/>
      <w:r>
        <w:rPr>
          <w:rFonts w:eastAsia="黑体"/>
          <w:b w:val="0"/>
          <w:color w:val="auto"/>
          <w:sz w:val="24"/>
          <w:szCs w:val="24"/>
          <w:highlight w:val="none"/>
        </w:rPr>
        <w:t>8</w:t>
      </w:r>
      <w:bookmarkStart w:id="237" w:name="_Toc296503062"/>
      <w:bookmarkStart w:id="238" w:name="_Toc296346563"/>
      <w:bookmarkStart w:id="239" w:name="_Toc337558780"/>
      <w:r>
        <w:rPr>
          <w:rFonts w:eastAsia="黑体"/>
          <w:b w:val="0"/>
          <w:color w:val="auto"/>
          <w:sz w:val="24"/>
          <w:szCs w:val="24"/>
          <w:highlight w:val="none"/>
        </w:rPr>
        <w:t>.4材料与工程设备的保管与使用</w:t>
      </w:r>
      <w:bookmarkEnd w:id="236"/>
    </w:p>
    <w:bookmarkEnd w:id="237"/>
    <w:bookmarkEnd w:id="238"/>
    <w:bookmarkEnd w:id="239"/>
    <w:p w14:paraId="1E30746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8.4.1 发包人供应</w:t>
      </w:r>
      <w:r>
        <w:rPr>
          <w:rFonts w:eastAsia="仿宋_GB2312"/>
          <w:color w:val="auto"/>
          <w:sz w:val="24"/>
          <w:szCs w:val="24"/>
          <w:highlight w:val="none"/>
        </w:rPr>
        <w:t>材料与</w:t>
      </w:r>
      <w:r>
        <w:rPr>
          <w:rFonts w:eastAsia="仿宋_GB2312"/>
          <w:color w:val="auto"/>
          <w:kern w:val="0"/>
          <w:sz w:val="24"/>
          <w:szCs w:val="24"/>
          <w:highlight w:val="none"/>
        </w:rPr>
        <w:t>工程</w:t>
      </w:r>
      <w:r>
        <w:rPr>
          <w:rFonts w:eastAsia="仿宋_GB2312"/>
          <w:color w:val="auto"/>
          <w:sz w:val="24"/>
          <w:szCs w:val="24"/>
          <w:highlight w:val="none"/>
        </w:rPr>
        <w:t>设备的保管与使用</w:t>
      </w:r>
    </w:p>
    <w:p w14:paraId="20845C8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881BB2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发包人供应的材料和工程设备使用前，由承包人负责检验，检验费用由发包人承担，不合格的不得使用。</w:t>
      </w:r>
    </w:p>
    <w:p w14:paraId="55535A5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8.4.2 承包人采购</w:t>
      </w:r>
      <w:r>
        <w:rPr>
          <w:rFonts w:eastAsia="仿宋_GB2312"/>
          <w:color w:val="auto"/>
          <w:sz w:val="24"/>
          <w:szCs w:val="24"/>
          <w:highlight w:val="none"/>
        </w:rPr>
        <w:t>材料与</w:t>
      </w:r>
      <w:r>
        <w:rPr>
          <w:rFonts w:eastAsia="仿宋_GB2312"/>
          <w:color w:val="auto"/>
          <w:kern w:val="0"/>
          <w:sz w:val="24"/>
          <w:szCs w:val="24"/>
          <w:highlight w:val="none"/>
        </w:rPr>
        <w:t>工程</w:t>
      </w:r>
      <w:r>
        <w:rPr>
          <w:rFonts w:eastAsia="仿宋_GB2312"/>
          <w:color w:val="auto"/>
          <w:sz w:val="24"/>
          <w:szCs w:val="24"/>
          <w:highlight w:val="none"/>
        </w:rPr>
        <w:t>设备的保管与使用</w:t>
      </w:r>
    </w:p>
    <w:p w14:paraId="14DBD98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1BB2FC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190AD188">
      <w:pPr>
        <w:pStyle w:val="7"/>
        <w:spacing w:before="120" w:after="120" w:line="360" w:lineRule="auto"/>
        <w:ind w:firstLine="480" w:firstLineChars="200"/>
        <w:rPr>
          <w:rFonts w:eastAsia="黑体"/>
          <w:b w:val="0"/>
          <w:color w:val="auto"/>
          <w:sz w:val="24"/>
          <w:szCs w:val="24"/>
          <w:highlight w:val="none"/>
        </w:rPr>
      </w:pPr>
      <w:bookmarkStart w:id="240" w:name="_Toc32835664"/>
      <w:r>
        <w:rPr>
          <w:rFonts w:eastAsia="黑体"/>
          <w:b w:val="0"/>
          <w:color w:val="auto"/>
          <w:sz w:val="24"/>
          <w:szCs w:val="24"/>
          <w:highlight w:val="none"/>
        </w:rPr>
        <w:t>8.5禁止使用不合格的材料和工程设备</w:t>
      </w:r>
      <w:bookmarkEnd w:id="240"/>
    </w:p>
    <w:p w14:paraId="1C6EA0A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49940A1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8.5.2 监理人发现承包人使用了不合格的材料和工程设备，承包人应按照监理人的指示立即改正，并禁止在工程中继续使用不合格的材料和工程设备。</w:t>
      </w:r>
    </w:p>
    <w:p w14:paraId="0F1645E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8.5.3 发包人提供的材料或工程设备不符合合同要求的，承包人有权拒绝，并可要求发包人更换，由此增加的费用和（或）延误的工期由发包人承担</w:t>
      </w:r>
      <w:r>
        <w:rPr>
          <w:rFonts w:hint="eastAsia" w:eastAsia="仿宋_GB2312"/>
          <w:color w:val="auto"/>
          <w:kern w:val="0"/>
          <w:sz w:val="24"/>
          <w:szCs w:val="24"/>
          <w:highlight w:val="none"/>
        </w:rPr>
        <w:t>，并支付承包人合理的利润</w:t>
      </w:r>
      <w:r>
        <w:rPr>
          <w:rFonts w:eastAsia="仿宋_GB2312"/>
          <w:color w:val="auto"/>
          <w:kern w:val="0"/>
          <w:sz w:val="24"/>
          <w:szCs w:val="24"/>
          <w:highlight w:val="none"/>
        </w:rPr>
        <w:t>。</w:t>
      </w:r>
    </w:p>
    <w:p w14:paraId="70966388">
      <w:pPr>
        <w:pStyle w:val="7"/>
        <w:spacing w:before="120" w:after="120" w:line="360" w:lineRule="auto"/>
        <w:ind w:firstLine="480" w:firstLineChars="200"/>
        <w:rPr>
          <w:rFonts w:eastAsia="黑体"/>
          <w:b w:val="0"/>
          <w:color w:val="auto"/>
          <w:sz w:val="24"/>
          <w:szCs w:val="24"/>
          <w:highlight w:val="none"/>
        </w:rPr>
      </w:pPr>
      <w:bookmarkStart w:id="241" w:name="_Toc32835665"/>
      <w:r>
        <w:rPr>
          <w:rFonts w:eastAsia="黑体"/>
          <w:b w:val="0"/>
          <w:color w:val="auto"/>
          <w:sz w:val="24"/>
          <w:szCs w:val="24"/>
          <w:highlight w:val="none"/>
        </w:rPr>
        <w:t>8.6 样品</w:t>
      </w:r>
      <w:bookmarkEnd w:id="241"/>
    </w:p>
    <w:p w14:paraId="01C9494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8.6.1</w:t>
      </w:r>
      <w:r>
        <w:rPr>
          <w:rFonts w:eastAsia="仿宋_GB2312"/>
          <w:color w:val="auto"/>
          <w:kern w:val="0"/>
          <w:sz w:val="24"/>
          <w:szCs w:val="24"/>
          <w:highlight w:val="none"/>
        </w:rPr>
        <w:tab/>
      </w:r>
      <w:r>
        <w:rPr>
          <w:rFonts w:eastAsia="仿宋_GB2312"/>
          <w:color w:val="auto"/>
          <w:kern w:val="0"/>
          <w:sz w:val="24"/>
          <w:szCs w:val="24"/>
          <w:highlight w:val="none"/>
        </w:rPr>
        <w:t>样品的报送</w:t>
      </w:r>
      <w:r>
        <w:rPr>
          <w:rFonts w:hint="eastAsia" w:eastAsia="仿宋_GB2312"/>
          <w:color w:val="auto"/>
          <w:kern w:val="0"/>
          <w:sz w:val="24"/>
          <w:szCs w:val="24"/>
          <w:highlight w:val="none"/>
        </w:rPr>
        <w:t>与封存</w:t>
      </w:r>
    </w:p>
    <w:p w14:paraId="53E44B0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需要承包人报送样品的材料或工程设备，样品的种类、名称、规格、数量等要求均应在专用合同条款中约定。样品的报送程序如下：</w:t>
      </w:r>
    </w:p>
    <w:p w14:paraId="4F633B9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11D3F6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F3DA2D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（3）经发包人和监理人审批确认的样品</w:t>
      </w:r>
      <w:r>
        <w:rPr>
          <w:rFonts w:hint="eastAsia" w:eastAsia="仿宋_GB2312"/>
          <w:color w:val="auto"/>
          <w:kern w:val="0"/>
          <w:sz w:val="24"/>
          <w:szCs w:val="24"/>
          <w:highlight w:val="none"/>
        </w:rPr>
        <w:t>应按约定的方法封样，封存的样品</w:t>
      </w:r>
      <w:r>
        <w:rPr>
          <w:rFonts w:eastAsia="仿宋_GB2312"/>
          <w:color w:val="auto"/>
          <w:kern w:val="0"/>
          <w:sz w:val="24"/>
          <w:szCs w:val="24"/>
          <w:highlight w:val="none"/>
        </w:rPr>
        <w:t>作为检验工程相关部分的标准之一。承包人在施工过程中不得使用与样品不符的材料或工程设备。</w:t>
      </w:r>
    </w:p>
    <w:p w14:paraId="1CD2BBC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（4）发包人和监理人对样品的审批确认仅为确认相关材料或工程设备的特征或用途，不得被理解为对合同的修改或改变，也并不减轻或免除承包人任何的责任和义务。</w:t>
      </w:r>
      <w:r>
        <w:rPr>
          <w:rFonts w:hint="eastAsia" w:eastAsia="仿宋_GB2312"/>
          <w:color w:val="auto"/>
          <w:kern w:val="0"/>
          <w:sz w:val="24"/>
          <w:szCs w:val="24"/>
          <w:highlight w:val="none"/>
        </w:rPr>
        <w:t>如果封存的样品修改或改变了合同约定，合同当事人应当以书面协议予以确认。</w:t>
      </w:r>
    </w:p>
    <w:p w14:paraId="0268E5F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8.6.2 样品的保管</w:t>
      </w:r>
    </w:p>
    <w:p w14:paraId="1D03C5D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经批准的样品应由监理人负责封存于现场，承包人应在现场为保存样品提供适当和固定的场所并保持适当和良好的存储环境条件。</w:t>
      </w:r>
    </w:p>
    <w:p w14:paraId="5AFBD665">
      <w:pPr>
        <w:pStyle w:val="7"/>
        <w:spacing w:before="120" w:after="120" w:line="360" w:lineRule="auto"/>
        <w:ind w:firstLine="480" w:firstLineChars="200"/>
        <w:rPr>
          <w:rFonts w:eastAsia="黑体"/>
          <w:b w:val="0"/>
          <w:color w:val="auto"/>
          <w:sz w:val="24"/>
          <w:szCs w:val="24"/>
          <w:highlight w:val="none"/>
        </w:rPr>
      </w:pPr>
      <w:bookmarkStart w:id="242" w:name="_Toc32835666"/>
      <w:r>
        <w:rPr>
          <w:rFonts w:eastAsia="黑体"/>
          <w:b w:val="0"/>
          <w:color w:val="auto"/>
          <w:sz w:val="24"/>
          <w:szCs w:val="24"/>
          <w:highlight w:val="none"/>
        </w:rPr>
        <w:t>8.7材料与工程设备的替代</w:t>
      </w:r>
      <w:bookmarkEnd w:id="242"/>
    </w:p>
    <w:p w14:paraId="4031CD6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8.7.1 出现下列情况需要使用替代材料和工程设备的，承包人应按照第8.7.2项约定的程序执行：</w:t>
      </w:r>
    </w:p>
    <w:p w14:paraId="1BE345A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（1）基准日</w:t>
      </w:r>
      <w:r>
        <w:rPr>
          <w:rFonts w:hint="eastAsia" w:eastAsia="仿宋_GB2312"/>
          <w:color w:val="auto"/>
          <w:kern w:val="0"/>
          <w:sz w:val="24"/>
          <w:szCs w:val="24"/>
          <w:highlight w:val="none"/>
        </w:rPr>
        <w:t>期</w:t>
      </w:r>
      <w:r>
        <w:rPr>
          <w:rFonts w:eastAsia="仿宋_GB2312"/>
          <w:color w:val="auto"/>
          <w:kern w:val="0"/>
          <w:sz w:val="24"/>
          <w:szCs w:val="24"/>
          <w:highlight w:val="none"/>
        </w:rPr>
        <w:t>后生效的法律规定禁止使用的；</w:t>
      </w:r>
    </w:p>
    <w:p w14:paraId="719234E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（2）发包人要求使用替代品的；</w:t>
      </w:r>
    </w:p>
    <w:p w14:paraId="158052F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（3）因其他原因必须使用替代品的。</w:t>
      </w:r>
    </w:p>
    <w:p w14:paraId="5F960AD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8.7.2 承包人应在使用替代材料和工程设备28天前书面通知监理人，并附下列文件：</w:t>
      </w:r>
    </w:p>
    <w:p w14:paraId="5223C1C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（1）被替代的材料和工程设备的名称、数量、规格、型号、品牌、性能、价格及其他相关资料；</w:t>
      </w:r>
    </w:p>
    <w:p w14:paraId="35C36A5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（2）替代品的名称、数量、规格、型号、品牌、性能、价格及其他相关资料；</w:t>
      </w:r>
    </w:p>
    <w:p w14:paraId="7155B23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（3）替代品与被替代产品之间的差异以及使用替代品可能对工程产生的影响；</w:t>
      </w:r>
    </w:p>
    <w:p w14:paraId="583210B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（4）替代品与被替代产品的价格差异；</w:t>
      </w:r>
    </w:p>
    <w:p w14:paraId="190C7CD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（5）使用替代品的理由和原因说明；</w:t>
      </w:r>
    </w:p>
    <w:p w14:paraId="34939EC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（6）监理人要求的其他文件。</w:t>
      </w:r>
    </w:p>
    <w:p w14:paraId="1B830EE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监理人应在收到通知后14天内向承包人发出经发包人签认的书面指示；监理人逾期发出书面指示的，视为发包人和监理人同意使用替代品。</w:t>
      </w:r>
    </w:p>
    <w:p w14:paraId="790F0FD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8.7.3 发包人认可使用替代材料和工程设备的，替代材料和工程设备的价格，按照已标价工程量清单或预算书相同项目的价格认定；无相同项目的，参考相似项目价格认定；</w:t>
      </w:r>
      <w:r>
        <w:rPr>
          <w:rFonts w:hint="eastAsia" w:eastAsia="仿宋_GB2312"/>
          <w:color w:val="auto"/>
          <w:kern w:val="0"/>
          <w:sz w:val="24"/>
          <w:szCs w:val="24"/>
          <w:highlight w:val="none"/>
        </w:rPr>
        <w:t>既无</w:t>
      </w:r>
      <w:r>
        <w:rPr>
          <w:rFonts w:eastAsia="仿宋_GB2312"/>
          <w:color w:val="auto"/>
          <w:kern w:val="0"/>
          <w:sz w:val="24"/>
          <w:szCs w:val="24"/>
          <w:highlight w:val="none"/>
        </w:rPr>
        <w:t>相同项目</w:t>
      </w:r>
      <w:r>
        <w:rPr>
          <w:rFonts w:hint="eastAsia" w:eastAsia="仿宋_GB2312"/>
          <w:color w:val="auto"/>
          <w:kern w:val="0"/>
          <w:sz w:val="24"/>
          <w:szCs w:val="24"/>
          <w:highlight w:val="none"/>
        </w:rPr>
        <w:t>也</w:t>
      </w:r>
      <w:r>
        <w:rPr>
          <w:rFonts w:eastAsia="仿宋_GB2312"/>
          <w:color w:val="auto"/>
          <w:kern w:val="0"/>
          <w:sz w:val="24"/>
          <w:szCs w:val="24"/>
          <w:highlight w:val="none"/>
        </w:rPr>
        <w:t>无相似项目的，</w:t>
      </w:r>
      <w:r>
        <w:rPr>
          <w:rFonts w:hint="eastAsia" w:eastAsia="仿宋_GB2312"/>
          <w:color w:val="auto"/>
          <w:kern w:val="0"/>
          <w:sz w:val="24"/>
          <w:szCs w:val="24"/>
          <w:highlight w:val="none"/>
        </w:rPr>
        <w:t>按照合理的成本与利润构成的原则，</w:t>
      </w:r>
      <w:r>
        <w:rPr>
          <w:rFonts w:eastAsia="仿宋_GB2312"/>
          <w:color w:val="auto"/>
          <w:kern w:val="0"/>
          <w:sz w:val="24"/>
          <w:szCs w:val="24"/>
          <w:highlight w:val="none"/>
        </w:rPr>
        <w:t>由合同当事人按照第4.4款</w:t>
      </w:r>
      <w:r>
        <w:rPr>
          <w:rFonts w:hint="eastAsia" w:eastAsia="仿宋_GB2312"/>
          <w:color w:val="auto"/>
          <w:kern w:val="0"/>
          <w:sz w:val="24"/>
          <w:szCs w:val="24"/>
          <w:highlight w:val="none"/>
        </w:rPr>
        <w:t>〔</w:t>
      </w:r>
      <w:r>
        <w:rPr>
          <w:rFonts w:eastAsia="仿宋_GB2312"/>
          <w:color w:val="auto"/>
          <w:kern w:val="0"/>
          <w:sz w:val="24"/>
          <w:szCs w:val="24"/>
          <w:highlight w:val="none"/>
        </w:rPr>
        <w:t>商定或确定</w:t>
      </w:r>
      <w:r>
        <w:rPr>
          <w:rFonts w:hint="eastAsia" w:eastAsia="仿宋_GB2312"/>
          <w:color w:val="auto"/>
          <w:kern w:val="0"/>
          <w:sz w:val="24"/>
          <w:szCs w:val="24"/>
          <w:highlight w:val="none"/>
        </w:rPr>
        <w:t>〕</w:t>
      </w:r>
      <w:r>
        <w:rPr>
          <w:rFonts w:eastAsia="仿宋_GB2312"/>
          <w:color w:val="auto"/>
          <w:kern w:val="0"/>
          <w:sz w:val="24"/>
          <w:szCs w:val="24"/>
          <w:highlight w:val="none"/>
        </w:rPr>
        <w:t>确定价格。</w:t>
      </w:r>
    </w:p>
    <w:p w14:paraId="6BE68F72">
      <w:pPr>
        <w:pStyle w:val="7"/>
        <w:spacing w:before="120" w:after="120" w:line="360" w:lineRule="auto"/>
        <w:ind w:firstLine="480" w:firstLineChars="200"/>
        <w:rPr>
          <w:rFonts w:eastAsia="黑体"/>
          <w:b w:val="0"/>
          <w:color w:val="auto"/>
          <w:sz w:val="24"/>
          <w:szCs w:val="24"/>
          <w:highlight w:val="none"/>
        </w:rPr>
      </w:pPr>
      <w:bookmarkStart w:id="243" w:name="_Toc32835667"/>
      <w:r>
        <w:rPr>
          <w:rFonts w:eastAsia="黑体"/>
          <w:b w:val="0"/>
          <w:color w:val="auto"/>
          <w:sz w:val="24"/>
          <w:szCs w:val="24"/>
          <w:highlight w:val="none"/>
        </w:rPr>
        <w:t>8.8施工设备和临时设施</w:t>
      </w:r>
      <w:bookmarkEnd w:id="243"/>
    </w:p>
    <w:p w14:paraId="241543A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8.8.1 承包人提供的施工设备和临时设施</w:t>
      </w:r>
    </w:p>
    <w:p w14:paraId="0A5687A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8F87DEF">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除专用合同条款另有约定外，承包人应自行承担修建临时设施的费用，需要临时占地的，应由发包人办理申请手续并承担相应费用。</w:t>
      </w:r>
    </w:p>
    <w:p w14:paraId="2CAF534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8.8.2发包人提供的施工设备和临时设施</w:t>
      </w:r>
    </w:p>
    <w:p w14:paraId="234B9AA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发包人提供的施工设备或临时设施在专用合同条款中约定。</w:t>
      </w:r>
    </w:p>
    <w:p w14:paraId="1D19BE9C">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8.8.3要求承包人增加或更换施工设备</w:t>
      </w:r>
    </w:p>
    <w:p w14:paraId="568921B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579AC8C">
      <w:pPr>
        <w:pStyle w:val="7"/>
        <w:spacing w:before="120" w:after="120" w:line="360" w:lineRule="auto"/>
        <w:ind w:firstLine="480" w:firstLineChars="200"/>
        <w:rPr>
          <w:rFonts w:eastAsia="黑体"/>
          <w:b w:val="0"/>
          <w:color w:val="auto"/>
          <w:sz w:val="24"/>
          <w:szCs w:val="24"/>
          <w:highlight w:val="none"/>
        </w:rPr>
      </w:pPr>
      <w:bookmarkStart w:id="244" w:name="_Toc32835668"/>
      <w:r>
        <w:rPr>
          <w:rFonts w:eastAsia="黑体"/>
          <w:b w:val="0"/>
          <w:color w:val="auto"/>
          <w:sz w:val="24"/>
          <w:szCs w:val="24"/>
          <w:highlight w:val="none"/>
        </w:rPr>
        <w:t>8</w:t>
      </w:r>
      <w:bookmarkStart w:id="245" w:name="_Toc296346564"/>
      <w:bookmarkStart w:id="246" w:name="_Toc296503063"/>
      <w:bookmarkStart w:id="247" w:name="_Toc337558781"/>
      <w:r>
        <w:rPr>
          <w:rFonts w:eastAsia="黑体"/>
          <w:b w:val="0"/>
          <w:color w:val="auto"/>
          <w:sz w:val="24"/>
          <w:szCs w:val="24"/>
          <w:highlight w:val="none"/>
        </w:rPr>
        <w:t>.9材料与设备专用</w:t>
      </w:r>
      <w:r>
        <w:rPr>
          <w:rFonts w:hint="eastAsia" w:eastAsia="黑体"/>
          <w:b w:val="0"/>
          <w:color w:val="auto"/>
          <w:sz w:val="24"/>
          <w:szCs w:val="24"/>
          <w:highlight w:val="none"/>
        </w:rPr>
        <w:t>要求</w:t>
      </w:r>
      <w:bookmarkEnd w:id="244"/>
    </w:p>
    <w:bookmarkEnd w:id="245"/>
    <w:bookmarkEnd w:id="246"/>
    <w:bookmarkEnd w:id="247"/>
    <w:p w14:paraId="01E47B9E">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26"/>
      <w:r>
        <w:rPr>
          <w:rFonts w:eastAsia="仿宋_GB2312"/>
          <w:color w:val="auto"/>
          <w:kern w:val="0"/>
          <w:sz w:val="24"/>
          <w:szCs w:val="24"/>
          <w:highlight w:val="none"/>
        </w:rPr>
        <w:t>经发包人批准，承包人可以根据施工进度计划撤走闲置的施工设备和其他物品。</w:t>
      </w:r>
    </w:p>
    <w:p w14:paraId="641E6C0A">
      <w:pPr>
        <w:pStyle w:val="6"/>
        <w:spacing w:before="120" w:after="120" w:line="360" w:lineRule="auto"/>
        <w:rPr>
          <w:rFonts w:ascii="Times New Roman" w:hAnsi="Times New Roman" w:eastAsia="黑体"/>
          <w:b w:val="0"/>
          <w:color w:val="auto"/>
          <w:sz w:val="24"/>
          <w:szCs w:val="24"/>
          <w:highlight w:val="none"/>
        </w:rPr>
      </w:pPr>
      <w:bookmarkStart w:id="248" w:name="_Toc32835669"/>
      <w:r>
        <w:rPr>
          <w:rFonts w:ascii="Times New Roman" w:hAnsi="Times New Roman" w:eastAsia="黑体"/>
          <w:b w:val="0"/>
          <w:color w:val="auto"/>
          <w:sz w:val="24"/>
          <w:szCs w:val="24"/>
          <w:highlight w:val="none"/>
        </w:rPr>
        <w:t>9</w:t>
      </w:r>
      <w:bookmarkStart w:id="249" w:name="_Toc337558782"/>
      <w:bookmarkStart w:id="250" w:name="_Toc296503083"/>
      <w:bookmarkStart w:id="251" w:name="_Toc296346584"/>
      <w:r>
        <w:rPr>
          <w:rFonts w:ascii="Times New Roman" w:hAnsi="Times New Roman" w:eastAsia="黑体"/>
          <w:b w:val="0"/>
          <w:color w:val="auto"/>
          <w:sz w:val="24"/>
          <w:szCs w:val="24"/>
          <w:highlight w:val="none"/>
        </w:rPr>
        <w:t>. 试验与检验</w:t>
      </w:r>
      <w:bookmarkEnd w:id="248"/>
    </w:p>
    <w:bookmarkEnd w:id="249"/>
    <w:p w14:paraId="63F267E7">
      <w:pPr>
        <w:pStyle w:val="7"/>
        <w:spacing w:before="120" w:after="120" w:line="360" w:lineRule="auto"/>
        <w:ind w:firstLine="480" w:firstLineChars="200"/>
        <w:rPr>
          <w:rFonts w:eastAsia="黑体"/>
          <w:b w:val="0"/>
          <w:color w:val="auto"/>
          <w:sz w:val="24"/>
          <w:szCs w:val="24"/>
          <w:highlight w:val="none"/>
        </w:rPr>
      </w:pPr>
      <w:bookmarkStart w:id="252" w:name="_Toc32835670"/>
      <w:r>
        <w:rPr>
          <w:rFonts w:eastAsia="黑体"/>
          <w:b w:val="0"/>
          <w:color w:val="auto"/>
          <w:sz w:val="24"/>
          <w:szCs w:val="24"/>
          <w:highlight w:val="none"/>
        </w:rPr>
        <w:t>9</w:t>
      </w:r>
      <w:bookmarkStart w:id="253" w:name="_Toc337558783"/>
      <w:r>
        <w:rPr>
          <w:rFonts w:eastAsia="黑体"/>
          <w:b w:val="0"/>
          <w:color w:val="auto"/>
          <w:sz w:val="24"/>
          <w:szCs w:val="24"/>
          <w:highlight w:val="none"/>
        </w:rPr>
        <w:t>.1试验设备与试验人员</w:t>
      </w:r>
      <w:bookmarkEnd w:id="252"/>
    </w:p>
    <w:bookmarkEnd w:id="253"/>
    <w:p w14:paraId="4A826174">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A30509A">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9.1.2 承包人应按专用合同条款的约定提供试验设备、取样装置、试验场所和试验条件，并向监理人提交相应进场计划表。</w:t>
      </w:r>
    </w:p>
    <w:p w14:paraId="0415D4A1">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承包人配置的试验设备要符合相应试验规程的要求并经过具有资质的检测单位检测，且在正式使用该试验设备前，需要经过监理人与承包人共同校定。</w:t>
      </w:r>
    </w:p>
    <w:p w14:paraId="63BF1A74">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73AB2998">
      <w:pPr>
        <w:pStyle w:val="7"/>
        <w:spacing w:before="120" w:after="120" w:line="360" w:lineRule="auto"/>
        <w:ind w:firstLine="480" w:firstLineChars="200"/>
        <w:rPr>
          <w:rFonts w:eastAsia="黑体"/>
          <w:b w:val="0"/>
          <w:color w:val="auto"/>
          <w:sz w:val="24"/>
          <w:szCs w:val="24"/>
          <w:highlight w:val="none"/>
        </w:rPr>
      </w:pPr>
      <w:bookmarkStart w:id="254" w:name="_Toc32835671"/>
      <w:r>
        <w:rPr>
          <w:rFonts w:eastAsia="黑体"/>
          <w:b w:val="0"/>
          <w:color w:val="auto"/>
          <w:sz w:val="24"/>
          <w:szCs w:val="24"/>
          <w:highlight w:val="none"/>
        </w:rPr>
        <w:t>9</w:t>
      </w:r>
      <w:bookmarkStart w:id="255" w:name="_Toc337558784"/>
      <w:r>
        <w:rPr>
          <w:rFonts w:eastAsia="黑体"/>
          <w:b w:val="0"/>
          <w:color w:val="auto"/>
          <w:sz w:val="24"/>
          <w:szCs w:val="24"/>
          <w:highlight w:val="none"/>
        </w:rPr>
        <w:t>.2取样</w:t>
      </w:r>
      <w:bookmarkEnd w:id="254"/>
    </w:p>
    <w:bookmarkEnd w:id="255"/>
    <w:p w14:paraId="4C1521C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试验属于自检性质的，承包人可以单独取样。试验属于监理人抽检性质的，可由监理人取样，也可由承包人的试验人员在监理人的监督下取样。</w:t>
      </w:r>
    </w:p>
    <w:p w14:paraId="2F5EB072">
      <w:pPr>
        <w:pStyle w:val="7"/>
        <w:spacing w:before="120" w:after="120" w:line="360" w:lineRule="auto"/>
        <w:ind w:firstLine="480" w:firstLineChars="200"/>
        <w:rPr>
          <w:rFonts w:eastAsia="黑体"/>
          <w:b w:val="0"/>
          <w:color w:val="auto"/>
          <w:sz w:val="24"/>
          <w:szCs w:val="24"/>
          <w:highlight w:val="none"/>
        </w:rPr>
      </w:pPr>
      <w:bookmarkStart w:id="256" w:name="_Toc32835672"/>
      <w:r>
        <w:rPr>
          <w:rFonts w:eastAsia="黑体"/>
          <w:b w:val="0"/>
          <w:color w:val="auto"/>
          <w:sz w:val="24"/>
          <w:szCs w:val="24"/>
          <w:highlight w:val="none"/>
        </w:rPr>
        <w:t>9</w:t>
      </w:r>
      <w:bookmarkStart w:id="257" w:name="_Toc337558785"/>
      <w:r>
        <w:rPr>
          <w:rFonts w:eastAsia="黑体"/>
          <w:b w:val="0"/>
          <w:color w:val="auto"/>
          <w:sz w:val="24"/>
          <w:szCs w:val="24"/>
          <w:highlight w:val="none"/>
        </w:rPr>
        <w:t>.3材料、工程设备和工程的试验和检验</w:t>
      </w:r>
      <w:bookmarkEnd w:id="256"/>
    </w:p>
    <w:bookmarkEnd w:id="257"/>
    <w:p w14:paraId="459260A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3CE549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26860F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4D71298">
      <w:pPr>
        <w:pStyle w:val="7"/>
        <w:spacing w:before="120" w:after="120" w:line="360" w:lineRule="auto"/>
        <w:ind w:firstLine="480" w:firstLineChars="200"/>
        <w:rPr>
          <w:rFonts w:eastAsia="黑体"/>
          <w:b w:val="0"/>
          <w:color w:val="auto"/>
          <w:sz w:val="24"/>
          <w:szCs w:val="24"/>
          <w:highlight w:val="none"/>
        </w:rPr>
      </w:pPr>
      <w:bookmarkStart w:id="258" w:name="_Toc32835673"/>
      <w:r>
        <w:rPr>
          <w:rFonts w:eastAsia="黑体"/>
          <w:b w:val="0"/>
          <w:color w:val="auto"/>
          <w:sz w:val="24"/>
          <w:szCs w:val="24"/>
          <w:highlight w:val="none"/>
        </w:rPr>
        <w:t>9</w:t>
      </w:r>
      <w:bookmarkStart w:id="259" w:name="_Toc337558786"/>
      <w:r>
        <w:rPr>
          <w:rFonts w:eastAsia="黑体"/>
          <w:b w:val="0"/>
          <w:color w:val="auto"/>
          <w:sz w:val="24"/>
          <w:szCs w:val="24"/>
          <w:highlight w:val="none"/>
        </w:rPr>
        <w:t>.4现场工艺试验</w:t>
      </w:r>
      <w:bookmarkEnd w:id="258"/>
    </w:p>
    <w:bookmarkEnd w:id="259"/>
    <w:p w14:paraId="1578185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35985756">
      <w:pPr>
        <w:pStyle w:val="6"/>
        <w:spacing w:before="120" w:after="120" w:line="360" w:lineRule="auto"/>
        <w:rPr>
          <w:rFonts w:ascii="Times New Roman" w:hAnsi="Times New Roman" w:eastAsia="黑体"/>
          <w:b w:val="0"/>
          <w:color w:val="auto"/>
          <w:sz w:val="24"/>
          <w:szCs w:val="24"/>
          <w:highlight w:val="none"/>
        </w:rPr>
      </w:pPr>
      <w:bookmarkStart w:id="260" w:name="_Toc32835674"/>
      <w:r>
        <w:rPr>
          <w:rFonts w:ascii="Times New Roman" w:hAnsi="Times New Roman" w:eastAsia="黑体"/>
          <w:b w:val="0"/>
          <w:color w:val="auto"/>
          <w:sz w:val="24"/>
          <w:szCs w:val="24"/>
          <w:highlight w:val="none"/>
        </w:rPr>
        <w:t>1</w:t>
      </w:r>
      <w:bookmarkStart w:id="261" w:name="_Toc337558787"/>
      <w:r>
        <w:rPr>
          <w:rFonts w:ascii="Times New Roman" w:hAnsi="Times New Roman" w:eastAsia="黑体"/>
          <w:b w:val="0"/>
          <w:color w:val="auto"/>
          <w:sz w:val="24"/>
          <w:szCs w:val="24"/>
          <w:highlight w:val="none"/>
        </w:rPr>
        <w:t>0. 变更</w:t>
      </w:r>
      <w:bookmarkEnd w:id="250"/>
      <w:bookmarkEnd w:id="251"/>
      <w:bookmarkEnd w:id="260"/>
    </w:p>
    <w:bookmarkEnd w:id="261"/>
    <w:p w14:paraId="0664B74A">
      <w:pPr>
        <w:pStyle w:val="7"/>
        <w:spacing w:before="120" w:after="120" w:line="360" w:lineRule="auto"/>
        <w:ind w:firstLine="480" w:firstLineChars="200"/>
        <w:rPr>
          <w:rFonts w:eastAsia="黑体"/>
          <w:b w:val="0"/>
          <w:color w:val="auto"/>
          <w:sz w:val="24"/>
          <w:szCs w:val="24"/>
          <w:highlight w:val="none"/>
        </w:rPr>
      </w:pPr>
      <w:bookmarkStart w:id="262" w:name="_Toc32835675"/>
      <w:r>
        <w:rPr>
          <w:rFonts w:eastAsia="黑体"/>
          <w:b w:val="0"/>
          <w:color w:val="auto"/>
          <w:sz w:val="24"/>
          <w:szCs w:val="24"/>
          <w:highlight w:val="none"/>
        </w:rPr>
        <w:t>1</w:t>
      </w:r>
      <w:bookmarkStart w:id="263" w:name="_Toc296346585"/>
      <w:bookmarkStart w:id="264" w:name="_Toc296503084"/>
      <w:bookmarkStart w:id="265" w:name="_Toc337558788"/>
      <w:r>
        <w:rPr>
          <w:rFonts w:eastAsia="黑体"/>
          <w:b w:val="0"/>
          <w:color w:val="auto"/>
          <w:sz w:val="24"/>
          <w:szCs w:val="24"/>
          <w:highlight w:val="none"/>
        </w:rPr>
        <w:t>0.1变更的范围</w:t>
      </w:r>
      <w:bookmarkEnd w:id="262"/>
    </w:p>
    <w:bookmarkEnd w:id="263"/>
    <w:bookmarkEnd w:id="264"/>
    <w:bookmarkEnd w:id="265"/>
    <w:p w14:paraId="5FC2816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除专用合同条款另有约定外，合同履行过程中发生以下情形的，应按照本条约定进行变更：</w:t>
      </w:r>
    </w:p>
    <w:p w14:paraId="0A7CFAD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（1）增加或减少合同中任何工作，或追加额外的工作；</w:t>
      </w:r>
    </w:p>
    <w:p w14:paraId="5038A51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（2）取消合同中任何工作，但转由他人实施的工作除外；</w:t>
      </w:r>
    </w:p>
    <w:p w14:paraId="0C3E779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（3）改变合同中任何工作的质量标准或其他特性；</w:t>
      </w:r>
    </w:p>
    <w:p w14:paraId="78300CB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（4）改变工程的基线、标高、位置和尺寸；</w:t>
      </w:r>
    </w:p>
    <w:p w14:paraId="5435E4E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（5）改变工程的时间安排或实施顺序。</w:t>
      </w:r>
    </w:p>
    <w:p w14:paraId="79E6C525">
      <w:pPr>
        <w:pStyle w:val="7"/>
        <w:spacing w:before="120" w:after="120" w:line="360" w:lineRule="auto"/>
        <w:ind w:firstLine="480" w:firstLineChars="200"/>
        <w:rPr>
          <w:rFonts w:eastAsia="黑体"/>
          <w:b w:val="0"/>
          <w:color w:val="auto"/>
          <w:sz w:val="24"/>
          <w:szCs w:val="24"/>
          <w:highlight w:val="none"/>
        </w:rPr>
      </w:pPr>
      <w:bookmarkStart w:id="266" w:name="_Toc32835676"/>
      <w:r>
        <w:rPr>
          <w:rFonts w:eastAsia="黑体"/>
          <w:b w:val="0"/>
          <w:color w:val="auto"/>
          <w:sz w:val="24"/>
          <w:szCs w:val="24"/>
          <w:highlight w:val="none"/>
        </w:rPr>
        <w:t>1</w:t>
      </w:r>
      <w:bookmarkStart w:id="267" w:name="_Toc296503085"/>
      <w:bookmarkStart w:id="268" w:name="_Toc296346586"/>
      <w:bookmarkStart w:id="269" w:name="_Toc337558789"/>
      <w:r>
        <w:rPr>
          <w:rFonts w:eastAsia="黑体"/>
          <w:b w:val="0"/>
          <w:color w:val="auto"/>
          <w:sz w:val="24"/>
          <w:szCs w:val="24"/>
          <w:highlight w:val="none"/>
        </w:rPr>
        <w:t>0.2变更权</w:t>
      </w:r>
      <w:bookmarkEnd w:id="266"/>
    </w:p>
    <w:bookmarkEnd w:id="267"/>
    <w:bookmarkEnd w:id="268"/>
    <w:bookmarkEnd w:id="269"/>
    <w:p w14:paraId="49A3BD0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2817D2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涉及设计变更的，应由设计人提供变更后的图纸和说明。如变更超过原设计标准或批准的建设规模时，发包人应及时办理规划、设计变更</w:t>
      </w:r>
      <w:r>
        <w:rPr>
          <w:rFonts w:hint="eastAsia" w:eastAsia="仿宋_GB2312"/>
          <w:color w:val="auto"/>
          <w:kern w:val="0"/>
          <w:sz w:val="24"/>
          <w:szCs w:val="24"/>
          <w:highlight w:val="none"/>
        </w:rPr>
        <w:t>等</w:t>
      </w:r>
      <w:r>
        <w:rPr>
          <w:rFonts w:eastAsia="仿宋_GB2312"/>
          <w:color w:val="auto"/>
          <w:kern w:val="0"/>
          <w:sz w:val="24"/>
          <w:szCs w:val="24"/>
          <w:highlight w:val="none"/>
        </w:rPr>
        <w:t>审批手续。</w:t>
      </w:r>
    </w:p>
    <w:p w14:paraId="6BBD1012">
      <w:pPr>
        <w:pStyle w:val="7"/>
        <w:spacing w:before="120" w:after="120" w:line="360" w:lineRule="auto"/>
        <w:ind w:firstLine="480" w:firstLineChars="200"/>
        <w:rPr>
          <w:rFonts w:eastAsia="黑体"/>
          <w:b w:val="0"/>
          <w:color w:val="auto"/>
          <w:sz w:val="24"/>
          <w:szCs w:val="24"/>
          <w:highlight w:val="none"/>
        </w:rPr>
      </w:pPr>
      <w:bookmarkStart w:id="270" w:name="_Toc32835677"/>
      <w:r>
        <w:rPr>
          <w:rFonts w:eastAsia="黑体"/>
          <w:b w:val="0"/>
          <w:color w:val="auto"/>
          <w:sz w:val="24"/>
          <w:szCs w:val="24"/>
          <w:highlight w:val="none"/>
        </w:rPr>
        <w:t>1</w:t>
      </w:r>
      <w:bookmarkStart w:id="271" w:name="_Toc337558790"/>
      <w:bookmarkStart w:id="272" w:name="_Toc296346587"/>
      <w:bookmarkStart w:id="273" w:name="_Toc296503086"/>
      <w:r>
        <w:rPr>
          <w:rFonts w:eastAsia="黑体"/>
          <w:b w:val="0"/>
          <w:color w:val="auto"/>
          <w:sz w:val="24"/>
          <w:szCs w:val="24"/>
          <w:highlight w:val="none"/>
        </w:rPr>
        <w:t>0.3变更程序</w:t>
      </w:r>
      <w:bookmarkEnd w:id="270"/>
    </w:p>
    <w:bookmarkEnd w:id="271"/>
    <w:bookmarkEnd w:id="272"/>
    <w:bookmarkEnd w:id="273"/>
    <w:p w14:paraId="2A25FCA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sz w:val="24"/>
          <w:szCs w:val="24"/>
          <w:highlight w:val="none"/>
        </w:rPr>
        <w:t>10</w:t>
      </w:r>
      <w:r>
        <w:rPr>
          <w:rFonts w:eastAsia="仿宋_GB2312"/>
          <w:color w:val="auto"/>
          <w:kern w:val="0"/>
          <w:sz w:val="24"/>
          <w:szCs w:val="24"/>
          <w:highlight w:val="none"/>
        </w:rPr>
        <w:t>.3.1 发包人提出变更</w:t>
      </w:r>
    </w:p>
    <w:p w14:paraId="5CA07C4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发包人提出变更的，应通过监理人向承包人发出变更指示，变更指示应说明计划变更的工程范围和变更的内容。</w:t>
      </w:r>
    </w:p>
    <w:p w14:paraId="079C989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sz w:val="24"/>
          <w:szCs w:val="24"/>
          <w:highlight w:val="none"/>
        </w:rPr>
        <w:t>10</w:t>
      </w:r>
      <w:r>
        <w:rPr>
          <w:rFonts w:eastAsia="仿宋_GB2312"/>
          <w:color w:val="auto"/>
          <w:kern w:val="0"/>
          <w:sz w:val="24"/>
          <w:szCs w:val="24"/>
          <w:highlight w:val="none"/>
        </w:rPr>
        <w:t>.3.2 监理人提出变更建议</w:t>
      </w:r>
    </w:p>
    <w:p w14:paraId="7EAE7447">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CBC70C0">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10.3.3 变更执行</w:t>
      </w:r>
    </w:p>
    <w:p w14:paraId="7AD36D3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承包人收到监理人下达的变更指示后，</w:t>
      </w:r>
      <w:r>
        <w:rPr>
          <w:rFonts w:hint="eastAsia" w:eastAsia="仿宋_GB2312"/>
          <w:color w:val="auto"/>
          <w:kern w:val="0"/>
          <w:sz w:val="24"/>
          <w:szCs w:val="24"/>
          <w:highlight w:val="none"/>
        </w:rPr>
        <w:t>认为不能执行，应立即</w:t>
      </w:r>
      <w:r>
        <w:rPr>
          <w:rFonts w:eastAsia="仿宋_GB2312"/>
          <w:color w:val="auto"/>
          <w:kern w:val="0"/>
          <w:sz w:val="24"/>
          <w:szCs w:val="24"/>
          <w:highlight w:val="none"/>
        </w:rPr>
        <w:t>提出不能执行该变更指示的理由。承包人</w:t>
      </w:r>
      <w:r>
        <w:rPr>
          <w:rFonts w:hint="eastAsia" w:eastAsia="仿宋_GB2312"/>
          <w:color w:val="auto"/>
          <w:kern w:val="0"/>
          <w:sz w:val="24"/>
          <w:szCs w:val="24"/>
          <w:highlight w:val="none"/>
        </w:rPr>
        <w:t>认为可以</w:t>
      </w:r>
      <w:r>
        <w:rPr>
          <w:rFonts w:eastAsia="仿宋_GB2312"/>
          <w:color w:val="auto"/>
          <w:kern w:val="0"/>
          <w:sz w:val="24"/>
          <w:szCs w:val="24"/>
          <w:highlight w:val="none"/>
        </w:rPr>
        <w:t>执行变更的，</w:t>
      </w:r>
      <w:r>
        <w:rPr>
          <w:rFonts w:hint="eastAsia" w:eastAsia="仿宋_GB2312"/>
          <w:color w:val="auto"/>
          <w:kern w:val="0"/>
          <w:sz w:val="24"/>
          <w:szCs w:val="24"/>
          <w:highlight w:val="none"/>
        </w:rPr>
        <w:t>应当书面说明实施该变更指示对合同价格和工期的影响，且合同当事人应当按照第10.4款〔变更估价〕约定确定变更估价</w:t>
      </w:r>
      <w:r>
        <w:rPr>
          <w:rFonts w:eastAsia="仿宋_GB2312"/>
          <w:color w:val="auto"/>
          <w:kern w:val="0"/>
          <w:sz w:val="24"/>
          <w:szCs w:val="24"/>
          <w:highlight w:val="none"/>
        </w:rPr>
        <w:t>。</w:t>
      </w:r>
    </w:p>
    <w:p w14:paraId="579E4C00">
      <w:pPr>
        <w:pStyle w:val="7"/>
        <w:spacing w:before="120" w:after="120" w:line="360" w:lineRule="auto"/>
        <w:ind w:firstLine="480" w:firstLineChars="200"/>
        <w:rPr>
          <w:rFonts w:eastAsia="黑体"/>
          <w:b w:val="0"/>
          <w:color w:val="auto"/>
          <w:sz w:val="24"/>
          <w:szCs w:val="24"/>
          <w:highlight w:val="none"/>
        </w:rPr>
      </w:pPr>
      <w:bookmarkStart w:id="274" w:name="_Toc32835678"/>
      <w:r>
        <w:rPr>
          <w:rFonts w:eastAsia="黑体"/>
          <w:b w:val="0"/>
          <w:color w:val="auto"/>
          <w:sz w:val="24"/>
          <w:szCs w:val="24"/>
          <w:highlight w:val="none"/>
        </w:rPr>
        <w:t>1</w:t>
      </w:r>
      <w:bookmarkStart w:id="275" w:name="_Toc296346588"/>
      <w:bookmarkStart w:id="276" w:name="_Toc296503087"/>
      <w:bookmarkStart w:id="277" w:name="_Toc337558791"/>
      <w:r>
        <w:rPr>
          <w:rFonts w:eastAsia="黑体"/>
          <w:b w:val="0"/>
          <w:color w:val="auto"/>
          <w:sz w:val="24"/>
          <w:szCs w:val="24"/>
          <w:highlight w:val="none"/>
        </w:rPr>
        <w:t>0.4变更估价</w:t>
      </w:r>
      <w:bookmarkEnd w:id="274"/>
    </w:p>
    <w:bookmarkEnd w:id="275"/>
    <w:bookmarkEnd w:id="276"/>
    <w:bookmarkEnd w:id="277"/>
    <w:p w14:paraId="7E8D040A">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hint="eastAsia" w:eastAsia="仿宋_GB2312"/>
          <w:color w:val="auto"/>
          <w:kern w:val="0"/>
          <w:sz w:val="24"/>
          <w:szCs w:val="24"/>
          <w:highlight w:val="none"/>
        </w:rPr>
        <w:t>10.4.1 变更估价原则</w:t>
      </w:r>
    </w:p>
    <w:p w14:paraId="5AE7DC1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除专用合同条款另有约定外，变更估价按照本款约定处理：</w:t>
      </w:r>
    </w:p>
    <w:p w14:paraId="2C3F8DF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（1）已标价工程量清单或预算书有相同项目的，按照相同项目单价认定；</w:t>
      </w:r>
    </w:p>
    <w:p w14:paraId="533D86C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（2）已标价工程量清单或预算书中无相同项目，但有类似项目的，参照类似项目的单价认定；</w:t>
      </w:r>
    </w:p>
    <w:p w14:paraId="2FBDC21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eastAsia="仿宋_GB2312"/>
          <w:color w:val="auto"/>
          <w:kern w:val="0"/>
          <w:sz w:val="24"/>
          <w:szCs w:val="24"/>
          <w:highlight w:val="none"/>
        </w:rPr>
        <w:t>〔</w:t>
      </w:r>
      <w:r>
        <w:rPr>
          <w:rFonts w:eastAsia="仿宋_GB2312"/>
          <w:color w:val="auto"/>
          <w:kern w:val="0"/>
          <w:sz w:val="24"/>
          <w:szCs w:val="24"/>
          <w:highlight w:val="none"/>
        </w:rPr>
        <w:t>商定或确定</w:t>
      </w:r>
      <w:r>
        <w:rPr>
          <w:rFonts w:hint="eastAsia" w:eastAsia="仿宋_GB2312"/>
          <w:color w:val="auto"/>
          <w:kern w:val="0"/>
          <w:sz w:val="24"/>
          <w:szCs w:val="24"/>
          <w:highlight w:val="none"/>
        </w:rPr>
        <w:t>〕</w:t>
      </w:r>
      <w:r>
        <w:rPr>
          <w:rFonts w:eastAsia="仿宋_GB2312"/>
          <w:color w:val="auto"/>
          <w:kern w:val="0"/>
          <w:sz w:val="24"/>
          <w:szCs w:val="24"/>
          <w:highlight w:val="none"/>
        </w:rPr>
        <w:t>确定变更工作的单价。</w:t>
      </w:r>
    </w:p>
    <w:p w14:paraId="436C76B1">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hint="eastAsia" w:eastAsia="仿宋_GB2312"/>
          <w:color w:val="auto"/>
          <w:kern w:val="0"/>
          <w:sz w:val="24"/>
          <w:szCs w:val="24"/>
          <w:highlight w:val="none"/>
        </w:rPr>
        <w:t>10.4.2 变更估价程序</w:t>
      </w:r>
    </w:p>
    <w:p w14:paraId="68B16C6F">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hint="eastAsia" w:eastAsia="仿宋_GB2312"/>
          <w:color w:val="auto"/>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w:t>
      </w:r>
      <w:r>
        <w:rPr>
          <w:rFonts w:eastAsia="仿宋_GB2312"/>
          <w:color w:val="auto"/>
          <w:kern w:val="0"/>
          <w:sz w:val="24"/>
          <w:szCs w:val="24"/>
          <w:highlight w:val="none"/>
        </w:rPr>
        <w:t>，通知承包人</w:t>
      </w:r>
      <w:r>
        <w:rPr>
          <w:rFonts w:hint="eastAsia" w:eastAsia="仿宋_GB2312"/>
          <w:color w:val="auto"/>
          <w:kern w:val="0"/>
          <w:sz w:val="24"/>
          <w:szCs w:val="24"/>
          <w:highlight w:val="none"/>
        </w:rPr>
        <w:t>修</w:t>
      </w:r>
      <w:r>
        <w:rPr>
          <w:rFonts w:eastAsia="仿宋_GB2312"/>
          <w:color w:val="auto"/>
          <w:kern w:val="0"/>
          <w:sz w:val="24"/>
          <w:szCs w:val="24"/>
          <w:highlight w:val="none"/>
        </w:rPr>
        <w:t>改</w:t>
      </w:r>
      <w:r>
        <w:rPr>
          <w:rFonts w:hint="eastAsia" w:eastAsia="仿宋_GB2312"/>
          <w:color w:val="auto"/>
          <w:kern w:val="0"/>
          <w:sz w:val="24"/>
          <w:szCs w:val="24"/>
          <w:highlight w:val="none"/>
        </w:rPr>
        <w:t>后重新提交</w:t>
      </w:r>
      <w:r>
        <w:rPr>
          <w:rFonts w:eastAsia="仿宋_GB2312"/>
          <w:color w:val="auto"/>
          <w:kern w:val="0"/>
          <w:sz w:val="24"/>
          <w:szCs w:val="24"/>
          <w:highlight w:val="none"/>
        </w:rPr>
        <w:t>。发包人应在</w:t>
      </w:r>
      <w:r>
        <w:rPr>
          <w:rFonts w:hint="eastAsia" w:eastAsia="仿宋_GB2312"/>
          <w:color w:val="auto"/>
          <w:kern w:val="0"/>
          <w:sz w:val="24"/>
          <w:szCs w:val="24"/>
          <w:highlight w:val="none"/>
        </w:rPr>
        <w:t>承包人提交变更估价申请</w:t>
      </w:r>
      <w:r>
        <w:rPr>
          <w:rFonts w:eastAsia="仿宋_GB2312"/>
          <w:color w:val="auto"/>
          <w:kern w:val="0"/>
          <w:sz w:val="24"/>
          <w:szCs w:val="24"/>
          <w:highlight w:val="none"/>
        </w:rPr>
        <w:t>后</w:t>
      </w:r>
      <w:r>
        <w:rPr>
          <w:rFonts w:hint="eastAsia" w:eastAsia="仿宋_GB2312"/>
          <w:color w:val="auto"/>
          <w:kern w:val="0"/>
          <w:sz w:val="24"/>
          <w:szCs w:val="24"/>
          <w:highlight w:val="none"/>
        </w:rPr>
        <w:t>14</w:t>
      </w:r>
      <w:r>
        <w:rPr>
          <w:rFonts w:eastAsia="仿宋_GB2312"/>
          <w:color w:val="auto"/>
          <w:kern w:val="0"/>
          <w:sz w:val="24"/>
          <w:szCs w:val="24"/>
          <w:highlight w:val="none"/>
        </w:rPr>
        <w:t>天内审批完毕。</w:t>
      </w:r>
      <w:r>
        <w:rPr>
          <w:rFonts w:hint="eastAsia" w:eastAsia="仿宋_GB2312"/>
          <w:color w:val="auto"/>
          <w:kern w:val="0"/>
          <w:sz w:val="24"/>
          <w:szCs w:val="24"/>
          <w:highlight w:val="none"/>
        </w:rPr>
        <w:t>发包人逾期未完成审批或未提出异议的，视为认可承包人提交的变更估价申请。</w:t>
      </w:r>
    </w:p>
    <w:p w14:paraId="7D3AD53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因变更引起的价格调整应计入最近一期的进度款中支付。</w:t>
      </w:r>
    </w:p>
    <w:p w14:paraId="29E0A740">
      <w:pPr>
        <w:pStyle w:val="7"/>
        <w:spacing w:before="120" w:after="120" w:line="360" w:lineRule="auto"/>
        <w:ind w:firstLine="480" w:firstLineChars="200"/>
        <w:rPr>
          <w:rFonts w:eastAsia="黑体"/>
          <w:b w:val="0"/>
          <w:color w:val="auto"/>
          <w:sz w:val="24"/>
          <w:szCs w:val="24"/>
          <w:highlight w:val="none"/>
        </w:rPr>
      </w:pPr>
      <w:bookmarkStart w:id="278" w:name="_Toc32835679"/>
      <w:r>
        <w:rPr>
          <w:rFonts w:eastAsia="黑体"/>
          <w:b w:val="0"/>
          <w:color w:val="auto"/>
          <w:sz w:val="24"/>
          <w:szCs w:val="24"/>
          <w:highlight w:val="none"/>
        </w:rPr>
        <w:t>1</w:t>
      </w:r>
      <w:bookmarkStart w:id="279" w:name="_Toc296503094"/>
      <w:bookmarkStart w:id="280" w:name="_Toc296346595"/>
      <w:bookmarkStart w:id="281" w:name="_Toc337558792"/>
      <w:r>
        <w:rPr>
          <w:rFonts w:eastAsia="黑体"/>
          <w:b w:val="0"/>
          <w:color w:val="auto"/>
          <w:sz w:val="24"/>
          <w:szCs w:val="24"/>
          <w:highlight w:val="none"/>
        </w:rPr>
        <w:t>0.5承包人的合理化建议</w:t>
      </w:r>
      <w:bookmarkEnd w:id="278"/>
    </w:p>
    <w:bookmarkEnd w:id="279"/>
    <w:bookmarkEnd w:id="280"/>
    <w:bookmarkEnd w:id="281"/>
    <w:p w14:paraId="1A8D039C">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承包人提出合理化建议的，应向监理人提交合理化建议说明，说明建议的内容和理由，以及实施该建议对合同价格和工期的影响。</w:t>
      </w:r>
    </w:p>
    <w:p w14:paraId="63E3D5A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eastAsia="仿宋_GB2312"/>
          <w:color w:val="auto"/>
          <w:kern w:val="0"/>
          <w:sz w:val="24"/>
          <w:szCs w:val="24"/>
          <w:highlight w:val="none"/>
        </w:rPr>
        <w:t>〔</w:t>
      </w:r>
      <w:r>
        <w:rPr>
          <w:rFonts w:eastAsia="仿宋_GB2312"/>
          <w:color w:val="auto"/>
          <w:kern w:val="0"/>
          <w:sz w:val="24"/>
          <w:szCs w:val="24"/>
          <w:highlight w:val="none"/>
        </w:rPr>
        <w:t>变更估价</w:t>
      </w:r>
      <w:r>
        <w:rPr>
          <w:rFonts w:hint="eastAsia" w:eastAsia="仿宋_GB2312"/>
          <w:color w:val="auto"/>
          <w:kern w:val="0"/>
          <w:sz w:val="24"/>
          <w:szCs w:val="24"/>
          <w:highlight w:val="none"/>
        </w:rPr>
        <w:t>〕</w:t>
      </w:r>
      <w:r>
        <w:rPr>
          <w:rFonts w:eastAsia="仿宋_GB2312"/>
          <w:color w:val="auto"/>
          <w:kern w:val="0"/>
          <w:sz w:val="24"/>
          <w:szCs w:val="24"/>
          <w:highlight w:val="none"/>
        </w:rPr>
        <w:t>约定执行。发包人不同意变更的，监理人应书面通知承包人。</w:t>
      </w:r>
    </w:p>
    <w:p w14:paraId="1A9A30D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合理化建议降低了合同价格或者提高了工程经济效益的，发包人可对承包人给予奖励，奖励的方法和金额在专用合同条款中约定。</w:t>
      </w:r>
    </w:p>
    <w:p w14:paraId="1C29CF7D">
      <w:pPr>
        <w:pStyle w:val="7"/>
        <w:spacing w:before="120" w:after="120" w:line="360" w:lineRule="auto"/>
        <w:ind w:firstLine="480" w:firstLineChars="200"/>
        <w:rPr>
          <w:rFonts w:eastAsia="仿宋_GB2312"/>
          <w:color w:val="auto"/>
          <w:sz w:val="24"/>
          <w:szCs w:val="24"/>
          <w:highlight w:val="none"/>
        </w:rPr>
      </w:pPr>
      <w:bookmarkStart w:id="282" w:name="_Toc32835680"/>
      <w:r>
        <w:rPr>
          <w:rFonts w:eastAsia="黑体"/>
          <w:b w:val="0"/>
          <w:color w:val="auto"/>
          <w:sz w:val="24"/>
          <w:szCs w:val="24"/>
          <w:highlight w:val="none"/>
        </w:rPr>
        <w:t>1</w:t>
      </w:r>
      <w:bookmarkStart w:id="283" w:name="_Toc337558793"/>
      <w:r>
        <w:rPr>
          <w:rFonts w:eastAsia="黑体"/>
          <w:b w:val="0"/>
          <w:color w:val="auto"/>
          <w:sz w:val="24"/>
          <w:szCs w:val="24"/>
          <w:highlight w:val="none"/>
        </w:rPr>
        <w:t>0.6变更引起的工期调整</w:t>
      </w:r>
      <w:bookmarkEnd w:id="282"/>
      <w:r>
        <w:rPr>
          <w:rFonts w:eastAsia="黑体"/>
          <w:b w:val="0"/>
          <w:color w:val="auto"/>
          <w:sz w:val="24"/>
          <w:szCs w:val="24"/>
          <w:highlight w:val="none"/>
        </w:rPr>
        <w:t xml:space="preserve"> </w:t>
      </w:r>
      <w:bookmarkEnd w:id="283"/>
      <w:r>
        <w:rPr>
          <w:rFonts w:eastAsia="黑体"/>
          <w:b w:val="0"/>
          <w:color w:val="auto"/>
          <w:sz w:val="24"/>
          <w:szCs w:val="24"/>
          <w:highlight w:val="none"/>
        </w:rPr>
        <w:t xml:space="preserve"> </w:t>
      </w:r>
      <w:r>
        <w:rPr>
          <w:rFonts w:eastAsia="仿宋_GB2312"/>
          <w:color w:val="auto"/>
          <w:sz w:val="24"/>
          <w:szCs w:val="24"/>
          <w:highlight w:val="none"/>
        </w:rPr>
        <w:t xml:space="preserve"> </w:t>
      </w:r>
    </w:p>
    <w:p w14:paraId="13FEF2C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因变更引起工期变化的，合同当事人均可要求调整合同工期，由合同当事人按照第4.4款</w:t>
      </w:r>
      <w:r>
        <w:rPr>
          <w:rFonts w:hint="eastAsia" w:eastAsia="仿宋_GB2312"/>
          <w:color w:val="auto"/>
          <w:kern w:val="0"/>
          <w:sz w:val="24"/>
          <w:szCs w:val="24"/>
          <w:highlight w:val="none"/>
        </w:rPr>
        <w:t>〔</w:t>
      </w:r>
      <w:r>
        <w:rPr>
          <w:rFonts w:eastAsia="仿宋_GB2312"/>
          <w:color w:val="auto"/>
          <w:kern w:val="0"/>
          <w:sz w:val="24"/>
          <w:szCs w:val="24"/>
          <w:highlight w:val="none"/>
        </w:rPr>
        <w:t>商定或确定</w:t>
      </w:r>
      <w:r>
        <w:rPr>
          <w:rFonts w:hint="eastAsia" w:eastAsia="仿宋_GB2312"/>
          <w:color w:val="auto"/>
          <w:kern w:val="0"/>
          <w:sz w:val="24"/>
          <w:szCs w:val="24"/>
          <w:highlight w:val="none"/>
        </w:rPr>
        <w:t>〕</w:t>
      </w:r>
      <w:r>
        <w:rPr>
          <w:rFonts w:eastAsia="仿宋_GB2312"/>
          <w:color w:val="auto"/>
          <w:kern w:val="0"/>
          <w:sz w:val="24"/>
          <w:szCs w:val="24"/>
          <w:highlight w:val="none"/>
        </w:rPr>
        <w:t>并参考工程所在地的工期定额标准确定增减工期天数。</w:t>
      </w:r>
    </w:p>
    <w:p w14:paraId="50C036C5">
      <w:pPr>
        <w:pStyle w:val="7"/>
        <w:spacing w:before="120" w:after="120" w:line="360" w:lineRule="auto"/>
        <w:ind w:firstLine="480" w:firstLineChars="200"/>
        <w:rPr>
          <w:rFonts w:eastAsia="黑体"/>
          <w:b w:val="0"/>
          <w:color w:val="auto"/>
          <w:sz w:val="24"/>
          <w:szCs w:val="24"/>
          <w:highlight w:val="none"/>
        </w:rPr>
      </w:pPr>
      <w:bookmarkStart w:id="284" w:name="_Toc32835681"/>
      <w:r>
        <w:rPr>
          <w:rFonts w:eastAsia="黑体"/>
          <w:b w:val="0"/>
          <w:color w:val="auto"/>
          <w:sz w:val="24"/>
          <w:szCs w:val="24"/>
          <w:highlight w:val="none"/>
        </w:rPr>
        <w:t>10.7暂估价</w:t>
      </w:r>
      <w:bookmarkEnd w:id="284"/>
    </w:p>
    <w:p w14:paraId="738C3B9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暂估价专业分包工程、</w:t>
      </w:r>
      <w:r>
        <w:rPr>
          <w:rFonts w:hint="eastAsia" w:eastAsia="仿宋_GB2312"/>
          <w:color w:val="auto"/>
          <w:kern w:val="0"/>
          <w:sz w:val="24"/>
          <w:szCs w:val="24"/>
          <w:highlight w:val="none"/>
        </w:rPr>
        <w:t>服务、</w:t>
      </w:r>
      <w:r>
        <w:rPr>
          <w:rFonts w:eastAsia="仿宋_GB2312"/>
          <w:color w:val="auto"/>
          <w:kern w:val="0"/>
          <w:sz w:val="24"/>
          <w:szCs w:val="24"/>
          <w:highlight w:val="none"/>
        </w:rPr>
        <w:t>材料和工程设备的明细由合同当事人在专用合同条款中约定。</w:t>
      </w:r>
    </w:p>
    <w:p w14:paraId="7DA8D385">
      <w:pPr>
        <w:spacing w:line="360" w:lineRule="auto"/>
        <w:ind w:firstLine="480" w:firstLineChars="200"/>
        <w:jc w:val="left"/>
        <w:rPr>
          <w:rFonts w:eastAsia="仿宋_GB2312"/>
          <w:color w:val="auto"/>
          <w:kern w:val="0"/>
          <w:sz w:val="24"/>
          <w:szCs w:val="24"/>
          <w:highlight w:val="none"/>
        </w:rPr>
      </w:pPr>
      <w:r>
        <w:rPr>
          <w:rFonts w:eastAsia="仿宋_GB2312"/>
          <w:color w:val="auto"/>
          <w:sz w:val="24"/>
          <w:szCs w:val="24"/>
          <w:highlight w:val="none"/>
        </w:rPr>
        <w:t>10.7.1</w:t>
      </w:r>
      <w:r>
        <w:rPr>
          <w:rFonts w:eastAsia="仿宋_GB2312"/>
          <w:color w:val="auto"/>
          <w:kern w:val="0"/>
          <w:sz w:val="24"/>
          <w:szCs w:val="24"/>
          <w:highlight w:val="none"/>
        </w:rPr>
        <w:t xml:space="preserve"> 依法必须招标的暂估价项目</w:t>
      </w:r>
    </w:p>
    <w:p w14:paraId="1510C1C1">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对于依法必须招标的暂估价项目，采取以下第</w:t>
      </w:r>
      <w:r>
        <w:rPr>
          <w:rFonts w:hint="eastAsia" w:eastAsia="仿宋_GB2312"/>
          <w:color w:val="auto"/>
          <w:kern w:val="0"/>
          <w:sz w:val="24"/>
          <w:szCs w:val="24"/>
          <w:highlight w:val="none"/>
        </w:rPr>
        <w:t>2</w:t>
      </w:r>
      <w:r>
        <w:rPr>
          <w:rFonts w:eastAsia="仿宋_GB2312"/>
          <w:color w:val="auto"/>
          <w:kern w:val="0"/>
          <w:sz w:val="24"/>
          <w:szCs w:val="24"/>
          <w:highlight w:val="none"/>
        </w:rPr>
        <w:t>种方式确定</w:t>
      </w:r>
      <w:r>
        <w:rPr>
          <w:rFonts w:hint="eastAsia" w:eastAsia="仿宋_GB2312"/>
          <w:color w:val="auto"/>
          <w:kern w:val="0"/>
          <w:sz w:val="24"/>
          <w:szCs w:val="24"/>
          <w:highlight w:val="none"/>
        </w:rPr>
        <w:t>。合同当事人也可以在</w:t>
      </w:r>
      <w:r>
        <w:rPr>
          <w:rFonts w:eastAsia="仿宋_GB2312"/>
          <w:color w:val="auto"/>
          <w:kern w:val="0"/>
          <w:sz w:val="24"/>
          <w:szCs w:val="24"/>
          <w:highlight w:val="none"/>
        </w:rPr>
        <w:t>专用合同条款</w:t>
      </w:r>
      <w:r>
        <w:rPr>
          <w:rFonts w:hint="eastAsia" w:eastAsia="仿宋_GB2312"/>
          <w:color w:val="auto"/>
          <w:kern w:val="0"/>
          <w:sz w:val="24"/>
          <w:szCs w:val="24"/>
          <w:highlight w:val="none"/>
        </w:rPr>
        <w:t>中选择其他招标方式。</w:t>
      </w:r>
    </w:p>
    <w:p w14:paraId="298BA8E4">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第1种方式：对于依法必须招标的暂估价项目，由承包人招标，对该暂估价项目的确认和批准按照以下约定执行：</w:t>
      </w:r>
    </w:p>
    <w:p w14:paraId="5F41B3D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E3E894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eastAsia="仿宋_GB2312"/>
          <w:color w:val="auto"/>
          <w:kern w:val="0"/>
          <w:sz w:val="24"/>
          <w:szCs w:val="24"/>
          <w:highlight w:val="none"/>
        </w:rPr>
        <w:t>并按照法律规定参加评标</w:t>
      </w:r>
      <w:r>
        <w:rPr>
          <w:rFonts w:eastAsia="仿宋_GB2312"/>
          <w:color w:val="auto"/>
          <w:kern w:val="0"/>
          <w:sz w:val="24"/>
          <w:szCs w:val="24"/>
          <w:highlight w:val="none"/>
        </w:rPr>
        <w:t>；</w:t>
      </w:r>
    </w:p>
    <w:p w14:paraId="3DFB67C8">
      <w:pPr>
        <w:spacing w:line="360" w:lineRule="auto"/>
        <w:jc w:val="left"/>
        <w:rPr>
          <w:rFonts w:eastAsia="仿宋_GB2312"/>
          <w:color w:val="auto"/>
          <w:kern w:val="0"/>
          <w:sz w:val="24"/>
          <w:szCs w:val="24"/>
          <w:highlight w:val="none"/>
        </w:rPr>
      </w:pPr>
      <w:r>
        <w:rPr>
          <w:rFonts w:eastAsia="仿宋_GB2312"/>
          <w:color w:val="auto"/>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DBB31E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7124B6B">
      <w:pPr>
        <w:spacing w:line="360" w:lineRule="auto"/>
        <w:ind w:firstLine="480" w:firstLineChars="200"/>
        <w:jc w:val="left"/>
        <w:rPr>
          <w:rFonts w:eastAsia="仿宋_GB2312"/>
          <w:color w:val="auto"/>
          <w:kern w:val="0"/>
          <w:sz w:val="24"/>
          <w:szCs w:val="24"/>
          <w:highlight w:val="none"/>
        </w:rPr>
      </w:pPr>
      <w:r>
        <w:rPr>
          <w:rFonts w:eastAsia="仿宋_GB2312"/>
          <w:color w:val="auto"/>
          <w:sz w:val="24"/>
          <w:szCs w:val="24"/>
          <w:highlight w:val="none"/>
        </w:rPr>
        <w:t>10.7.2</w:t>
      </w:r>
      <w:r>
        <w:rPr>
          <w:rFonts w:eastAsia="仿宋_GB2312"/>
          <w:color w:val="auto"/>
          <w:kern w:val="0"/>
          <w:sz w:val="24"/>
          <w:szCs w:val="24"/>
          <w:highlight w:val="none"/>
        </w:rPr>
        <w:t>不属于依法必须招标的暂估价项目</w:t>
      </w:r>
    </w:p>
    <w:p w14:paraId="5AFA496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除专用合同条款另有约定外，对于不属于依法必须招标的暂估价项目，采取以下第</w:t>
      </w:r>
      <w:r>
        <w:rPr>
          <w:rFonts w:hint="eastAsia" w:eastAsia="仿宋_GB2312"/>
          <w:color w:val="auto"/>
          <w:kern w:val="0"/>
          <w:sz w:val="24"/>
          <w:szCs w:val="24"/>
          <w:highlight w:val="none"/>
        </w:rPr>
        <w:t>2</w:t>
      </w:r>
      <w:r>
        <w:rPr>
          <w:rFonts w:eastAsia="仿宋_GB2312"/>
          <w:color w:val="auto"/>
          <w:kern w:val="0"/>
          <w:sz w:val="24"/>
          <w:szCs w:val="24"/>
          <w:highlight w:val="none"/>
        </w:rPr>
        <w:t>种方式确定：</w:t>
      </w:r>
      <w:r>
        <w:rPr>
          <w:rFonts w:hint="eastAsia" w:eastAsia="仿宋_GB2312"/>
          <w:color w:val="auto"/>
          <w:kern w:val="0"/>
          <w:sz w:val="24"/>
          <w:szCs w:val="24"/>
          <w:highlight w:val="none"/>
        </w:rPr>
        <w:t xml:space="preserve"> </w:t>
      </w:r>
    </w:p>
    <w:p w14:paraId="3B10FF9A">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第1种方式：对于不属于依法必须招标的暂估价项目，按本项约定确认和批准：</w:t>
      </w:r>
    </w:p>
    <w:p w14:paraId="235AFC4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AA12023">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（2）发包人认为承包人确定的供应商、分包人无法满足工程质量或合同要求的，发包人可以要求承包人重新确定暂估价项目的供应商、分包人;</w:t>
      </w:r>
    </w:p>
    <w:p w14:paraId="2DF5FDF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（3）承包人应当在签订暂估价合同后7天内，将暂估价合同副本报送发包人留存。</w:t>
      </w:r>
    </w:p>
    <w:p w14:paraId="6DB8232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第2种方式：承包人按照第10.7.1项</w:t>
      </w:r>
      <w:r>
        <w:rPr>
          <w:rFonts w:hint="eastAsia" w:eastAsia="仿宋_GB2312"/>
          <w:color w:val="auto"/>
          <w:kern w:val="0"/>
          <w:sz w:val="24"/>
          <w:szCs w:val="24"/>
          <w:highlight w:val="none"/>
        </w:rPr>
        <w:t>〔</w:t>
      </w:r>
      <w:r>
        <w:rPr>
          <w:rFonts w:eastAsia="仿宋_GB2312"/>
          <w:color w:val="auto"/>
          <w:kern w:val="0"/>
          <w:sz w:val="24"/>
          <w:szCs w:val="24"/>
          <w:highlight w:val="none"/>
        </w:rPr>
        <w:t>依法必须招标的暂估价项目</w:t>
      </w:r>
      <w:r>
        <w:rPr>
          <w:rFonts w:hint="eastAsia" w:eastAsia="仿宋_GB2312"/>
          <w:color w:val="auto"/>
          <w:kern w:val="0"/>
          <w:sz w:val="24"/>
          <w:szCs w:val="24"/>
          <w:highlight w:val="none"/>
        </w:rPr>
        <w:t>〕</w:t>
      </w:r>
      <w:r>
        <w:rPr>
          <w:rFonts w:eastAsia="仿宋_GB2312"/>
          <w:color w:val="auto"/>
          <w:kern w:val="0"/>
          <w:sz w:val="24"/>
          <w:szCs w:val="24"/>
          <w:highlight w:val="none"/>
        </w:rPr>
        <w:t>约定的第</w:t>
      </w:r>
      <w:r>
        <w:rPr>
          <w:rFonts w:hint="eastAsia" w:eastAsia="仿宋_GB2312"/>
          <w:color w:val="auto"/>
          <w:kern w:val="0"/>
          <w:sz w:val="24"/>
          <w:szCs w:val="24"/>
          <w:highlight w:val="none"/>
        </w:rPr>
        <w:t>2</w:t>
      </w:r>
      <w:r>
        <w:rPr>
          <w:rFonts w:eastAsia="仿宋_GB2312"/>
          <w:color w:val="auto"/>
          <w:kern w:val="0"/>
          <w:sz w:val="24"/>
          <w:szCs w:val="24"/>
          <w:highlight w:val="none"/>
        </w:rPr>
        <w:t>种方式确定暂估价项目。</w:t>
      </w:r>
    </w:p>
    <w:p w14:paraId="5EA47BD1">
      <w:pPr>
        <w:spacing w:line="360" w:lineRule="auto"/>
        <w:ind w:firstLine="480" w:firstLineChars="200"/>
        <w:jc w:val="left"/>
        <w:rPr>
          <w:rFonts w:eastAsia="仿宋_GB2312"/>
          <w:color w:val="auto"/>
          <w:kern w:val="0"/>
          <w:sz w:val="24"/>
          <w:szCs w:val="24"/>
          <w:highlight w:val="none"/>
        </w:rPr>
      </w:pPr>
      <w:r>
        <w:rPr>
          <w:rFonts w:eastAsia="仿宋_GB2312"/>
          <w:color w:val="auto"/>
          <w:sz w:val="24"/>
          <w:szCs w:val="24"/>
          <w:highlight w:val="none"/>
        </w:rPr>
        <w:t>第3种方式：</w:t>
      </w:r>
      <w:r>
        <w:rPr>
          <w:rFonts w:eastAsia="仿宋_GB2312"/>
          <w:color w:val="auto"/>
          <w:kern w:val="0"/>
          <w:sz w:val="24"/>
          <w:szCs w:val="24"/>
          <w:highlight w:val="none"/>
        </w:rPr>
        <w:t>承包人直接实施的暂估价项目</w:t>
      </w:r>
    </w:p>
    <w:p w14:paraId="7FE804F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35889769">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C197B49">
      <w:pPr>
        <w:pStyle w:val="7"/>
        <w:spacing w:before="120" w:after="120" w:line="360" w:lineRule="auto"/>
        <w:ind w:firstLine="480" w:firstLineChars="200"/>
        <w:rPr>
          <w:rFonts w:eastAsia="黑体"/>
          <w:b w:val="0"/>
          <w:color w:val="auto"/>
          <w:sz w:val="24"/>
          <w:szCs w:val="24"/>
          <w:highlight w:val="none"/>
        </w:rPr>
      </w:pPr>
      <w:bookmarkStart w:id="285" w:name="_Toc32835682"/>
      <w:r>
        <w:rPr>
          <w:rFonts w:eastAsia="黑体"/>
          <w:b w:val="0"/>
          <w:color w:val="auto"/>
          <w:sz w:val="24"/>
          <w:szCs w:val="24"/>
          <w:highlight w:val="none"/>
        </w:rPr>
        <w:t>1</w:t>
      </w:r>
      <w:bookmarkStart w:id="286" w:name="_Toc337558794"/>
      <w:bookmarkStart w:id="287" w:name="_Toc296503090"/>
      <w:bookmarkStart w:id="288" w:name="_Toc322522561"/>
      <w:bookmarkStart w:id="289" w:name="_Toc296346591"/>
      <w:r>
        <w:rPr>
          <w:rFonts w:eastAsia="黑体"/>
          <w:b w:val="0"/>
          <w:color w:val="auto"/>
          <w:sz w:val="24"/>
          <w:szCs w:val="24"/>
          <w:highlight w:val="none"/>
        </w:rPr>
        <w:t>0.8暂列金额</w:t>
      </w:r>
      <w:bookmarkEnd w:id="285"/>
    </w:p>
    <w:bookmarkEnd w:id="286"/>
    <w:p w14:paraId="551123A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暂列金额应按照发包人的要求使用，发包人的要求应通过监理人发出。</w:t>
      </w:r>
      <w:r>
        <w:rPr>
          <w:rFonts w:hint="eastAsia" w:eastAsia="仿宋_GB2312"/>
          <w:color w:val="auto"/>
          <w:kern w:val="0"/>
          <w:sz w:val="24"/>
          <w:szCs w:val="24"/>
          <w:highlight w:val="none"/>
        </w:rPr>
        <w:t>合同当事人可以在专用合同条款中协商确定有关事项。</w:t>
      </w:r>
    </w:p>
    <w:bookmarkEnd w:id="287"/>
    <w:bookmarkEnd w:id="288"/>
    <w:bookmarkEnd w:id="289"/>
    <w:p w14:paraId="403E7391">
      <w:pPr>
        <w:pStyle w:val="7"/>
        <w:spacing w:before="120" w:after="120" w:line="360" w:lineRule="auto"/>
        <w:ind w:firstLine="480" w:firstLineChars="200"/>
        <w:rPr>
          <w:rFonts w:eastAsia="黑体"/>
          <w:b w:val="0"/>
          <w:color w:val="auto"/>
          <w:sz w:val="24"/>
          <w:szCs w:val="24"/>
          <w:highlight w:val="none"/>
        </w:rPr>
      </w:pPr>
      <w:bookmarkStart w:id="290" w:name="_Toc32835683"/>
      <w:r>
        <w:rPr>
          <w:rFonts w:eastAsia="黑体"/>
          <w:b w:val="0"/>
          <w:color w:val="auto"/>
          <w:sz w:val="24"/>
          <w:szCs w:val="24"/>
          <w:highlight w:val="none"/>
        </w:rPr>
        <w:t>1</w:t>
      </w:r>
      <w:bookmarkStart w:id="291" w:name="_Toc296346592"/>
      <w:bookmarkStart w:id="292" w:name="_Toc337558796"/>
      <w:bookmarkStart w:id="293" w:name="_Toc296503091"/>
      <w:r>
        <w:rPr>
          <w:rFonts w:eastAsia="黑体"/>
          <w:b w:val="0"/>
          <w:color w:val="auto"/>
          <w:sz w:val="24"/>
          <w:szCs w:val="24"/>
          <w:highlight w:val="none"/>
        </w:rPr>
        <w:t>0.9计日工</w:t>
      </w:r>
      <w:bookmarkEnd w:id="290"/>
      <w:r>
        <w:rPr>
          <w:rFonts w:eastAsia="黑体"/>
          <w:b w:val="0"/>
          <w:color w:val="auto"/>
          <w:sz w:val="24"/>
          <w:szCs w:val="24"/>
          <w:highlight w:val="none"/>
        </w:rPr>
        <w:t xml:space="preserve"> </w:t>
      </w:r>
      <w:bookmarkEnd w:id="291"/>
      <w:bookmarkEnd w:id="292"/>
      <w:bookmarkEnd w:id="293"/>
    </w:p>
    <w:p w14:paraId="0CB6083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需要采用计日工方式的，经发包人同意后</w:t>
      </w:r>
      <w:r>
        <w:rPr>
          <w:rFonts w:eastAsia="仿宋_GB2312"/>
          <w:color w:val="auto"/>
          <w:kern w:val="0"/>
          <w:sz w:val="24"/>
          <w:szCs w:val="24"/>
          <w:highlight w:val="none"/>
        </w:rPr>
        <w:t>，由监理人通知承包人以计日工计价方式实施</w:t>
      </w:r>
      <w:r>
        <w:rPr>
          <w:rFonts w:hint="eastAsia" w:eastAsia="仿宋_GB2312"/>
          <w:color w:val="auto"/>
          <w:kern w:val="0"/>
          <w:sz w:val="24"/>
          <w:szCs w:val="24"/>
          <w:highlight w:val="none"/>
        </w:rPr>
        <w:t>相应</w:t>
      </w:r>
      <w:r>
        <w:rPr>
          <w:rFonts w:eastAsia="仿宋_GB2312"/>
          <w:color w:val="auto"/>
          <w:kern w:val="0"/>
          <w:sz w:val="24"/>
          <w:szCs w:val="24"/>
          <w:highlight w:val="none"/>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eastAsia="仿宋_GB2312"/>
          <w:color w:val="auto"/>
          <w:kern w:val="0"/>
          <w:sz w:val="24"/>
          <w:szCs w:val="24"/>
          <w:highlight w:val="none"/>
        </w:rPr>
        <w:t>〔</w:t>
      </w:r>
      <w:r>
        <w:rPr>
          <w:rFonts w:eastAsia="仿宋_GB2312"/>
          <w:color w:val="auto"/>
          <w:kern w:val="0"/>
          <w:sz w:val="24"/>
          <w:szCs w:val="24"/>
          <w:highlight w:val="none"/>
        </w:rPr>
        <w:t>商定或确定</w:t>
      </w:r>
      <w:r>
        <w:rPr>
          <w:rFonts w:hint="eastAsia" w:eastAsia="仿宋_GB2312"/>
          <w:color w:val="auto"/>
          <w:kern w:val="0"/>
          <w:sz w:val="24"/>
          <w:szCs w:val="24"/>
          <w:highlight w:val="none"/>
        </w:rPr>
        <w:t>〕</w:t>
      </w:r>
      <w:r>
        <w:rPr>
          <w:rFonts w:eastAsia="仿宋_GB2312"/>
          <w:color w:val="auto"/>
          <w:kern w:val="0"/>
          <w:sz w:val="24"/>
          <w:szCs w:val="24"/>
          <w:highlight w:val="none"/>
        </w:rPr>
        <w:t>确定</w:t>
      </w:r>
      <w:r>
        <w:rPr>
          <w:rFonts w:hint="eastAsia" w:eastAsia="仿宋_GB2312"/>
          <w:color w:val="auto"/>
          <w:kern w:val="0"/>
          <w:sz w:val="24"/>
          <w:szCs w:val="24"/>
          <w:highlight w:val="none"/>
        </w:rPr>
        <w:t>计日工</w:t>
      </w:r>
      <w:r>
        <w:rPr>
          <w:rFonts w:eastAsia="仿宋_GB2312"/>
          <w:color w:val="auto"/>
          <w:kern w:val="0"/>
          <w:sz w:val="24"/>
          <w:szCs w:val="24"/>
          <w:highlight w:val="none"/>
        </w:rPr>
        <w:t>的单价。</w:t>
      </w:r>
    </w:p>
    <w:p w14:paraId="2152E14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采用计日工计价的任何一项工作，承包人应在该项工作实施过程中，每天提交以下报表和有关凭证报送监理人审查：</w:t>
      </w:r>
    </w:p>
    <w:p w14:paraId="0C0037D2">
      <w:pPr>
        <w:spacing w:line="360" w:lineRule="auto"/>
        <w:ind w:firstLine="360" w:firstLineChars="150"/>
        <w:jc w:val="left"/>
        <w:rPr>
          <w:rFonts w:eastAsia="仿宋_GB2312"/>
          <w:color w:val="auto"/>
          <w:kern w:val="0"/>
          <w:sz w:val="24"/>
          <w:szCs w:val="24"/>
          <w:highlight w:val="none"/>
        </w:rPr>
      </w:pPr>
      <w:r>
        <w:rPr>
          <w:rFonts w:eastAsia="仿宋_GB2312"/>
          <w:color w:val="auto"/>
          <w:kern w:val="0"/>
          <w:sz w:val="24"/>
          <w:szCs w:val="24"/>
          <w:highlight w:val="none"/>
        </w:rPr>
        <w:t>（1）工作名称、内容和数量；</w:t>
      </w:r>
    </w:p>
    <w:p w14:paraId="52F705D7">
      <w:pPr>
        <w:spacing w:line="360" w:lineRule="auto"/>
        <w:ind w:firstLine="360" w:firstLineChars="150"/>
        <w:jc w:val="left"/>
        <w:rPr>
          <w:rFonts w:eastAsia="仿宋_GB2312"/>
          <w:color w:val="auto"/>
          <w:kern w:val="0"/>
          <w:sz w:val="24"/>
          <w:szCs w:val="24"/>
          <w:highlight w:val="none"/>
        </w:rPr>
      </w:pPr>
      <w:r>
        <w:rPr>
          <w:rFonts w:eastAsia="仿宋_GB2312"/>
          <w:color w:val="auto"/>
          <w:kern w:val="0"/>
          <w:sz w:val="24"/>
          <w:szCs w:val="24"/>
          <w:highlight w:val="none"/>
        </w:rPr>
        <w:t>（2）投入该工作的所有人员的姓名、专业、工种、级别和耗用工时；</w:t>
      </w:r>
    </w:p>
    <w:p w14:paraId="051F14FD">
      <w:pPr>
        <w:spacing w:line="360" w:lineRule="auto"/>
        <w:ind w:firstLine="360" w:firstLineChars="150"/>
        <w:jc w:val="left"/>
        <w:rPr>
          <w:rFonts w:eastAsia="仿宋_GB2312"/>
          <w:color w:val="auto"/>
          <w:kern w:val="0"/>
          <w:sz w:val="24"/>
          <w:szCs w:val="24"/>
          <w:highlight w:val="none"/>
        </w:rPr>
      </w:pPr>
      <w:r>
        <w:rPr>
          <w:rFonts w:eastAsia="仿宋_GB2312"/>
          <w:color w:val="auto"/>
          <w:kern w:val="0"/>
          <w:sz w:val="24"/>
          <w:szCs w:val="24"/>
          <w:highlight w:val="none"/>
        </w:rPr>
        <w:t>（3）投入该工作的材料类别和数量；</w:t>
      </w:r>
    </w:p>
    <w:p w14:paraId="6D364E7E">
      <w:pPr>
        <w:spacing w:line="360" w:lineRule="auto"/>
        <w:ind w:firstLine="360" w:firstLineChars="150"/>
        <w:jc w:val="left"/>
        <w:rPr>
          <w:rFonts w:eastAsia="仿宋_GB2312"/>
          <w:color w:val="auto"/>
          <w:kern w:val="0"/>
          <w:sz w:val="24"/>
          <w:szCs w:val="24"/>
          <w:highlight w:val="none"/>
        </w:rPr>
      </w:pPr>
      <w:r>
        <w:rPr>
          <w:rFonts w:eastAsia="仿宋_GB2312"/>
          <w:color w:val="auto"/>
          <w:kern w:val="0"/>
          <w:sz w:val="24"/>
          <w:szCs w:val="24"/>
          <w:highlight w:val="none"/>
        </w:rPr>
        <w:t>（4）投入该工作的施工设备型号、台数和耗用台时；</w:t>
      </w:r>
    </w:p>
    <w:p w14:paraId="7D1F4049">
      <w:pPr>
        <w:spacing w:line="360" w:lineRule="auto"/>
        <w:ind w:firstLine="360" w:firstLineChars="150"/>
        <w:jc w:val="left"/>
        <w:rPr>
          <w:rFonts w:eastAsia="仿宋_GB2312"/>
          <w:color w:val="auto"/>
          <w:kern w:val="0"/>
          <w:sz w:val="24"/>
          <w:szCs w:val="24"/>
          <w:highlight w:val="none"/>
        </w:rPr>
      </w:pPr>
      <w:r>
        <w:rPr>
          <w:rFonts w:eastAsia="仿宋_GB2312"/>
          <w:color w:val="auto"/>
          <w:kern w:val="0"/>
          <w:sz w:val="24"/>
          <w:szCs w:val="24"/>
          <w:highlight w:val="none"/>
        </w:rPr>
        <w:t>（5）其他有关资料和凭证。</w:t>
      </w:r>
    </w:p>
    <w:p w14:paraId="6293F299">
      <w:pPr>
        <w:spacing w:line="360" w:lineRule="auto"/>
        <w:ind w:firstLine="360" w:firstLineChars="150"/>
        <w:jc w:val="left"/>
        <w:rPr>
          <w:rFonts w:eastAsia="仿宋_GB2312"/>
          <w:color w:val="auto"/>
          <w:kern w:val="0"/>
          <w:sz w:val="24"/>
          <w:szCs w:val="24"/>
          <w:highlight w:val="none"/>
        </w:rPr>
      </w:pPr>
      <w:r>
        <w:rPr>
          <w:rFonts w:eastAsia="仿宋_GB2312"/>
          <w:color w:val="auto"/>
          <w:kern w:val="0"/>
          <w:sz w:val="24"/>
          <w:szCs w:val="24"/>
          <w:highlight w:val="none"/>
        </w:rPr>
        <w:t xml:space="preserve"> 计日工由承包人汇总后，列入最近一期进度付款申请单，由监理人审查并经发包人批准后列入进度付款。</w:t>
      </w:r>
    </w:p>
    <w:p w14:paraId="175A8EDB">
      <w:pPr>
        <w:pStyle w:val="6"/>
        <w:spacing w:before="120" w:after="120" w:line="360" w:lineRule="auto"/>
        <w:rPr>
          <w:rFonts w:ascii="Times New Roman" w:hAnsi="Times New Roman" w:eastAsia="黑体"/>
          <w:b w:val="0"/>
          <w:color w:val="auto"/>
          <w:sz w:val="24"/>
          <w:szCs w:val="24"/>
          <w:highlight w:val="none"/>
        </w:rPr>
      </w:pPr>
      <w:bookmarkStart w:id="294" w:name="_Toc32835684"/>
      <w:r>
        <w:rPr>
          <w:rFonts w:ascii="Times New Roman" w:hAnsi="Times New Roman" w:eastAsia="黑体"/>
          <w:b w:val="0"/>
          <w:color w:val="auto"/>
          <w:sz w:val="24"/>
          <w:szCs w:val="24"/>
          <w:highlight w:val="none"/>
        </w:rPr>
        <w:t>11. 价格调整</w:t>
      </w:r>
      <w:bookmarkEnd w:id="294"/>
    </w:p>
    <w:p w14:paraId="623FB533">
      <w:pPr>
        <w:pStyle w:val="7"/>
        <w:spacing w:before="120" w:after="120" w:line="360" w:lineRule="auto"/>
        <w:ind w:firstLine="480" w:firstLineChars="200"/>
        <w:rPr>
          <w:rFonts w:eastAsia="黑体"/>
          <w:b w:val="0"/>
          <w:color w:val="auto"/>
          <w:sz w:val="24"/>
          <w:szCs w:val="24"/>
          <w:highlight w:val="none"/>
        </w:rPr>
      </w:pPr>
      <w:bookmarkStart w:id="295" w:name="_Toc32835685"/>
      <w:bookmarkStart w:id="296" w:name="_Toc296503092"/>
      <w:bookmarkStart w:id="297" w:name="_Toc296346593"/>
      <w:bookmarkStart w:id="298" w:name="_Toc337558797"/>
      <w:r>
        <w:rPr>
          <w:rFonts w:eastAsia="黑体"/>
          <w:b w:val="0"/>
          <w:color w:val="auto"/>
          <w:sz w:val="24"/>
          <w:szCs w:val="24"/>
          <w:highlight w:val="none"/>
        </w:rPr>
        <w:t>11.1市场价格波动引起的调整</w:t>
      </w:r>
      <w:bookmarkEnd w:id="295"/>
    </w:p>
    <w:bookmarkEnd w:id="296"/>
    <w:bookmarkEnd w:id="297"/>
    <w:bookmarkEnd w:id="298"/>
    <w:p w14:paraId="0325D12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4F327D44">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第1种方式：采用价格指数</w:t>
      </w:r>
      <w:r>
        <w:rPr>
          <w:rFonts w:hint="eastAsia" w:eastAsia="仿宋_GB2312"/>
          <w:color w:val="auto"/>
          <w:sz w:val="24"/>
          <w:szCs w:val="24"/>
          <w:highlight w:val="none"/>
        </w:rPr>
        <w:t>进行价格</w:t>
      </w:r>
      <w:r>
        <w:rPr>
          <w:rFonts w:eastAsia="仿宋_GB2312"/>
          <w:color w:val="auto"/>
          <w:sz w:val="24"/>
          <w:szCs w:val="24"/>
          <w:highlight w:val="none"/>
        </w:rPr>
        <w:t>调整。</w:t>
      </w:r>
    </w:p>
    <w:p w14:paraId="27CCD4FA">
      <w:pPr>
        <w:tabs>
          <w:tab w:val="left" w:pos="0"/>
          <w:tab w:val="left" w:pos="360"/>
          <w:tab w:val="left" w:pos="540"/>
        </w:tabs>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（1）价格调整公式</w:t>
      </w:r>
    </w:p>
    <w:p w14:paraId="0E1FB827">
      <w:pPr>
        <w:tabs>
          <w:tab w:val="left" w:pos="0"/>
          <w:tab w:val="left" w:pos="360"/>
          <w:tab w:val="left" w:pos="540"/>
        </w:tabs>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因人工、材料和设备等价格波动影响合同价格时，根据专用合同条款中约定的数据，按以下公式计算差额并调整合同价格：</w:t>
      </w:r>
    </w:p>
    <w:p w14:paraId="6601ABBD">
      <w:pPr>
        <w:tabs>
          <w:tab w:val="left" w:pos="0"/>
          <w:tab w:val="left" w:pos="360"/>
          <w:tab w:val="left" w:pos="540"/>
        </w:tabs>
        <w:spacing w:line="360" w:lineRule="auto"/>
        <w:ind w:firstLine="480" w:firstLineChars="200"/>
        <w:rPr>
          <w:rFonts w:hint="eastAsia" w:eastAsia="仿宋_GB2312"/>
          <w:color w:val="auto"/>
          <w:sz w:val="24"/>
          <w:szCs w:val="24"/>
          <w:highlight w:val="none"/>
        </w:rPr>
      </w:pPr>
      <w:r>
        <w:rPr>
          <w:rFonts w:hint="eastAsia" w:eastAsia="仿宋_GB2312"/>
          <w:color w:val="auto"/>
          <w:position w:val="-30"/>
          <w:sz w:val="24"/>
          <w:szCs w:val="24"/>
          <w:highlight w:val="none"/>
        </w:rPr>
        <w:object>
          <v:shape id="_x0000_i1025" o:spt="75" type="#_x0000_t75" style="height:43.95pt;width:360.15pt;" o:ole="t" filled="f" stroked="f" coordsize="21600,21600">
            <v:path/>
            <v:fill on="f" focussize="0,0"/>
            <v:stroke on="f"/>
            <v:imagedata r:id="rId15" o:title=""/>
            <o:lock v:ext="edit" grouping="f" rotation="f" text="f" aspectratio="t"/>
            <w10:wrap type="none"/>
            <w10:anchorlock/>
          </v:shape>
          <o:OLEObject Type="Embed" ProgID="Equation.KSEE3" ShapeID="_x0000_i1025" DrawAspect="Content" ObjectID="_1468075725" r:id="rId14">
            <o:LockedField>false</o:LockedField>
          </o:OLEObject>
        </w:object>
      </w:r>
    </w:p>
    <w:p w14:paraId="06B87A12">
      <w:pPr>
        <w:tabs>
          <w:tab w:val="left" w:pos="0"/>
          <w:tab w:val="left" w:pos="360"/>
          <w:tab w:val="left" w:pos="540"/>
        </w:tabs>
        <w:spacing w:line="360" w:lineRule="auto"/>
        <w:ind w:firstLine="640"/>
        <w:rPr>
          <w:rFonts w:eastAsia="仿宋_GB2312"/>
          <w:color w:val="auto"/>
          <w:sz w:val="24"/>
          <w:szCs w:val="24"/>
          <w:highlight w:val="none"/>
        </w:rPr>
      </w:pPr>
      <w:r>
        <w:rPr>
          <w:rFonts w:eastAsia="仿宋_GB2312"/>
          <w:color w:val="auto"/>
          <w:sz w:val="24"/>
          <w:szCs w:val="24"/>
          <w:highlight w:val="none"/>
        </w:rPr>
        <w:t>公式中：ΔP——需调整的价格差额；</w:t>
      </w:r>
    </w:p>
    <w:p w14:paraId="3A3213E5">
      <w:pPr>
        <w:tabs>
          <w:tab w:val="left" w:pos="0"/>
          <w:tab w:val="left" w:pos="360"/>
          <w:tab w:val="left" w:pos="540"/>
        </w:tabs>
        <w:spacing w:line="360" w:lineRule="auto"/>
        <w:ind w:firstLine="1440" w:firstLineChars="600"/>
        <w:rPr>
          <w:rFonts w:eastAsia="仿宋_GB2312"/>
          <w:color w:val="auto"/>
          <w:sz w:val="24"/>
          <w:szCs w:val="24"/>
          <w:highlight w:val="none"/>
        </w:rPr>
      </w:pPr>
      <w:r>
        <w:rPr>
          <w:rFonts w:eastAsia="仿宋_GB2312"/>
          <w:color w:val="auto"/>
          <w:position w:val="-6"/>
          <w:sz w:val="24"/>
          <w:szCs w:val="24"/>
          <w:highlight w:val="none"/>
        </w:rPr>
        <w:object>
          <v:shape id="_x0000_i1026" o:spt="75" type="#_x0000_t75" style="height:17.85pt;width:17.85pt;" o:ole="t" filled="f" stroked="f" coordsize="21600,21600">
            <v:path/>
            <v:fill on="f" focussize="0,0"/>
            <v:stroke on="f"/>
            <v:imagedata r:id="rId17" o:title=""/>
            <o:lock v:ext="edit" grouping="f" rotation="f" text="f" aspectratio="t"/>
            <w10:wrap type="none"/>
            <w10:anchorlock/>
          </v:shape>
          <o:OLEObject Type="Embed" ProgID="Equation.KSEE3" ShapeID="_x0000_i1026" DrawAspect="Content" ObjectID="_1468075726" r:id="rId16">
            <o:LockedField>false</o:LockedField>
          </o:OLEObject>
        </w:object>
      </w:r>
      <w:r>
        <w:rPr>
          <w:rFonts w:eastAsia="仿宋_GB2312"/>
          <w:color w:val="auto"/>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70F77B55">
      <w:pPr>
        <w:tabs>
          <w:tab w:val="left" w:pos="0"/>
          <w:tab w:val="left" w:pos="360"/>
          <w:tab w:val="left" w:pos="540"/>
        </w:tabs>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A——定值权重（即不调部分的权重）；</w:t>
      </w:r>
    </w:p>
    <w:p w14:paraId="2725E464">
      <w:pPr>
        <w:tabs>
          <w:tab w:val="left" w:pos="0"/>
          <w:tab w:val="left" w:pos="360"/>
          <w:tab w:val="left" w:pos="540"/>
        </w:tabs>
        <w:spacing w:line="360" w:lineRule="auto"/>
        <w:ind w:firstLine="480" w:firstLineChars="200"/>
        <w:rPr>
          <w:rFonts w:eastAsia="仿宋_GB2312"/>
          <w:color w:val="auto"/>
          <w:sz w:val="24"/>
          <w:szCs w:val="24"/>
          <w:highlight w:val="none"/>
        </w:rPr>
      </w:pPr>
      <w:r>
        <w:rPr>
          <w:rFonts w:eastAsia="仿宋_GB2312"/>
          <w:color w:val="auto"/>
          <w:position w:val="-10"/>
          <w:sz w:val="24"/>
          <w:szCs w:val="24"/>
          <w:highlight w:val="none"/>
        </w:rPr>
        <w:object>
          <v:shape id="_x0000_i1027" o:spt="75" type="#_x0000_t75" style="height:21.05pt;width:101.3pt;" o:ole="t" filled="f" stroked="f" coordsize="21600,21600">
            <v:path/>
            <v:fill on="f" focussize="0,0"/>
            <v:stroke on="f"/>
            <v:imagedata r:id="rId19" o:title=""/>
            <o:lock v:ext="edit" grouping="f" rotation="f" text="f" aspectratio="t"/>
            <w10:wrap type="none"/>
            <w10:anchorlock/>
          </v:shape>
          <o:OLEObject Type="Embed" ProgID="Equation.KSEE3" ShapeID="_x0000_i1027" DrawAspect="Content" ObjectID="_1468075727" r:id="rId18">
            <o:LockedField>false</o:LockedField>
          </o:OLEObject>
        </w:object>
      </w:r>
      <w:r>
        <w:rPr>
          <w:rFonts w:eastAsia="仿宋_GB2312"/>
          <w:color w:val="auto"/>
          <w:sz w:val="24"/>
          <w:szCs w:val="24"/>
          <w:highlight w:val="none"/>
        </w:rPr>
        <w:t>——各可调因子的变值权重（即可调部分的权重），为各可调因子在签约合同价中所占的比例；</w:t>
      </w:r>
    </w:p>
    <w:p w14:paraId="6A86AA95">
      <w:pPr>
        <w:tabs>
          <w:tab w:val="left" w:pos="0"/>
          <w:tab w:val="left" w:pos="360"/>
          <w:tab w:val="left" w:pos="540"/>
        </w:tabs>
        <w:spacing w:line="360" w:lineRule="auto"/>
        <w:ind w:firstLine="480" w:firstLineChars="200"/>
        <w:rPr>
          <w:rFonts w:eastAsia="仿宋_GB2312"/>
          <w:color w:val="auto"/>
          <w:sz w:val="24"/>
          <w:szCs w:val="24"/>
          <w:highlight w:val="none"/>
        </w:rPr>
      </w:pPr>
      <w:r>
        <w:rPr>
          <w:rFonts w:eastAsia="仿宋_GB2312"/>
          <w:color w:val="auto"/>
          <w:position w:val="-10"/>
          <w:sz w:val="24"/>
          <w:szCs w:val="24"/>
          <w:highlight w:val="none"/>
        </w:rPr>
        <w:object>
          <v:shape id="_x0000_i1028" o:spt="75" type="#_x0000_t75" style="height:20.4pt;width:101.95pt;" o:ole="t" filled="f" stroked="f" coordsize="21600,21600">
            <v:path/>
            <v:fill on="f" focussize="0,0"/>
            <v:stroke on="f"/>
            <v:imagedata r:id="rId21" o:title=""/>
            <o:lock v:ext="edit" grouping="f" rotation="f" text="f" aspectratio="t"/>
            <w10:wrap type="none"/>
            <w10:anchorlock/>
          </v:shape>
          <o:OLEObject Type="Embed" ProgID="Equation.KSEE3" ShapeID="_x0000_i1028" DrawAspect="Content" ObjectID="_1468075728" r:id="rId20">
            <o:LockedField>false</o:LockedField>
          </o:OLEObject>
        </w:object>
      </w:r>
      <w:r>
        <w:rPr>
          <w:rFonts w:eastAsia="仿宋_GB2312"/>
          <w:color w:val="auto"/>
          <w:sz w:val="24"/>
          <w:szCs w:val="24"/>
          <w:highlight w:val="none"/>
        </w:rPr>
        <w:t>——各可调因子的现行价格指数，指约定的付款证书相关周期最后一天的前42天的各可调因子的价格指数；</w:t>
      </w:r>
    </w:p>
    <w:p w14:paraId="72451C6B">
      <w:pPr>
        <w:tabs>
          <w:tab w:val="left" w:pos="0"/>
          <w:tab w:val="left" w:pos="360"/>
          <w:tab w:val="left" w:pos="540"/>
        </w:tabs>
        <w:spacing w:line="360" w:lineRule="auto"/>
        <w:ind w:firstLine="480" w:firstLineChars="200"/>
        <w:rPr>
          <w:rFonts w:eastAsia="仿宋_GB2312"/>
          <w:color w:val="auto"/>
          <w:sz w:val="24"/>
          <w:szCs w:val="24"/>
          <w:highlight w:val="none"/>
        </w:rPr>
      </w:pPr>
      <w:r>
        <w:rPr>
          <w:rFonts w:eastAsia="仿宋_GB2312"/>
          <w:color w:val="auto"/>
          <w:position w:val="-10"/>
          <w:sz w:val="24"/>
          <w:szCs w:val="24"/>
          <w:highlight w:val="none"/>
        </w:rPr>
        <w:object>
          <v:shape id="_x0000_i1029" o:spt="75" type="#_x0000_t75" style="height:20.4pt;width:107.7pt;" o:ole="t" filled="f" stroked="f" coordsize="21600,21600">
            <v:path/>
            <v:fill on="f" focussize="0,0"/>
            <v:stroke on="f"/>
            <v:imagedata r:id="rId23" o:title=""/>
            <o:lock v:ext="edit" grouping="f" rotation="f" text="f" aspectratio="t"/>
            <w10:wrap type="none"/>
            <w10:anchorlock/>
          </v:shape>
          <o:OLEObject Type="Embed" ProgID="Equation.KSEE3" ShapeID="_x0000_i1029" DrawAspect="Content" ObjectID="_1468075729" r:id="rId22">
            <o:LockedField>false</o:LockedField>
          </o:OLEObject>
        </w:object>
      </w:r>
      <w:r>
        <w:rPr>
          <w:rFonts w:eastAsia="仿宋_GB2312"/>
          <w:color w:val="auto"/>
          <w:sz w:val="24"/>
          <w:szCs w:val="24"/>
          <w:highlight w:val="none"/>
        </w:rPr>
        <w:t>——各可调因子的基本价格指数，指基准日期的各可调因子的价格指数。</w:t>
      </w:r>
    </w:p>
    <w:p w14:paraId="2E66BF38">
      <w:pPr>
        <w:tabs>
          <w:tab w:val="left" w:pos="0"/>
          <w:tab w:val="left" w:pos="360"/>
          <w:tab w:val="left" w:pos="540"/>
        </w:tabs>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C9BBAE1">
      <w:pPr>
        <w:tabs>
          <w:tab w:val="left" w:pos="0"/>
          <w:tab w:val="left" w:pos="360"/>
          <w:tab w:val="left" w:pos="540"/>
        </w:tabs>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（2）暂时确定调整差额</w:t>
      </w:r>
    </w:p>
    <w:p w14:paraId="5F353C35">
      <w:pPr>
        <w:tabs>
          <w:tab w:val="left" w:pos="0"/>
          <w:tab w:val="left" w:pos="360"/>
          <w:tab w:val="left" w:pos="540"/>
        </w:tabs>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在计算调整差额时无现行价格指数的，合同当事人同意暂用前次价格指数计算。实际价格指数有调整的，合同当事人进行相应调整。</w:t>
      </w:r>
    </w:p>
    <w:p w14:paraId="06467E54">
      <w:pPr>
        <w:tabs>
          <w:tab w:val="left" w:pos="0"/>
          <w:tab w:val="left" w:pos="360"/>
          <w:tab w:val="left" w:pos="540"/>
        </w:tabs>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（3）权重的调整</w:t>
      </w:r>
    </w:p>
    <w:p w14:paraId="041A4EBD">
      <w:pPr>
        <w:tabs>
          <w:tab w:val="left" w:pos="0"/>
          <w:tab w:val="left" w:pos="360"/>
          <w:tab w:val="left" w:pos="540"/>
        </w:tabs>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因变更导致合同约定的权重不合理时，按照第4.4款</w:t>
      </w:r>
      <w:r>
        <w:rPr>
          <w:rFonts w:hint="eastAsia" w:eastAsia="仿宋_GB2312"/>
          <w:color w:val="auto"/>
          <w:sz w:val="24"/>
          <w:szCs w:val="24"/>
          <w:highlight w:val="none"/>
        </w:rPr>
        <w:t>〔</w:t>
      </w:r>
      <w:r>
        <w:rPr>
          <w:rFonts w:eastAsia="仿宋_GB2312"/>
          <w:color w:val="auto"/>
          <w:sz w:val="24"/>
          <w:szCs w:val="24"/>
          <w:highlight w:val="none"/>
        </w:rPr>
        <w:t>商定或确定</w:t>
      </w:r>
      <w:r>
        <w:rPr>
          <w:rFonts w:hint="eastAsia" w:eastAsia="仿宋_GB2312"/>
          <w:color w:val="auto"/>
          <w:sz w:val="24"/>
          <w:szCs w:val="24"/>
          <w:highlight w:val="none"/>
        </w:rPr>
        <w:t>〕</w:t>
      </w:r>
      <w:r>
        <w:rPr>
          <w:rFonts w:eastAsia="仿宋_GB2312"/>
          <w:color w:val="auto"/>
          <w:sz w:val="24"/>
          <w:szCs w:val="24"/>
          <w:highlight w:val="none"/>
        </w:rPr>
        <w:t>执行。</w:t>
      </w:r>
    </w:p>
    <w:p w14:paraId="5F7C6389">
      <w:pPr>
        <w:tabs>
          <w:tab w:val="left" w:pos="0"/>
          <w:tab w:val="left" w:pos="360"/>
          <w:tab w:val="left" w:pos="540"/>
        </w:tabs>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（4）因承包人原因工期延误后的价格调整</w:t>
      </w:r>
    </w:p>
    <w:p w14:paraId="1920AD7E">
      <w:pPr>
        <w:tabs>
          <w:tab w:val="left" w:pos="0"/>
          <w:tab w:val="left" w:pos="360"/>
          <w:tab w:val="left" w:pos="540"/>
        </w:tabs>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44F9ECCC">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第2种方式：采用造价信息</w:t>
      </w:r>
      <w:r>
        <w:rPr>
          <w:rFonts w:hint="eastAsia" w:eastAsia="仿宋_GB2312"/>
          <w:color w:val="auto"/>
          <w:sz w:val="24"/>
          <w:szCs w:val="24"/>
          <w:highlight w:val="none"/>
        </w:rPr>
        <w:t>进行价格</w:t>
      </w:r>
      <w:r>
        <w:rPr>
          <w:rFonts w:eastAsia="仿宋_GB2312"/>
          <w:color w:val="auto"/>
          <w:sz w:val="24"/>
          <w:szCs w:val="24"/>
          <w:highlight w:val="none"/>
        </w:rPr>
        <w:t>调整。</w:t>
      </w:r>
    </w:p>
    <w:p w14:paraId="58F21582">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eastAsia="仿宋_GB2312"/>
          <w:color w:val="auto"/>
          <w:sz w:val="24"/>
          <w:szCs w:val="24"/>
          <w:highlight w:val="none"/>
        </w:rPr>
        <w:t>量</w:t>
      </w:r>
      <w:r>
        <w:rPr>
          <w:rFonts w:eastAsia="仿宋_GB2312"/>
          <w:color w:val="auto"/>
          <w:sz w:val="24"/>
          <w:szCs w:val="24"/>
          <w:highlight w:val="none"/>
        </w:rPr>
        <w:t>应由发包人审批，发包人确认需调整的材料单价及数量，作为调整合同价格的依据。</w:t>
      </w:r>
    </w:p>
    <w:p w14:paraId="2B37370A">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2D2AAD1">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（2）材料、工程设备价格变化的价款调整按照发包人提供的基准价格，按以下风险范围规定执行:</w:t>
      </w:r>
    </w:p>
    <w:p w14:paraId="1D41F356">
      <w:pPr>
        <w:spacing w:line="360" w:lineRule="auto"/>
        <w:ind w:firstLine="480" w:firstLineChars="200"/>
        <w:rPr>
          <w:rFonts w:eastAsia="仿宋_GB2312"/>
          <w:color w:val="auto"/>
          <w:sz w:val="24"/>
          <w:szCs w:val="24"/>
          <w:highlight w:val="none"/>
        </w:rPr>
      </w:pPr>
      <w:r>
        <w:rPr>
          <w:rFonts w:hint="eastAsia" w:ascii="宋体" w:hAnsi="宋体" w:cs="宋体"/>
          <w:color w:val="auto"/>
          <w:sz w:val="24"/>
          <w:szCs w:val="24"/>
          <w:highlight w:val="none"/>
        </w:rPr>
        <w:t>①</w:t>
      </w:r>
      <w:r>
        <w:rPr>
          <w:rFonts w:eastAsia="仿宋_GB2312"/>
          <w:color w:val="auto"/>
          <w:sz w:val="24"/>
          <w:szCs w:val="24"/>
          <w:highlight w:val="non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3C6CE49D">
      <w:pPr>
        <w:spacing w:line="360" w:lineRule="auto"/>
        <w:ind w:firstLine="480" w:firstLineChars="200"/>
        <w:rPr>
          <w:rFonts w:eastAsia="仿宋_GB2312"/>
          <w:color w:val="auto"/>
          <w:sz w:val="24"/>
          <w:szCs w:val="24"/>
          <w:highlight w:val="none"/>
        </w:rPr>
      </w:pPr>
      <w:r>
        <w:rPr>
          <w:rFonts w:hint="eastAsia" w:ascii="宋体" w:hAnsi="宋体" w:cs="宋体"/>
          <w:color w:val="auto"/>
          <w:sz w:val="24"/>
          <w:szCs w:val="24"/>
          <w:highlight w:val="none"/>
        </w:rPr>
        <w:t>②</w:t>
      </w:r>
      <w:r>
        <w:rPr>
          <w:rFonts w:eastAsia="仿宋_GB2312"/>
          <w:color w:val="auto"/>
          <w:sz w:val="24"/>
          <w:szCs w:val="24"/>
          <w:highlight w:val="non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63EE8E8">
      <w:pPr>
        <w:spacing w:line="360" w:lineRule="auto"/>
        <w:ind w:firstLine="480" w:firstLineChars="200"/>
        <w:rPr>
          <w:rFonts w:eastAsia="仿宋_GB2312"/>
          <w:color w:val="auto"/>
          <w:sz w:val="24"/>
          <w:szCs w:val="24"/>
          <w:highlight w:val="none"/>
        </w:rPr>
      </w:pPr>
      <w:r>
        <w:rPr>
          <w:rFonts w:hint="eastAsia" w:ascii="宋体" w:hAnsi="宋体" w:cs="宋体"/>
          <w:color w:val="auto"/>
          <w:sz w:val="24"/>
          <w:szCs w:val="24"/>
          <w:highlight w:val="none"/>
        </w:rPr>
        <w:t>③</w:t>
      </w:r>
      <w:r>
        <w:rPr>
          <w:rFonts w:eastAsia="仿宋_GB2312"/>
          <w:color w:val="auto"/>
          <w:sz w:val="24"/>
          <w:szCs w:val="24"/>
          <w:highlight w:val="none"/>
        </w:rPr>
        <w:t>承包人在已标价工程量清单或预算书中载明材料单价等于基准价格的：除专用合同条款另有约定外，合同履行期间材料单价涨跌幅以基准价格为基础超过±5%时，其超过部分据实调整。</w:t>
      </w:r>
    </w:p>
    <w:p w14:paraId="21B80BB5">
      <w:pPr>
        <w:spacing w:line="360" w:lineRule="auto"/>
        <w:ind w:firstLine="480" w:firstLineChars="200"/>
        <w:rPr>
          <w:rFonts w:eastAsia="仿宋_GB2312"/>
          <w:color w:val="auto"/>
          <w:sz w:val="24"/>
          <w:szCs w:val="24"/>
          <w:highlight w:val="none"/>
        </w:rPr>
      </w:pPr>
      <w:r>
        <w:rPr>
          <w:rFonts w:hint="eastAsia" w:ascii="宋体" w:hAnsi="宋体" w:cs="宋体"/>
          <w:color w:val="auto"/>
          <w:sz w:val="24"/>
          <w:szCs w:val="24"/>
          <w:highlight w:val="none"/>
        </w:rPr>
        <w:t>④</w:t>
      </w:r>
      <w:r>
        <w:rPr>
          <w:rFonts w:eastAsia="仿宋_GB2312"/>
          <w:color w:val="auto"/>
          <w:sz w:val="24"/>
          <w:szCs w:val="24"/>
          <w:highlight w:val="non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5A9577E8">
      <w:pPr>
        <w:spacing w:line="360" w:lineRule="auto"/>
        <w:ind w:firstLine="480" w:firstLineChars="200"/>
        <w:rPr>
          <w:rFonts w:eastAsia="仿宋_GB2312"/>
          <w:color w:val="auto"/>
          <w:sz w:val="24"/>
          <w:szCs w:val="24"/>
          <w:highlight w:val="none"/>
        </w:rPr>
      </w:pPr>
      <w:bookmarkStart w:id="299" w:name="OLE_LINK3"/>
      <w:r>
        <w:rPr>
          <w:rFonts w:eastAsia="仿宋_GB2312"/>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272205BD">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（3）施工机械台班单价或施工机械使用费发生变化超过省级或行业建设主管部门或其授权的工程造价管理机构规定的范围时，按规定调整合同价格。</w:t>
      </w:r>
    </w:p>
    <w:p w14:paraId="7EE92BA8">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第3种方式：专用合同条款约定的其他方式。</w:t>
      </w:r>
    </w:p>
    <w:p w14:paraId="1914AE97">
      <w:pPr>
        <w:pStyle w:val="7"/>
        <w:spacing w:before="120" w:after="120" w:line="360" w:lineRule="auto"/>
        <w:ind w:firstLine="480" w:firstLineChars="200"/>
        <w:rPr>
          <w:rFonts w:eastAsia="黑体"/>
          <w:b w:val="0"/>
          <w:color w:val="auto"/>
          <w:sz w:val="24"/>
          <w:szCs w:val="24"/>
          <w:highlight w:val="none"/>
        </w:rPr>
      </w:pPr>
      <w:bookmarkStart w:id="300" w:name="_Toc32835686"/>
      <w:bookmarkStart w:id="301" w:name="_Toc337558798"/>
      <w:bookmarkStart w:id="302" w:name="_Toc296503093"/>
      <w:bookmarkStart w:id="303" w:name="_Toc296346594"/>
      <w:r>
        <w:rPr>
          <w:rFonts w:eastAsia="黑体"/>
          <w:b w:val="0"/>
          <w:color w:val="auto"/>
          <w:sz w:val="24"/>
          <w:szCs w:val="24"/>
          <w:highlight w:val="none"/>
        </w:rPr>
        <w:t>11.2法律变化引起的调整</w:t>
      </w:r>
      <w:bookmarkEnd w:id="300"/>
    </w:p>
    <w:bookmarkEnd w:id="301"/>
    <w:bookmarkEnd w:id="302"/>
    <w:bookmarkEnd w:id="303"/>
    <w:p w14:paraId="2E6AB870">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基准日</w:t>
      </w:r>
      <w:r>
        <w:rPr>
          <w:rFonts w:hint="eastAsia" w:eastAsia="仿宋_GB2312"/>
          <w:color w:val="auto"/>
          <w:sz w:val="24"/>
          <w:szCs w:val="24"/>
          <w:highlight w:val="none"/>
        </w:rPr>
        <w:t>期</w:t>
      </w:r>
      <w:r>
        <w:rPr>
          <w:rFonts w:eastAsia="仿宋_GB2312"/>
          <w:color w:val="auto"/>
          <w:sz w:val="24"/>
          <w:szCs w:val="24"/>
          <w:highlight w:val="none"/>
        </w:rPr>
        <w:t>后，法律变化</w:t>
      </w:r>
      <w:r>
        <w:rPr>
          <w:rFonts w:hint="eastAsia" w:eastAsia="仿宋_GB2312"/>
          <w:color w:val="auto"/>
          <w:sz w:val="24"/>
          <w:szCs w:val="24"/>
          <w:highlight w:val="none"/>
        </w:rPr>
        <w:t>导致承包人在合同履行过程中所需要的费用发生除第11.1款〔市场价格波动引起的调整〕约定以外的增加时，由发包人承担由此增加的费用；减少时，应从合同价格中予以扣减。</w:t>
      </w:r>
      <w:r>
        <w:rPr>
          <w:rFonts w:eastAsia="仿宋_GB2312"/>
          <w:color w:val="auto"/>
          <w:sz w:val="24"/>
          <w:szCs w:val="24"/>
          <w:highlight w:val="none"/>
        </w:rPr>
        <w:t>基准日</w:t>
      </w:r>
      <w:r>
        <w:rPr>
          <w:rFonts w:hint="eastAsia" w:eastAsia="仿宋_GB2312"/>
          <w:color w:val="auto"/>
          <w:sz w:val="24"/>
          <w:szCs w:val="24"/>
          <w:highlight w:val="none"/>
        </w:rPr>
        <w:t>期</w:t>
      </w:r>
      <w:r>
        <w:rPr>
          <w:rFonts w:eastAsia="仿宋_GB2312"/>
          <w:color w:val="auto"/>
          <w:sz w:val="24"/>
          <w:szCs w:val="24"/>
          <w:highlight w:val="none"/>
        </w:rPr>
        <w:t>后，</w:t>
      </w:r>
      <w:r>
        <w:rPr>
          <w:rFonts w:hint="eastAsia" w:eastAsia="仿宋_GB2312"/>
          <w:color w:val="auto"/>
          <w:sz w:val="24"/>
          <w:szCs w:val="24"/>
          <w:highlight w:val="none"/>
        </w:rPr>
        <w:t>因</w:t>
      </w:r>
      <w:r>
        <w:rPr>
          <w:rFonts w:eastAsia="仿宋_GB2312"/>
          <w:color w:val="auto"/>
          <w:sz w:val="24"/>
          <w:szCs w:val="24"/>
          <w:highlight w:val="none"/>
        </w:rPr>
        <w:t>法律变化</w:t>
      </w:r>
      <w:r>
        <w:rPr>
          <w:rFonts w:hint="eastAsia" w:eastAsia="仿宋_GB2312"/>
          <w:color w:val="auto"/>
          <w:sz w:val="24"/>
          <w:szCs w:val="24"/>
          <w:highlight w:val="none"/>
        </w:rPr>
        <w:t>造成工期延误时，工期应予以顺延。</w:t>
      </w:r>
    </w:p>
    <w:p w14:paraId="56225171">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因法律变化引起的合同价格和工期调整，合同当事人无法达成一致的，由总监理工程师按第4.4款〔商定或确定〕的约定处理。</w:t>
      </w:r>
    </w:p>
    <w:p w14:paraId="7E62AC62">
      <w:pPr>
        <w:spacing w:line="360" w:lineRule="auto"/>
        <w:ind w:firstLine="480" w:firstLineChars="200"/>
        <w:rPr>
          <w:rFonts w:eastAsia="仿宋_GB2312"/>
          <w:color w:val="auto"/>
          <w:sz w:val="24"/>
          <w:szCs w:val="24"/>
          <w:highlight w:val="none"/>
        </w:rPr>
      </w:pPr>
      <w:r>
        <w:rPr>
          <w:rFonts w:eastAsia="仿宋_GB2312"/>
          <w:color w:val="auto"/>
          <w:kern w:val="0"/>
          <w:sz w:val="24"/>
          <w:szCs w:val="24"/>
          <w:highlight w:val="none"/>
        </w:rPr>
        <w:t>因承包人原因造成工期延误，在工期延误期间出现法律变化的，由此增加的费用和（或）延误的工期由承包人承担。</w:t>
      </w:r>
    </w:p>
    <w:p w14:paraId="440E53FC">
      <w:pPr>
        <w:pStyle w:val="6"/>
        <w:spacing w:before="120" w:after="120" w:line="360" w:lineRule="auto"/>
        <w:rPr>
          <w:rFonts w:ascii="Times New Roman" w:hAnsi="Times New Roman" w:eastAsia="黑体"/>
          <w:b w:val="0"/>
          <w:color w:val="auto"/>
          <w:sz w:val="24"/>
          <w:szCs w:val="24"/>
          <w:highlight w:val="none"/>
        </w:rPr>
      </w:pPr>
      <w:bookmarkStart w:id="304" w:name="_Toc32835687"/>
      <w:bookmarkStart w:id="305" w:name="_Toc337558799"/>
      <w:bookmarkStart w:id="306" w:name="_Toc296503096"/>
      <w:bookmarkStart w:id="307" w:name="_Toc296346597"/>
      <w:r>
        <w:rPr>
          <w:rFonts w:ascii="Times New Roman" w:hAnsi="Times New Roman" w:eastAsia="黑体"/>
          <w:b w:val="0"/>
          <w:color w:val="auto"/>
          <w:sz w:val="24"/>
          <w:szCs w:val="24"/>
          <w:highlight w:val="none"/>
        </w:rPr>
        <w:t>12. 合同价格、计量与支付</w:t>
      </w:r>
      <w:bookmarkEnd w:id="304"/>
    </w:p>
    <w:bookmarkEnd w:id="305"/>
    <w:p w14:paraId="543A048A">
      <w:pPr>
        <w:pStyle w:val="7"/>
        <w:spacing w:before="120" w:after="120" w:line="360" w:lineRule="auto"/>
        <w:ind w:firstLine="480" w:firstLineChars="200"/>
        <w:rPr>
          <w:rFonts w:eastAsia="黑体"/>
          <w:b w:val="0"/>
          <w:color w:val="auto"/>
          <w:sz w:val="24"/>
          <w:szCs w:val="24"/>
          <w:highlight w:val="none"/>
        </w:rPr>
      </w:pPr>
      <w:bookmarkStart w:id="308" w:name="_Toc32835688"/>
      <w:bookmarkStart w:id="309" w:name="_Toc337558800"/>
      <w:r>
        <w:rPr>
          <w:rFonts w:eastAsia="黑体"/>
          <w:b w:val="0"/>
          <w:color w:val="auto"/>
          <w:sz w:val="24"/>
          <w:szCs w:val="24"/>
          <w:highlight w:val="none"/>
        </w:rPr>
        <w:t>12.1 合同价</w:t>
      </w:r>
      <w:bookmarkEnd w:id="306"/>
      <w:bookmarkEnd w:id="307"/>
      <w:r>
        <w:rPr>
          <w:rFonts w:eastAsia="黑体"/>
          <w:b w:val="0"/>
          <w:color w:val="auto"/>
          <w:sz w:val="24"/>
          <w:szCs w:val="24"/>
          <w:highlight w:val="none"/>
        </w:rPr>
        <w:t>格形式</w:t>
      </w:r>
      <w:bookmarkEnd w:id="308"/>
    </w:p>
    <w:bookmarkEnd w:id="309"/>
    <w:p w14:paraId="464B872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发包人和承包人应在合同协议书中</w:t>
      </w:r>
      <w:r>
        <w:rPr>
          <w:rFonts w:hint="eastAsia" w:eastAsia="仿宋_GB2312"/>
          <w:color w:val="auto"/>
          <w:kern w:val="0"/>
          <w:sz w:val="24"/>
          <w:szCs w:val="24"/>
          <w:highlight w:val="none"/>
        </w:rPr>
        <w:t>选择</w:t>
      </w:r>
      <w:r>
        <w:rPr>
          <w:rFonts w:eastAsia="仿宋_GB2312"/>
          <w:color w:val="auto"/>
          <w:kern w:val="0"/>
          <w:sz w:val="24"/>
          <w:szCs w:val="24"/>
          <w:highlight w:val="none"/>
        </w:rPr>
        <w:t xml:space="preserve">下列一种合同价格形式： </w:t>
      </w:r>
    </w:p>
    <w:p w14:paraId="3CE8DFE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w:t>
      </w:r>
      <w:r>
        <w:rPr>
          <w:rFonts w:hint="eastAsia" w:eastAsia="仿宋_GB2312"/>
          <w:color w:val="auto"/>
          <w:kern w:val="0"/>
          <w:sz w:val="24"/>
          <w:szCs w:val="24"/>
          <w:highlight w:val="none"/>
        </w:rPr>
        <w:t>.</w:t>
      </w:r>
      <w:r>
        <w:rPr>
          <w:rFonts w:eastAsia="仿宋_GB2312"/>
          <w:color w:val="auto"/>
          <w:kern w:val="0"/>
          <w:sz w:val="24"/>
          <w:szCs w:val="24"/>
          <w:highlight w:val="none"/>
        </w:rPr>
        <w:t>单价合同</w:t>
      </w:r>
    </w:p>
    <w:p w14:paraId="4B9BE1B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单价合同是指合同当事人约定以工程量清单及其综合单价进行合同价格计算、调整和确认的建设工程施工合同，</w:t>
      </w:r>
      <w:r>
        <w:rPr>
          <w:rFonts w:eastAsia="仿宋_GB2312"/>
          <w:color w:val="auto"/>
          <w:sz w:val="24"/>
          <w:szCs w:val="24"/>
          <w:highlight w:val="none"/>
        </w:rPr>
        <w:t>在约定的范围内合同单价不作调整</w:t>
      </w:r>
      <w:r>
        <w:rPr>
          <w:rFonts w:eastAsia="仿宋_GB2312"/>
          <w:color w:val="auto"/>
          <w:kern w:val="0"/>
          <w:sz w:val="24"/>
          <w:szCs w:val="24"/>
          <w:highlight w:val="none"/>
        </w:rPr>
        <w:t>。合同当事人应在专用合同条款中约定综合单价包含的风险范围和风险费用的计算方法</w:t>
      </w:r>
      <w:r>
        <w:rPr>
          <w:rFonts w:eastAsia="仿宋_GB2312"/>
          <w:color w:val="auto"/>
          <w:sz w:val="24"/>
          <w:szCs w:val="24"/>
          <w:highlight w:val="none"/>
        </w:rPr>
        <w:t>，</w:t>
      </w:r>
      <w:r>
        <w:rPr>
          <w:rFonts w:eastAsia="仿宋_GB2312"/>
          <w:color w:val="auto"/>
          <w:kern w:val="0"/>
          <w:sz w:val="24"/>
          <w:szCs w:val="24"/>
          <w:highlight w:val="none"/>
        </w:rPr>
        <w:t>并约定风险范围以外的合同价格的调整方法，其中因市场价格波动引起的调整按第11.1款</w:t>
      </w:r>
      <w:r>
        <w:rPr>
          <w:rFonts w:hint="eastAsia" w:eastAsia="仿宋_GB2312"/>
          <w:color w:val="auto"/>
          <w:kern w:val="0"/>
          <w:sz w:val="24"/>
          <w:szCs w:val="24"/>
          <w:highlight w:val="none"/>
        </w:rPr>
        <w:t>〔</w:t>
      </w:r>
      <w:r>
        <w:rPr>
          <w:rFonts w:eastAsia="仿宋_GB2312"/>
          <w:color w:val="auto"/>
          <w:kern w:val="0"/>
          <w:sz w:val="24"/>
          <w:szCs w:val="24"/>
          <w:highlight w:val="none"/>
        </w:rPr>
        <w:t>市场价格波动引起的调整</w:t>
      </w:r>
      <w:r>
        <w:rPr>
          <w:rFonts w:hint="eastAsia" w:eastAsia="仿宋_GB2312"/>
          <w:color w:val="auto"/>
          <w:kern w:val="0"/>
          <w:sz w:val="24"/>
          <w:szCs w:val="24"/>
          <w:highlight w:val="none"/>
        </w:rPr>
        <w:t>〕</w:t>
      </w:r>
      <w:r>
        <w:rPr>
          <w:rFonts w:eastAsia="仿宋_GB2312"/>
          <w:color w:val="auto"/>
          <w:kern w:val="0"/>
          <w:sz w:val="24"/>
          <w:szCs w:val="24"/>
          <w:highlight w:val="none"/>
        </w:rPr>
        <w:t>约定执行。</w:t>
      </w:r>
    </w:p>
    <w:p w14:paraId="5A5BB1F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w:t>
      </w:r>
      <w:r>
        <w:rPr>
          <w:rFonts w:hint="eastAsia" w:eastAsia="仿宋_GB2312"/>
          <w:color w:val="auto"/>
          <w:kern w:val="0"/>
          <w:sz w:val="24"/>
          <w:szCs w:val="24"/>
          <w:highlight w:val="none"/>
        </w:rPr>
        <w:t>.</w:t>
      </w:r>
      <w:r>
        <w:rPr>
          <w:rFonts w:eastAsia="仿宋_GB2312"/>
          <w:color w:val="auto"/>
          <w:kern w:val="0"/>
          <w:sz w:val="24"/>
          <w:szCs w:val="24"/>
          <w:highlight w:val="none"/>
        </w:rPr>
        <w:t>总价合同</w:t>
      </w:r>
    </w:p>
    <w:p w14:paraId="74863B6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总价合同是指合同当事人约定以施工图、已标价工程量清单或预算书及有关条件进行合同价格计算、调整和确认的建设工程施工合同，</w:t>
      </w:r>
      <w:r>
        <w:rPr>
          <w:rFonts w:eastAsia="仿宋_GB2312"/>
          <w:color w:val="auto"/>
          <w:sz w:val="24"/>
          <w:szCs w:val="24"/>
          <w:highlight w:val="none"/>
        </w:rPr>
        <w:t>在约定的范围内合同总价不作调整</w:t>
      </w:r>
      <w:r>
        <w:rPr>
          <w:rFonts w:eastAsia="仿宋_GB2312"/>
          <w:color w:val="auto"/>
          <w:kern w:val="0"/>
          <w:sz w:val="24"/>
          <w:szCs w:val="24"/>
          <w:highlight w:val="none"/>
        </w:rPr>
        <w:t>。合同当事人应在专用合同条款中约定总价包含的风险范围和风险费用的计算方法，并约定风险范围以外的合同价格的调整方法，其中因市场价格波动引起的调整按第11.1款</w:t>
      </w:r>
      <w:r>
        <w:rPr>
          <w:rFonts w:hint="eastAsia" w:eastAsia="仿宋_GB2312"/>
          <w:color w:val="auto"/>
          <w:kern w:val="0"/>
          <w:sz w:val="24"/>
          <w:szCs w:val="24"/>
          <w:highlight w:val="none"/>
        </w:rPr>
        <w:t>〔</w:t>
      </w:r>
      <w:r>
        <w:rPr>
          <w:rFonts w:eastAsia="仿宋_GB2312"/>
          <w:color w:val="auto"/>
          <w:kern w:val="0"/>
          <w:sz w:val="24"/>
          <w:szCs w:val="24"/>
          <w:highlight w:val="none"/>
        </w:rPr>
        <w:t>市场价格波动引起的调整</w:t>
      </w:r>
      <w:r>
        <w:rPr>
          <w:rFonts w:hint="eastAsia" w:eastAsia="仿宋_GB2312"/>
          <w:color w:val="auto"/>
          <w:kern w:val="0"/>
          <w:sz w:val="24"/>
          <w:szCs w:val="24"/>
          <w:highlight w:val="none"/>
        </w:rPr>
        <w:t>〕</w:t>
      </w:r>
      <w:r>
        <w:rPr>
          <w:rFonts w:eastAsia="仿宋_GB2312"/>
          <w:color w:val="auto"/>
          <w:kern w:val="0"/>
          <w:sz w:val="24"/>
          <w:szCs w:val="24"/>
          <w:highlight w:val="none"/>
        </w:rPr>
        <w:t>、因法律变化引起的调整按第11.2款</w:t>
      </w:r>
      <w:r>
        <w:rPr>
          <w:rFonts w:hint="eastAsia" w:eastAsia="仿宋_GB2312"/>
          <w:color w:val="auto"/>
          <w:kern w:val="0"/>
          <w:sz w:val="24"/>
          <w:szCs w:val="24"/>
          <w:highlight w:val="none"/>
        </w:rPr>
        <w:t>〔</w:t>
      </w:r>
      <w:r>
        <w:rPr>
          <w:rFonts w:eastAsia="仿宋_GB2312"/>
          <w:color w:val="auto"/>
          <w:kern w:val="0"/>
          <w:sz w:val="24"/>
          <w:szCs w:val="24"/>
          <w:highlight w:val="none"/>
        </w:rPr>
        <w:t>法律变化引起的调整</w:t>
      </w:r>
      <w:r>
        <w:rPr>
          <w:rFonts w:hint="eastAsia" w:eastAsia="仿宋_GB2312"/>
          <w:color w:val="auto"/>
          <w:kern w:val="0"/>
          <w:sz w:val="24"/>
          <w:szCs w:val="24"/>
          <w:highlight w:val="none"/>
        </w:rPr>
        <w:t>〕</w:t>
      </w:r>
      <w:r>
        <w:rPr>
          <w:rFonts w:eastAsia="仿宋_GB2312"/>
          <w:color w:val="auto"/>
          <w:kern w:val="0"/>
          <w:sz w:val="24"/>
          <w:szCs w:val="24"/>
          <w:highlight w:val="none"/>
        </w:rPr>
        <w:t>约定执行。</w:t>
      </w:r>
    </w:p>
    <w:p w14:paraId="2A8F254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w:t>
      </w:r>
      <w:r>
        <w:rPr>
          <w:rFonts w:hint="eastAsia" w:eastAsia="仿宋_GB2312"/>
          <w:color w:val="auto"/>
          <w:kern w:val="0"/>
          <w:sz w:val="24"/>
          <w:szCs w:val="24"/>
          <w:highlight w:val="none"/>
        </w:rPr>
        <w:t>.</w:t>
      </w:r>
      <w:r>
        <w:rPr>
          <w:rFonts w:eastAsia="仿宋_GB2312"/>
          <w:color w:val="auto"/>
          <w:kern w:val="0"/>
          <w:sz w:val="24"/>
          <w:szCs w:val="24"/>
          <w:highlight w:val="none"/>
        </w:rPr>
        <w:t>其它价格形式</w:t>
      </w:r>
    </w:p>
    <w:p w14:paraId="3ED926E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合同当事人可在专用合同条款中约定其他合同价格形式。</w:t>
      </w:r>
    </w:p>
    <w:p w14:paraId="755E46D8">
      <w:pPr>
        <w:pStyle w:val="7"/>
        <w:spacing w:before="120" w:after="120" w:line="360" w:lineRule="auto"/>
        <w:ind w:firstLine="480" w:firstLineChars="200"/>
        <w:rPr>
          <w:rFonts w:eastAsia="黑体"/>
          <w:b w:val="0"/>
          <w:color w:val="auto"/>
          <w:sz w:val="24"/>
          <w:szCs w:val="24"/>
          <w:highlight w:val="none"/>
        </w:rPr>
      </w:pPr>
      <w:bookmarkStart w:id="310" w:name="_Toc296503097"/>
      <w:bookmarkStart w:id="311" w:name="_Toc296346598"/>
      <w:bookmarkStart w:id="312" w:name="_Toc32835689"/>
      <w:bookmarkStart w:id="313" w:name="_Toc337558801"/>
      <w:r>
        <w:rPr>
          <w:rFonts w:eastAsia="黑体"/>
          <w:b w:val="0"/>
          <w:color w:val="auto"/>
          <w:sz w:val="24"/>
          <w:szCs w:val="24"/>
          <w:highlight w:val="none"/>
        </w:rPr>
        <w:t>12.2预</w:t>
      </w:r>
      <w:bookmarkEnd w:id="310"/>
      <w:bookmarkEnd w:id="311"/>
      <w:bookmarkStart w:id="314" w:name="_Toc296346601"/>
      <w:bookmarkStart w:id="315" w:name="_Toc296503100"/>
      <w:r>
        <w:rPr>
          <w:rFonts w:eastAsia="黑体"/>
          <w:b w:val="0"/>
          <w:color w:val="auto"/>
          <w:sz w:val="24"/>
          <w:szCs w:val="24"/>
          <w:highlight w:val="none"/>
        </w:rPr>
        <w:t>付款</w:t>
      </w:r>
      <w:bookmarkEnd w:id="312"/>
    </w:p>
    <w:bookmarkEnd w:id="313"/>
    <w:bookmarkEnd w:id="314"/>
    <w:bookmarkEnd w:id="315"/>
    <w:p w14:paraId="770C5E7F">
      <w:pPr>
        <w:spacing w:line="360" w:lineRule="auto"/>
        <w:ind w:firstLine="480" w:firstLineChars="200"/>
        <w:jc w:val="left"/>
        <w:rPr>
          <w:rFonts w:eastAsia="仿宋_GB2312"/>
          <w:color w:val="auto"/>
          <w:kern w:val="0"/>
          <w:sz w:val="24"/>
          <w:szCs w:val="24"/>
          <w:highlight w:val="none"/>
        </w:rPr>
      </w:pPr>
      <w:r>
        <w:rPr>
          <w:rFonts w:eastAsia="仿宋_GB2312"/>
          <w:color w:val="auto"/>
          <w:sz w:val="24"/>
          <w:szCs w:val="24"/>
          <w:highlight w:val="none"/>
        </w:rPr>
        <w:t>12.2.</w:t>
      </w:r>
      <w:r>
        <w:rPr>
          <w:rFonts w:eastAsia="仿宋_GB2312"/>
          <w:color w:val="auto"/>
          <w:kern w:val="0"/>
          <w:sz w:val="24"/>
          <w:szCs w:val="24"/>
          <w:highlight w:val="none"/>
        </w:rPr>
        <w:t>1预付款的支付</w:t>
      </w:r>
    </w:p>
    <w:p w14:paraId="230166E9">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6AADA01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除专用合同条款另有约定外，预付款在进度付款中同比例扣回。</w:t>
      </w:r>
      <w:bookmarkEnd w:id="299"/>
      <w:r>
        <w:rPr>
          <w:rFonts w:eastAsia="仿宋_GB2312"/>
          <w:color w:val="auto"/>
          <w:kern w:val="0"/>
          <w:sz w:val="24"/>
          <w:szCs w:val="24"/>
          <w:highlight w:val="none"/>
        </w:rPr>
        <w:t>在颁发工程接收证书前，提前解除合同的，尚未扣完的预付款应与合同价款一并结算。</w:t>
      </w:r>
    </w:p>
    <w:p w14:paraId="675611C9">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发包人逾期支付预付款超过7天的，承包人有权向发包人发出要求预付的催告通知，发包人收到通知后7天内仍未支付的，承包人有权暂停施工，并按第16.1.1项</w:t>
      </w:r>
      <w:r>
        <w:rPr>
          <w:rFonts w:hint="eastAsia" w:eastAsia="仿宋_GB2312"/>
          <w:color w:val="auto"/>
          <w:kern w:val="0"/>
          <w:sz w:val="24"/>
          <w:szCs w:val="24"/>
          <w:highlight w:val="none"/>
        </w:rPr>
        <w:t>〔</w:t>
      </w:r>
      <w:r>
        <w:rPr>
          <w:rFonts w:eastAsia="仿宋_GB2312"/>
          <w:color w:val="auto"/>
          <w:kern w:val="0"/>
          <w:sz w:val="24"/>
          <w:szCs w:val="24"/>
          <w:highlight w:val="none"/>
        </w:rPr>
        <w:t>发包人违约的情形</w:t>
      </w:r>
      <w:r>
        <w:rPr>
          <w:rFonts w:hint="eastAsia" w:eastAsia="仿宋_GB2312"/>
          <w:color w:val="auto"/>
          <w:kern w:val="0"/>
          <w:sz w:val="24"/>
          <w:szCs w:val="24"/>
          <w:highlight w:val="none"/>
        </w:rPr>
        <w:t>〕</w:t>
      </w:r>
      <w:r>
        <w:rPr>
          <w:rFonts w:eastAsia="仿宋_GB2312"/>
          <w:color w:val="auto"/>
          <w:kern w:val="0"/>
          <w:sz w:val="24"/>
          <w:szCs w:val="24"/>
          <w:highlight w:val="none"/>
        </w:rPr>
        <w:t>执行。</w:t>
      </w:r>
    </w:p>
    <w:p w14:paraId="4B21D7CE">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12.2.2 预付款担保</w:t>
      </w:r>
    </w:p>
    <w:p w14:paraId="594AE951">
      <w:pPr>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发包人要求承包人提供预付款担保的</w:t>
      </w:r>
      <w:r>
        <w:rPr>
          <w:rFonts w:eastAsia="仿宋_GB2312"/>
          <w:color w:val="auto"/>
          <w:kern w:val="0"/>
          <w:sz w:val="24"/>
          <w:szCs w:val="24"/>
          <w:highlight w:val="none"/>
        </w:rPr>
        <w:t>，承包人应在发包人支付预付款7天前提供预付款担保</w:t>
      </w:r>
      <w:r>
        <w:rPr>
          <w:rFonts w:hint="eastAsia" w:eastAsia="仿宋_GB2312"/>
          <w:color w:val="auto"/>
          <w:kern w:val="0"/>
          <w:sz w:val="24"/>
          <w:szCs w:val="24"/>
          <w:highlight w:val="none"/>
        </w:rPr>
        <w:t>，</w:t>
      </w:r>
      <w:r>
        <w:rPr>
          <w:rFonts w:eastAsia="仿宋_GB2312"/>
          <w:color w:val="auto"/>
          <w:kern w:val="0"/>
          <w:sz w:val="24"/>
          <w:szCs w:val="24"/>
          <w:highlight w:val="none"/>
        </w:rPr>
        <w:t>专用合同条款另有约定</w:t>
      </w:r>
      <w:r>
        <w:rPr>
          <w:rFonts w:hint="eastAsia" w:eastAsia="仿宋_GB2312"/>
          <w:color w:val="auto"/>
          <w:kern w:val="0"/>
          <w:sz w:val="24"/>
          <w:szCs w:val="24"/>
          <w:highlight w:val="none"/>
        </w:rPr>
        <w:t>除</w:t>
      </w:r>
      <w:r>
        <w:rPr>
          <w:rFonts w:eastAsia="仿宋_GB2312"/>
          <w:color w:val="auto"/>
          <w:kern w:val="0"/>
          <w:sz w:val="24"/>
          <w:szCs w:val="24"/>
          <w:highlight w:val="none"/>
        </w:rPr>
        <w:t>外。预付款担保可采用银行保函、担保公司担保等形式，具体由合同当事人在专用合同条款中约定。在预付款完全扣回之前，承包人应保证预付款担保持续有效。</w:t>
      </w:r>
    </w:p>
    <w:p w14:paraId="291F6F66">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发包人在工程款中逐期扣回预付款后，预付款担保额度应相应减少，但剩余的预付款担保金额不得低于未被扣回的预付款金额。</w:t>
      </w:r>
    </w:p>
    <w:p w14:paraId="1FC15C62">
      <w:pPr>
        <w:pStyle w:val="7"/>
        <w:spacing w:before="120" w:after="120" w:line="360" w:lineRule="auto"/>
        <w:ind w:firstLine="480" w:firstLineChars="200"/>
        <w:rPr>
          <w:rFonts w:eastAsia="黑体"/>
          <w:b w:val="0"/>
          <w:color w:val="auto"/>
          <w:sz w:val="24"/>
          <w:szCs w:val="24"/>
          <w:highlight w:val="none"/>
        </w:rPr>
      </w:pPr>
      <w:bookmarkStart w:id="316" w:name="_Toc32835690"/>
      <w:bookmarkStart w:id="317" w:name="_Toc337558802"/>
      <w:r>
        <w:rPr>
          <w:rFonts w:eastAsia="黑体"/>
          <w:b w:val="0"/>
          <w:color w:val="auto"/>
          <w:sz w:val="24"/>
          <w:szCs w:val="24"/>
          <w:highlight w:val="none"/>
        </w:rPr>
        <w:t>12.3计量</w:t>
      </w:r>
      <w:bookmarkEnd w:id="316"/>
    </w:p>
    <w:bookmarkEnd w:id="317"/>
    <w:p w14:paraId="5307CBC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12.3.1 计量原则</w:t>
      </w:r>
    </w:p>
    <w:p w14:paraId="61DD9FB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工程量计量按照合同约定的工程量计算规则、图纸及变更指示</w:t>
      </w:r>
      <w:r>
        <w:rPr>
          <w:rFonts w:hint="eastAsia" w:eastAsia="仿宋_GB2312"/>
          <w:color w:val="auto"/>
          <w:kern w:val="0"/>
          <w:sz w:val="24"/>
          <w:szCs w:val="24"/>
          <w:highlight w:val="none"/>
        </w:rPr>
        <w:t>等</w:t>
      </w:r>
      <w:r>
        <w:rPr>
          <w:rFonts w:eastAsia="仿宋_GB2312"/>
          <w:color w:val="auto"/>
          <w:kern w:val="0"/>
          <w:sz w:val="24"/>
          <w:szCs w:val="24"/>
          <w:highlight w:val="none"/>
        </w:rPr>
        <w:t>进行计量。工程量计算规则应以相关的国家标准、行业标准</w:t>
      </w:r>
      <w:r>
        <w:rPr>
          <w:rFonts w:hint="eastAsia" w:eastAsia="仿宋_GB2312"/>
          <w:color w:val="auto"/>
          <w:kern w:val="0"/>
          <w:sz w:val="24"/>
          <w:szCs w:val="24"/>
          <w:highlight w:val="none"/>
        </w:rPr>
        <w:t>等</w:t>
      </w:r>
      <w:r>
        <w:rPr>
          <w:rFonts w:eastAsia="仿宋_GB2312"/>
          <w:color w:val="auto"/>
          <w:kern w:val="0"/>
          <w:sz w:val="24"/>
          <w:szCs w:val="24"/>
          <w:highlight w:val="none"/>
        </w:rPr>
        <w:t>为依据，由合同当事人在专用合同条款中约定。</w:t>
      </w:r>
    </w:p>
    <w:p w14:paraId="5559966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12.3.2 计量周期</w:t>
      </w:r>
    </w:p>
    <w:p w14:paraId="4B25E67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除专用合同条款另有约定外，工程量的计量按月进行。</w:t>
      </w:r>
    </w:p>
    <w:p w14:paraId="1E62BF1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12.3.3 单价合同的计量</w:t>
      </w:r>
    </w:p>
    <w:p w14:paraId="274BCE1E">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除专用合同条款另有约定外，单价合同的计量按照本项约定执行：</w:t>
      </w:r>
    </w:p>
    <w:p w14:paraId="4FAB1100">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（1）承包人应于每月25日向监理人报送上月20日至当月19日已完成的工程量报告，并附具进度付款申请单、已完成工程量报表和有关资料。</w:t>
      </w:r>
    </w:p>
    <w:p w14:paraId="66B368C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611EA5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（3）监理人未在收到承包人提交的工程量报表后的7天内完成审核的，承包人报送的工程量报告中的工程量视为承包人实际完成的工程量，据此计算工程价款。</w:t>
      </w:r>
    </w:p>
    <w:p w14:paraId="6FE2D599">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12.3.4 总价合同的计量</w:t>
      </w:r>
    </w:p>
    <w:p w14:paraId="55482BE9">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除专用合同条款另有约定外，按</w:t>
      </w:r>
      <w:r>
        <w:rPr>
          <w:rFonts w:hint="eastAsia" w:eastAsia="仿宋_GB2312"/>
          <w:color w:val="auto"/>
          <w:kern w:val="0"/>
          <w:sz w:val="24"/>
          <w:szCs w:val="24"/>
          <w:highlight w:val="none"/>
        </w:rPr>
        <w:t>月计量支付</w:t>
      </w:r>
      <w:r>
        <w:rPr>
          <w:rFonts w:eastAsia="仿宋_GB2312"/>
          <w:color w:val="auto"/>
          <w:kern w:val="0"/>
          <w:sz w:val="24"/>
          <w:szCs w:val="24"/>
          <w:highlight w:val="none"/>
        </w:rPr>
        <w:t>的总价合同，按照本项约定执行：</w:t>
      </w:r>
    </w:p>
    <w:p w14:paraId="7D212EA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（1）承包人应于每月25日向监理人报送上月20日至当月19日已完成的工程量报告，并附具进度付款申请单、已完成工程量报表和有关资料。</w:t>
      </w:r>
    </w:p>
    <w:p w14:paraId="4D47A77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100A10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（3）监理人未在收到承包人提交的工程量报表后的7天内完成复核的，承包人提交的工程量报告中的工程量视为承包人实际完成的工程量。</w:t>
      </w:r>
    </w:p>
    <w:p w14:paraId="4006EBEA">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12.3.5 总价合同采用支付分解表计量支付的，可以按照第12.3.4项</w:t>
      </w:r>
      <w:r>
        <w:rPr>
          <w:rFonts w:hint="eastAsia" w:eastAsia="仿宋_GB2312"/>
          <w:color w:val="auto"/>
          <w:kern w:val="0"/>
          <w:sz w:val="24"/>
          <w:szCs w:val="24"/>
          <w:highlight w:val="none"/>
        </w:rPr>
        <w:t>〔</w:t>
      </w:r>
      <w:r>
        <w:rPr>
          <w:rFonts w:eastAsia="仿宋_GB2312"/>
          <w:color w:val="auto"/>
          <w:kern w:val="0"/>
          <w:sz w:val="24"/>
          <w:szCs w:val="24"/>
          <w:highlight w:val="none"/>
        </w:rPr>
        <w:t>总价合同的计量</w:t>
      </w:r>
      <w:r>
        <w:rPr>
          <w:rFonts w:hint="eastAsia" w:eastAsia="仿宋_GB2312"/>
          <w:color w:val="auto"/>
          <w:kern w:val="0"/>
          <w:sz w:val="24"/>
          <w:szCs w:val="24"/>
          <w:highlight w:val="none"/>
        </w:rPr>
        <w:t>〕</w:t>
      </w:r>
      <w:r>
        <w:rPr>
          <w:rFonts w:eastAsia="仿宋_GB2312"/>
          <w:color w:val="auto"/>
          <w:kern w:val="0"/>
          <w:sz w:val="24"/>
          <w:szCs w:val="24"/>
          <w:highlight w:val="none"/>
        </w:rPr>
        <w:t>约定进行计量，但合同价款按照支付分解表进行支付。</w:t>
      </w:r>
    </w:p>
    <w:p w14:paraId="17803989">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12.3.6 其他价格形式合同的计量</w:t>
      </w:r>
    </w:p>
    <w:p w14:paraId="66A082E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合同当事人可在专用合同条款中约定其他价格形式合同的计量方式和程序。</w:t>
      </w:r>
    </w:p>
    <w:p w14:paraId="19CAA6AC">
      <w:pPr>
        <w:pStyle w:val="7"/>
        <w:spacing w:before="120" w:after="120" w:line="360" w:lineRule="auto"/>
        <w:ind w:firstLine="480" w:firstLineChars="200"/>
        <w:rPr>
          <w:rFonts w:eastAsia="黑体"/>
          <w:b w:val="0"/>
          <w:color w:val="auto"/>
          <w:sz w:val="24"/>
          <w:szCs w:val="24"/>
          <w:highlight w:val="none"/>
        </w:rPr>
      </w:pPr>
      <w:bookmarkStart w:id="318" w:name="_Toc296503101"/>
      <w:bookmarkStart w:id="319" w:name="_Toc296346602"/>
      <w:bookmarkStart w:id="320" w:name="_Toc32835691"/>
      <w:bookmarkStart w:id="321" w:name="_Toc337558803"/>
      <w:r>
        <w:rPr>
          <w:rFonts w:eastAsia="黑体"/>
          <w:b w:val="0"/>
          <w:color w:val="auto"/>
          <w:sz w:val="24"/>
          <w:szCs w:val="24"/>
          <w:highlight w:val="none"/>
        </w:rPr>
        <w:t>12.4工程进度款支</w:t>
      </w:r>
      <w:bookmarkEnd w:id="318"/>
      <w:bookmarkEnd w:id="319"/>
      <w:r>
        <w:rPr>
          <w:rFonts w:eastAsia="黑体"/>
          <w:b w:val="0"/>
          <w:color w:val="auto"/>
          <w:sz w:val="24"/>
          <w:szCs w:val="24"/>
          <w:highlight w:val="none"/>
        </w:rPr>
        <w:t>付</w:t>
      </w:r>
      <w:bookmarkEnd w:id="320"/>
    </w:p>
    <w:bookmarkEnd w:id="321"/>
    <w:p w14:paraId="76CD2EC2">
      <w:pPr>
        <w:autoSpaceDE w:val="0"/>
        <w:autoSpaceDN w:val="0"/>
        <w:adjustRightInd w:val="0"/>
        <w:spacing w:line="360" w:lineRule="auto"/>
        <w:ind w:firstLine="480" w:firstLineChars="200"/>
        <w:jc w:val="left"/>
        <w:outlineLvl w:val="0"/>
        <w:rPr>
          <w:rFonts w:eastAsia="仿宋_GB2312"/>
          <w:color w:val="auto"/>
          <w:kern w:val="0"/>
          <w:sz w:val="24"/>
          <w:szCs w:val="24"/>
          <w:highlight w:val="none"/>
        </w:rPr>
      </w:pPr>
      <w:bookmarkStart w:id="322" w:name="_Toc32835692"/>
      <w:r>
        <w:rPr>
          <w:rFonts w:eastAsia="仿宋_GB2312"/>
          <w:color w:val="auto"/>
          <w:sz w:val="24"/>
          <w:szCs w:val="24"/>
          <w:highlight w:val="none"/>
        </w:rPr>
        <w:t>12.4</w:t>
      </w:r>
      <w:r>
        <w:rPr>
          <w:rFonts w:eastAsia="仿宋_GB2312"/>
          <w:color w:val="auto"/>
          <w:kern w:val="0"/>
          <w:sz w:val="24"/>
          <w:szCs w:val="24"/>
          <w:highlight w:val="none"/>
        </w:rPr>
        <w:t>.1 付款周期</w:t>
      </w:r>
      <w:bookmarkEnd w:id="322"/>
    </w:p>
    <w:p w14:paraId="34AAEC9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除专用合同条款另有约定外，付款周期应按照第12.3.2</w:t>
      </w:r>
      <w:r>
        <w:rPr>
          <w:rFonts w:hint="eastAsia" w:eastAsia="仿宋_GB2312"/>
          <w:color w:val="auto"/>
          <w:kern w:val="0"/>
          <w:sz w:val="24"/>
          <w:szCs w:val="24"/>
          <w:highlight w:val="none"/>
        </w:rPr>
        <w:t>项〔</w:t>
      </w:r>
      <w:r>
        <w:rPr>
          <w:rFonts w:eastAsia="仿宋_GB2312"/>
          <w:color w:val="auto"/>
          <w:kern w:val="0"/>
          <w:sz w:val="24"/>
          <w:szCs w:val="24"/>
          <w:highlight w:val="none"/>
        </w:rPr>
        <w:t>计量周期</w:t>
      </w:r>
      <w:r>
        <w:rPr>
          <w:rFonts w:hint="eastAsia" w:eastAsia="仿宋_GB2312"/>
          <w:color w:val="auto"/>
          <w:kern w:val="0"/>
          <w:sz w:val="24"/>
          <w:szCs w:val="24"/>
          <w:highlight w:val="none"/>
        </w:rPr>
        <w:t>〕</w:t>
      </w:r>
      <w:r>
        <w:rPr>
          <w:rFonts w:eastAsia="仿宋_GB2312"/>
          <w:color w:val="auto"/>
          <w:kern w:val="0"/>
          <w:sz w:val="24"/>
          <w:szCs w:val="24"/>
          <w:highlight w:val="none"/>
        </w:rPr>
        <w:t>的约定与计量周期保持一致。</w:t>
      </w:r>
    </w:p>
    <w:p w14:paraId="4A4A7E6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sz w:val="24"/>
          <w:szCs w:val="24"/>
          <w:highlight w:val="none"/>
        </w:rPr>
        <w:t>12.4</w:t>
      </w:r>
      <w:r>
        <w:rPr>
          <w:rFonts w:eastAsia="仿宋_GB2312"/>
          <w:color w:val="auto"/>
          <w:kern w:val="0"/>
          <w:sz w:val="24"/>
          <w:szCs w:val="24"/>
          <w:highlight w:val="none"/>
        </w:rPr>
        <w:t>.2 进度付款申请单的编制</w:t>
      </w:r>
    </w:p>
    <w:p w14:paraId="2B1EB02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除专用合同条款另有约定外，进度付款申请单应包括下列内容：</w:t>
      </w:r>
    </w:p>
    <w:p w14:paraId="7CF4B16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（1）截至本次付款周期已完成工作对应的金额；</w:t>
      </w:r>
    </w:p>
    <w:p w14:paraId="709FF42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（2）根据第10条</w:t>
      </w:r>
      <w:r>
        <w:rPr>
          <w:rFonts w:hint="eastAsia" w:eastAsia="仿宋_GB2312"/>
          <w:color w:val="auto"/>
          <w:kern w:val="0"/>
          <w:sz w:val="24"/>
          <w:szCs w:val="24"/>
          <w:highlight w:val="none"/>
        </w:rPr>
        <w:t>〔</w:t>
      </w:r>
      <w:r>
        <w:rPr>
          <w:rFonts w:eastAsia="仿宋_GB2312"/>
          <w:color w:val="auto"/>
          <w:kern w:val="0"/>
          <w:sz w:val="24"/>
          <w:szCs w:val="24"/>
          <w:highlight w:val="none"/>
        </w:rPr>
        <w:t>变更</w:t>
      </w:r>
      <w:r>
        <w:rPr>
          <w:rFonts w:hint="eastAsia" w:eastAsia="仿宋_GB2312"/>
          <w:color w:val="auto"/>
          <w:kern w:val="0"/>
          <w:sz w:val="24"/>
          <w:szCs w:val="24"/>
          <w:highlight w:val="none"/>
        </w:rPr>
        <w:t>〕</w:t>
      </w:r>
      <w:r>
        <w:rPr>
          <w:rFonts w:eastAsia="仿宋_GB2312"/>
          <w:color w:val="auto"/>
          <w:kern w:val="0"/>
          <w:sz w:val="24"/>
          <w:szCs w:val="24"/>
          <w:highlight w:val="none"/>
        </w:rPr>
        <w:t>应增加和扣减的变更金额；</w:t>
      </w:r>
    </w:p>
    <w:p w14:paraId="2014047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（3）根据第12.2款</w:t>
      </w:r>
      <w:r>
        <w:rPr>
          <w:rFonts w:hint="eastAsia" w:eastAsia="仿宋_GB2312"/>
          <w:color w:val="auto"/>
          <w:kern w:val="0"/>
          <w:sz w:val="24"/>
          <w:szCs w:val="24"/>
          <w:highlight w:val="none"/>
        </w:rPr>
        <w:t>〔</w:t>
      </w:r>
      <w:r>
        <w:rPr>
          <w:rFonts w:eastAsia="仿宋_GB2312"/>
          <w:color w:val="auto"/>
          <w:kern w:val="0"/>
          <w:sz w:val="24"/>
          <w:szCs w:val="24"/>
          <w:highlight w:val="none"/>
        </w:rPr>
        <w:t>预付款</w:t>
      </w:r>
      <w:r>
        <w:rPr>
          <w:rFonts w:hint="eastAsia" w:eastAsia="仿宋_GB2312"/>
          <w:color w:val="auto"/>
          <w:kern w:val="0"/>
          <w:sz w:val="24"/>
          <w:szCs w:val="24"/>
          <w:highlight w:val="none"/>
        </w:rPr>
        <w:t>〕</w:t>
      </w:r>
      <w:r>
        <w:rPr>
          <w:rFonts w:eastAsia="仿宋_GB2312"/>
          <w:color w:val="auto"/>
          <w:kern w:val="0"/>
          <w:sz w:val="24"/>
          <w:szCs w:val="24"/>
          <w:highlight w:val="none"/>
        </w:rPr>
        <w:t>约定应支付的预付款和扣减的返还预付款；</w:t>
      </w:r>
    </w:p>
    <w:p w14:paraId="5CE2816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（4）根据第15.3款</w:t>
      </w:r>
      <w:r>
        <w:rPr>
          <w:rFonts w:hint="eastAsia" w:eastAsia="仿宋_GB2312"/>
          <w:color w:val="auto"/>
          <w:kern w:val="0"/>
          <w:sz w:val="24"/>
          <w:szCs w:val="24"/>
          <w:highlight w:val="none"/>
        </w:rPr>
        <w:t>〔</w:t>
      </w:r>
      <w:r>
        <w:rPr>
          <w:rFonts w:eastAsia="仿宋_GB2312"/>
          <w:color w:val="auto"/>
          <w:kern w:val="0"/>
          <w:sz w:val="24"/>
          <w:szCs w:val="24"/>
          <w:highlight w:val="none"/>
        </w:rPr>
        <w:t>质量保证金</w:t>
      </w:r>
      <w:r>
        <w:rPr>
          <w:rFonts w:hint="eastAsia" w:eastAsia="仿宋_GB2312"/>
          <w:color w:val="auto"/>
          <w:kern w:val="0"/>
          <w:sz w:val="24"/>
          <w:szCs w:val="24"/>
          <w:highlight w:val="none"/>
        </w:rPr>
        <w:t>〕</w:t>
      </w:r>
      <w:r>
        <w:rPr>
          <w:rFonts w:eastAsia="仿宋_GB2312"/>
          <w:color w:val="auto"/>
          <w:kern w:val="0"/>
          <w:sz w:val="24"/>
          <w:szCs w:val="24"/>
          <w:highlight w:val="none"/>
        </w:rPr>
        <w:t>约定应扣减的质量保证金；</w:t>
      </w:r>
    </w:p>
    <w:p w14:paraId="091843F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（5）根据第19条</w:t>
      </w:r>
      <w:r>
        <w:rPr>
          <w:rFonts w:hint="eastAsia" w:eastAsia="仿宋_GB2312"/>
          <w:color w:val="auto"/>
          <w:kern w:val="0"/>
          <w:sz w:val="24"/>
          <w:szCs w:val="24"/>
          <w:highlight w:val="none"/>
        </w:rPr>
        <w:t>〔</w:t>
      </w:r>
      <w:r>
        <w:rPr>
          <w:rFonts w:eastAsia="仿宋_GB2312"/>
          <w:color w:val="auto"/>
          <w:kern w:val="0"/>
          <w:sz w:val="24"/>
          <w:szCs w:val="24"/>
          <w:highlight w:val="none"/>
        </w:rPr>
        <w:t>索赔</w:t>
      </w:r>
      <w:r>
        <w:rPr>
          <w:rFonts w:hint="eastAsia" w:eastAsia="仿宋_GB2312"/>
          <w:color w:val="auto"/>
          <w:kern w:val="0"/>
          <w:sz w:val="24"/>
          <w:szCs w:val="24"/>
          <w:highlight w:val="none"/>
        </w:rPr>
        <w:t>〕</w:t>
      </w:r>
      <w:r>
        <w:rPr>
          <w:rFonts w:eastAsia="仿宋_GB2312"/>
          <w:color w:val="auto"/>
          <w:kern w:val="0"/>
          <w:sz w:val="24"/>
          <w:szCs w:val="24"/>
          <w:highlight w:val="none"/>
        </w:rPr>
        <w:t>应增加和扣减的索赔金额；</w:t>
      </w:r>
    </w:p>
    <w:p w14:paraId="4CB8461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（6）对已签发的进度款支付证书中出现错误的修正，应在本次进度付款中支付或扣除的金额；</w:t>
      </w:r>
    </w:p>
    <w:p w14:paraId="4DF0B1FC">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（7）根据合同约定应增加和扣减的其他金额。</w:t>
      </w:r>
    </w:p>
    <w:p w14:paraId="28B62E58">
      <w:pPr>
        <w:autoSpaceDE w:val="0"/>
        <w:autoSpaceDN w:val="0"/>
        <w:adjustRightInd w:val="0"/>
        <w:spacing w:line="360" w:lineRule="auto"/>
        <w:ind w:firstLine="480" w:firstLineChars="200"/>
        <w:jc w:val="left"/>
        <w:outlineLvl w:val="0"/>
        <w:rPr>
          <w:rFonts w:eastAsia="仿宋_GB2312"/>
          <w:color w:val="auto"/>
          <w:kern w:val="0"/>
          <w:sz w:val="24"/>
          <w:szCs w:val="24"/>
          <w:highlight w:val="none"/>
        </w:rPr>
      </w:pPr>
      <w:bookmarkStart w:id="323" w:name="_Toc32835693"/>
      <w:r>
        <w:rPr>
          <w:rFonts w:eastAsia="仿宋_GB2312"/>
          <w:color w:val="auto"/>
          <w:kern w:val="0"/>
          <w:sz w:val="24"/>
          <w:szCs w:val="24"/>
          <w:highlight w:val="none"/>
        </w:rPr>
        <w:t>12.4.3 进度付款申请单的提交</w:t>
      </w:r>
      <w:bookmarkEnd w:id="323"/>
    </w:p>
    <w:p w14:paraId="72CAB03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（1）单价合同进度付款申请单的提交</w:t>
      </w:r>
    </w:p>
    <w:p w14:paraId="45DBC1D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单价合同的进度付款申请单，按照第12.3.3项</w:t>
      </w:r>
      <w:r>
        <w:rPr>
          <w:rFonts w:hint="eastAsia" w:eastAsia="仿宋_GB2312"/>
          <w:color w:val="auto"/>
          <w:kern w:val="0"/>
          <w:sz w:val="24"/>
          <w:szCs w:val="24"/>
          <w:highlight w:val="none"/>
        </w:rPr>
        <w:t>〔</w:t>
      </w:r>
      <w:r>
        <w:rPr>
          <w:rFonts w:eastAsia="仿宋_GB2312"/>
          <w:color w:val="auto"/>
          <w:kern w:val="0"/>
          <w:sz w:val="24"/>
          <w:szCs w:val="24"/>
          <w:highlight w:val="none"/>
        </w:rPr>
        <w:t>单价合同的计量</w:t>
      </w:r>
      <w:r>
        <w:rPr>
          <w:rFonts w:hint="eastAsia" w:eastAsia="仿宋_GB2312"/>
          <w:color w:val="auto"/>
          <w:kern w:val="0"/>
          <w:sz w:val="24"/>
          <w:szCs w:val="24"/>
          <w:highlight w:val="none"/>
        </w:rPr>
        <w:t>〕</w:t>
      </w:r>
      <w:r>
        <w:rPr>
          <w:rFonts w:eastAsia="仿宋_GB2312"/>
          <w:color w:val="auto"/>
          <w:kern w:val="0"/>
          <w:sz w:val="24"/>
          <w:szCs w:val="24"/>
          <w:highlight w:val="none"/>
        </w:rPr>
        <w:t>约定的时间按月向监理人提交，并附上已完成工程量报表和有关资料。单价合同中的总价项目按月进行支付分解，并汇总列入当期进度付款申请单。</w:t>
      </w:r>
    </w:p>
    <w:p w14:paraId="5D5D77C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（2）总价合同进度付款申请单的提交</w:t>
      </w:r>
    </w:p>
    <w:p w14:paraId="3046563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总价合同按</w:t>
      </w:r>
      <w:r>
        <w:rPr>
          <w:rFonts w:hint="eastAsia" w:eastAsia="仿宋_GB2312"/>
          <w:color w:val="auto"/>
          <w:kern w:val="0"/>
          <w:sz w:val="24"/>
          <w:szCs w:val="24"/>
          <w:highlight w:val="none"/>
        </w:rPr>
        <w:t>月计量支付的</w:t>
      </w:r>
      <w:r>
        <w:rPr>
          <w:rFonts w:eastAsia="仿宋_GB2312"/>
          <w:color w:val="auto"/>
          <w:kern w:val="0"/>
          <w:sz w:val="24"/>
          <w:szCs w:val="24"/>
          <w:highlight w:val="none"/>
        </w:rPr>
        <w:t>，承包人按照第12.3.4项</w:t>
      </w:r>
      <w:r>
        <w:rPr>
          <w:rFonts w:hint="eastAsia" w:eastAsia="仿宋_GB2312"/>
          <w:color w:val="auto"/>
          <w:kern w:val="0"/>
          <w:sz w:val="24"/>
          <w:szCs w:val="24"/>
          <w:highlight w:val="none"/>
        </w:rPr>
        <w:t>〔</w:t>
      </w:r>
      <w:r>
        <w:rPr>
          <w:rFonts w:eastAsia="仿宋_GB2312"/>
          <w:color w:val="auto"/>
          <w:kern w:val="0"/>
          <w:sz w:val="24"/>
          <w:szCs w:val="24"/>
          <w:highlight w:val="none"/>
        </w:rPr>
        <w:t>总价合同的计量</w:t>
      </w:r>
      <w:r>
        <w:rPr>
          <w:rFonts w:hint="eastAsia" w:eastAsia="仿宋_GB2312"/>
          <w:color w:val="auto"/>
          <w:kern w:val="0"/>
          <w:sz w:val="24"/>
          <w:szCs w:val="24"/>
          <w:highlight w:val="none"/>
        </w:rPr>
        <w:t>〕</w:t>
      </w:r>
      <w:r>
        <w:rPr>
          <w:rFonts w:eastAsia="仿宋_GB2312"/>
          <w:color w:val="auto"/>
          <w:kern w:val="0"/>
          <w:sz w:val="24"/>
          <w:szCs w:val="24"/>
          <w:highlight w:val="none"/>
        </w:rPr>
        <w:t>约定的时间按月向监理人提交进度付款申请单，并附上已完成工程量报表和有关资料。</w:t>
      </w:r>
    </w:p>
    <w:p w14:paraId="7B32076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总价合同按支付分解表支付的，承包人应按照第12.4.6项</w:t>
      </w:r>
      <w:r>
        <w:rPr>
          <w:rFonts w:hint="eastAsia" w:eastAsia="仿宋_GB2312"/>
          <w:color w:val="auto"/>
          <w:kern w:val="0"/>
          <w:sz w:val="24"/>
          <w:szCs w:val="24"/>
          <w:highlight w:val="none"/>
        </w:rPr>
        <w:t>〔</w:t>
      </w:r>
      <w:r>
        <w:rPr>
          <w:rFonts w:eastAsia="仿宋_GB2312"/>
          <w:color w:val="auto"/>
          <w:kern w:val="0"/>
          <w:sz w:val="24"/>
          <w:szCs w:val="24"/>
          <w:highlight w:val="none"/>
        </w:rPr>
        <w:t>支付分解表</w:t>
      </w:r>
      <w:r>
        <w:rPr>
          <w:rFonts w:hint="eastAsia" w:eastAsia="仿宋_GB2312"/>
          <w:color w:val="auto"/>
          <w:kern w:val="0"/>
          <w:sz w:val="24"/>
          <w:szCs w:val="24"/>
          <w:highlight w:val="none"/>
        </w:rPr>
        <w:t>〕</w:t>
      </w:r>
      <w:r>
        <w:rPr>
          <w:rFonts w:eastAsia="仿宋_GB2312"/>
          <w:color w:val="auto"/>
          <w:kern w:val="0"/>
          <w:sz w:val="24"/>
          <w:szCs w:val="24"/>
          <w:highlight w:val="none"/>
        </w:rPr>
        <w:t>及第12.4.2项</w:t>
      </w:r>
      <w:r>
        <w:rPr>
          <w:rFonts w:hint="eastAsia" w:eastAsia="仿宋_GB2312"/>
          <w:color w:val="auto"/>
          <w:kern w:val="0"/>
          <w:sz w:val="24"/>
          <w:szCs w:val="24"/>
          <w:highlight w:val="none"/>
        </w:rPr>
        <w:t>〔</w:t>
      </w:r>
      <w:r>
        <w:rPr>
          <w:rFonts w:eastAsia="仿宋_GB2312"/>
          <w:color w:val="auto"/>
          <w:kern w:val="0"/>
          <w:sz w:val="24"/>
          <w:szCs w:val="24"/>
          <w:highlight w:val="none"/>
        </w:rPr>
        <w:t>进度付款申请单的编制</w:t>
      </w:r>
      <w:r>
        <w:rPr>
          <w:rFonts w:hint="eastAsia" w:eastAsia="仿宋_GB2312"/>
          <w:color w:val="auto"/>
          <w:kern w:val="0"/>
          <w:sz w:val="24"/>
          <w:szCs w:val="24"/>
          <w:highlight w:val="none"/>
        </w:rPr>
        <w:t>〕</w:t>
      </w:r>
      <w:r>
        <w:rPr>
          <w:rFonts w:eastAsia="仿宋_GB2312"/>
          <w:color w:val="auto"/>
          <w:kern w:val="0"/>
          <w:sz w:val="24"/>
          <w:szCs w:val="24"/>
          <w:highlight w:val="none"/>
        </w:rPr>
        <w:t>的约定向监理人提交进度付款申请单。</w:t>
      </w:r>
    </w:p>
    <w:p w14:paraId="3F5FDFF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（3）其他价格形式合同的进度付款申请单的提交</w:t>
      </w:r>
    </w:p>
    <w:p w14:paraId="346F176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合同当事人可在专用合同条款中约定其他价格形式合同的进度付款申请单的编制和提交程序。</w:t>
      </w:r>
    </w:p>
    <w:p w14:paraId="4C1AFD6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sz w:val="24"/>
          <w:szCs w:val="24"/>
          <w:highlight w:val="none"/>
        </w:rPr>
        <w:t>12.4</w:t>
      </w:r>
      <w:r>
        <w:rPr>
          <w:rFonts w:eastAsia="仿宋_GB2312"/>
          <w:color w:val="auto"/>
          <w:kern w:val="0"/>
          <w:sz w:val="24"/>
          <w:szCs w:val="24"/>
          <w:highlight w:val="none"/>
        </w:rPr>
        <w:t>.4 进度款审核和支付</w:t>
      </w:r>
    </w:p>
    <w:p w14:paraId="4ADFE5F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eastAsia="仿宋_GB2312"/>
          <w:color w:val="auto"/>
          <w:kern w:val="0"/>
          <w:sz w:val="24"/>
          <w:szCs w:val="24"/>
          <w:highlight w:val="none"/>
        </w:rPr>
        <w:t>审批</w:t>
      </w:r>
      <w:r>
        <w:rPr>
          <w:rFonts w:eastAsia="仿宋_GB2312"/>
          <w:color w:val="auto"/>
          <w:kern w:val="0"/>
          <w:sz w:val="24"/>
          <w:szCs w:val="24"/>
          <w:highlight w:val="none"/>
        </w:rPr>
        <w:t>且未提出异议的，视为已签发进度款支付证书。</w:t>
      </w:r>
    </w:p>
    <w:p w14:paraId="744CE3E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eastAsia="仿宋_GB2312"/>
          <w:color w:val="auto"/>
          <w:kern w:val="0"/>
          <w:sz w:val="24"/>
          <w:szCs w:val="24"/>
          <w:highlight w:val="none"/>
        </w:rPr>
        <w:t>〔</w:t>
      </w:r>
      <w:r>
        <w:rPr>
          <w:rFonts w:eastAsia="仿宋_GB2312"/>
          <w:color w:val="auto"/>
          <w:kern w:val="0"/>
          <w:sz w:val="24"/>
          <w:szCs w:val="24"/>
          <w:highlight w:val="none"/>
        </w:rPr>
        <w:t>争议解决</w:t>
      </w:r>
      <w:r>
        <w:rPr>
          <w:rFonts w:hint="eastAsia" w:eastAsia="仿宋_GB2312"/>
          <w:color w:val="auto"/>
          <w:kern w:val="0"/>
          <w:sz w:val="24"/>
          <w:szCs w:val="24"/>
          <w:highlight w:val="none"/>
        </w:rPr>
        <w:t>〕</w:t>
      </w:r>
      <w:r>
        <w:rPr>
          <w:rFonts w:eastAsia="仿宋_GB2312"/>
          <w:color w:val="auto"/>
          <w:kern w:val="0"/>
          <w:sz w:val="24"/>
          <w:szCs w:val="24"/>
          <w:highlight w:val="none"/>
        </w:rPr>
        <w:t>的约定处理。</w:t>
      </w:r>
    </w:p>
    <w:p w14:paraId="3E3920A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65BA257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（3）发包人签发进度款支付证书或临时进度款支付证书，不表明发包人已同意、批准或接受了承包人完成的相应部分的工作。</w:t>
      </w:r>
    </w:p>
    <w:p w14:paraId="51DAE37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12.4.5 进度付款的修正</w:t>
      </w:r>
    </w:p>
    <w:p w14:paraId="0AF2C7D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79EED12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12.4.6 支付分解表</w:t>
      </w:r>
    </w:p>
    <w:p w14:paraId="53DB7F4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w:t>
      </w:r>
      <w:r>
        <w:rPr>
          <w:rFonts w:hint="eastAsia" w:eastAsia="仿宋_GB2312"/>
          <w:color w:val="auto"/>
          <w:kern w:val="0"/>
          <w:sz w:val="24"/>
          <w:szCs w:val="24"/>
          <w:highlight w:val="none"/>
        </w:rPr>
        <w:t>.</w:t>
      </w:r>
      <w:r>
        <w:rPr>
          <w:rFonts w:eastAsia="仿宋_GB2312"/>
          <w:color w:val="auto"/>
          <w:kern w:val="0"/>
          <w:sz w:val="24"/>
          <w:szCs w:val="24"/>
          <w:highlight w:val="none"/>
        </w:rPr>
        <w:t>支付分解表的编制要求</w:t>
      </w:r>
    </w:p>
    <w:p w14:paraId="72B7A58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（1）支付分解表中所列的每期付款金额，应为第12.4.2项</w:t>
      </w:r>
      <w:r>
        <w:rPr>
          <w:rFonts w:hint="eastAsia" w:eastAsia="仿宋_GB2312"/>
          <w:color w:val="auto"/>
          <w:kern w:val="0"/>
          <w:sz w:val="24"/>
          <w:szCs w:val="24"/>
          <w:highlight w:val="none"/>
        </w:rPr>
        <w:t>〔</w:t>
      </w:r>
      <w:r>
        <w:rPr>
          <w:rFonts w:eastAsia="仿宋_GB2312"/>
          <w:color w:val="auto"/>
          <w:kern w:val="0"/>
          <w:sz w:val="24"/>
          <w:szCs w:val="24"/>
          <w:highlight w:val="none"/>
        </w:rPr>
        <w:t>进度付款申请单的编制</w:t>
      </w:r>
      <w:r>
        <w:rPr>
          <w:rFonts w:hint="eastAsia" w:eastAsia="仿宋_GB2312"/>
          <w:color w:val="auto"/>
          <w:kern w:val="0"/>
          <w:sz w:val="24"/>
          <w:szCs w:val="24"/>
          <w:highlight w:val="none"/>
        </w:rPr>
        <w:t>〕</w:t>
      </w:r>
      <w:r>
        <w:rPr>
          <w:rFonts w:eastAsia="仿宋_GB2312"/>
          <w:color w:val="auto"/>
          <w:kern w:val="0"/>
          <w:sz w:val="24"/>
          <w:szCs w:val="24"/>
          <w:highlight w:val="none"/>
        </w:rPr>
        <w:t>第（1）</w:t>
      </w:r>
      <w:r>
        <w:rPr>
          <w:rFonts w:hint="eastAsia" w:eastAsia="仿宋_GB2312"/>
          <w:color w:val="auto"/>
          <w:kern w:val="0"/>
          <w:sz w:val="24"/>
          <w:szCs w:val="24"/>
          <w:highlight w:val="none"/>
        </w:rPr>
        <w:t>目</w:t>
      </w:r>
      <w:r>
        <w:rPr>
          <w:rFonts w:eastAsia="仿宋_GB2312"/>
          <w:color w:val="auto"/>
          <w:kern w:val="0"/>
          <w:sz w:val="24"/>
          <w:szCs w:val="24"/>
          <w:highlight w:val="none"/>
        </w:rPr>
        <w:t>的估算金额；</w:t>
      </w:r>
    </w:p>
    <w:p w14:paraId="76B01820">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（2）实际进度与施工进度计划不一致的，合同当事人可按照第4.4款</w:t>
      </w:r>
      <w:r>
        <w:rPr>
          <w:rFonts w:hint="eastAsia" w:eastAsia="仿宋_GB2312"/>
          <w:color w:val="auto"/>
          <w:kern w:val="0"/>
          <w:sz w:val="24"/>
          <w:szCs w:val="24"/>
          <w:highlight w:val="none"/>
        </w:rPr>
        <w:t>〔</w:t>
      </w:r>
      <w:r>
        <w:rPr>
          <w:rFonts w:eastAsia="仿宋_GB2312"/>
          <w:color w:val="auto"/>
          <w:kern w:val="0"/>
          <w:sz w:val="24"/>
          <w:szCs w:val="24"/>
          <w:highlight w:val="none"/>
        </w:rPr>
        <w:t>商定或确定</w:t>
      </w:r>
      <w:r>
        <w:rPr>
          <w:rFonts w:hint="eastAsia" w:eastAsia="仿宋_GB2312"/>
          <w:color w:val="auto"/>
          <w:kern w:val="0"/>
          <w:sz w:val="24"/>
          <w:szCs w:val="24"/>
          <w:highlight w:val="none"/>
        </w:rPr>
        <w:t>〕</w:t>
      </w:r>
      <w:r>
        <w:rPr>
          <w:rFonts w:eastAsia="仿宋_GB2312"/>
          <w:color w:val="auto"/>
          <w:kern w:val="0"/>
          <w:sz w:val="24"/>
          <w:szCs w:val="24"/>
          <w:highlight w:val="none"/>
        </w:rPr>
        <w:t>修改支付分解表；</w:t>
      </w:r>
    </w:p>
    <w:p w14:paraId="25BA8AC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（3）不采用支付分解表的，承包人应向发包人和监理人提交按季度编制的支付估算分解表，用于支付参考。</w:t>
      </w:r>
    </w:p>
    <w:p w14:paraId="32EE985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w:t>
      </w:r>
      <w:r>
        <w:rPr>
          <w:rFonts w:hint="eastAsia" w:eastAsia="仿宋_GB2312"/>
          <w:color w:val="auto"/>
          <w:kern w:val="0"/>
          <w:sz w:val="24"/>
          <w:szCs w:val="24"/>
          <w:highlight w:val="none"/>
        </w:rPr>
        <w:t>.</w:t>
      </w:r>
      <w:r>
        <w:rPr>
          <w:rFonts w:eastAsia="仿宋_GB2312"/>
          <w:color w:val="auto"/>
          <w:kern w:val="0"/>
          <w:sz w:val="24"/>
          <w:szCs w:val="24"/>
          <w:highlight w:val="none"/>
        </w:rPr>
        <w:t>总价合同支付分解表的编制与审批</w:t>
      </w:r>
    </w:p>
    <w:p w14:paraId="4F117661">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（1）除专用合同条款另有约定外，承包人应根据第7.2款</w:t>
      </w:r>
      <w:r>
        <w:rPr>
          <w:rFonts w:hint="eastAsia" w:eastAsia="仿宋_GB2312"/>
          <w:color w:val="auto"/>
          <w:kern w:val="0"/>
          <w:sz w:val="24"/>
          <w:szCs w:val="24"/>
          <w:highlight w:val="none"/>
        </w:rPr>
        <w:t>〔</w:t>
      </w:r>
      <w:r>
        <w:rPr>
          <w:rFonts w:eastAsia="仿宋_GB2312"/>
          <w:color w:val="auto"/>
          <w:kern w:val="0"/>
          <w:sz w:val="24"/>
          <w:szCs w:val="24"/>
          <w:highlight w:val="none"/>
        </w:rPr>
        <w:t>施工进度计划</w:t>
      </w:r>
      <w:r>
        <w:rPr>
          <w:rFonts w:hint="eastAsia" w:eastAsia="仿宋_GB2312"/>
          <w:color w:val="auto"/>
          <w:kern w:val="0"/>
          <w:sz w:val="24"/>
          <w:szCs w:val="24"/>
          <w:highlight w:val="none"/>
        </w:rPr>
        <w:t>〕</w:t>
      </w:r>
      <w:r>
        <w:rPr>
          <w:rFonts w:eastAsia="仿宋_GB2312"/>
          <w:color w:val="auto"/>
          <w:kern w:val="0"/>
          <w:sz w:val="24"/>
          <w:szCs w:val="24"/>
          <w:highlight w:val="none"/>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500AB45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131DDA58">
      <w:pPr>
        <w:spacing w:line="360" w:lineRule="auto"/>
        <w:jc w:val="left"/>
        <w:rPr>
          <w:rFonts w:eastAsia="仿宋_GB2312"/>
          <w:color w:val="auto"/>
          <w:kern w:val="0"/>
          <w:sz w:val="24"/>
          <w:szCs w:val="24"/>
          <w:highlight w:val="none"/>
        </w:rPr>
      </w:pPr>
      <w:r>
        <w:rPr>
          <w:rFonts w:eastAsia="仿宋_GB2312"/>
          <w:color w:val="auto"/>
          <w:kern w:val="0"/>
          <w:sz w:val="24"/>
          <w:szCs w:val="24"/>
          <w:highlight w:val="none"/>
        </w:rPr>
        <w:t xml:space="preserve">    （3）发包人逾期未完成支付分解表</w:t>
      </w:r>
      <w:r>
        <w:rPr>
          <w:rFonts w:hint="eastAsia" w:eastAsia="仿宋_GB2312"/>
          <w:color w:val="auto"/>
          <w:kern w:val="0"/>
          <w:sz w:val="24"/>
          <w:szCs w:val="24"/>
          <w:highlight w:val="none"/>
        </w:rPr>
        <w:t>审批</w:t>
      </w:r>
      <w:r>
        <w:rPr>
          <w:rFonts w:eastAsia="仿宋_GB2312"/>
          <w:color w:val="auto"/>
          <w:kern w:val="0"/>
          <w:sz w:val="24"/>
          <w:szCs w:val="24"/>
          <w:highlight w:val="none"/>
        </w:rPr>
        <w:t>的，也未及时要求承包人进行修正和提供补充资料的，则承包人提交的支付分解表视为已经获得发包人批准。</w:t>
      </w:r>
    </w:p>
    <w:p w14:paraId="335E3D20">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w:t>
      </w:r>
      <w:r>
        <w:rPr>
          <w:rFonts w:hint="eastAsia" w:eastAsia="仿宋_GB2312"/>
          <w:color w:val="auto"/>
          <w:kern w:val="0"/>
          <w:sz w:val="24"/>
          <w:szCs w:val="24"/>
          <w:highlight w:val="none"/>
        </w:rPr>
        <w:t>.</w:t>
      </w:r>
      <w:r>
        <w:rPr>
          <w:rFonts w:eastAsia="仿宋_GB2312"/>
          <w:color w:val="auto"/>
          <w:kern w:val="0"/>
          <w:sz w:val="24"/>
          <w:szCs w:val="24"/>
          <w:highlight w:val="none"/>
        </w:rPr>
        <w:t>单价合同的总价项目支付分解表的编制与审批</w:t>
      </w:r>
    </w:p>
    <w:p w14:paraId="5103EAE6">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BDFFB0B">
      <w:pPr>
        <w:pStyle w:val="7"/>
        <w:spacing w:before="120" w:after="120" w:line="360" w:lineRule="auto"/>
        <w:ind w:firstLine="480" w:firstLineChars="200"/>
        <w:rPr>
          <w:rFonts w:eastAsia="黑体"/>
          <w:b w:val="0"/>
          <w:color w:val="auto"/>
          <w:sz w:val="24"/>
          <w:szCs w:val="24"/>
          <w:highlight w:val="none"/>
        </w:rPr>
      </w:pPr>
      <w:bookmarkStart w:id="324" w:name="_Toc32835694"/>
      <w:r>
        <w:rPr>
          <w:rFonts w:eastAsia="黑体"/>
          <w:b w:val="0"/>
          <w:color w:val="auto"/>
          <w:sz w:val="24"/>
          <w:szCs w:val="24"/>
          <w:highlight w:val="none"/>
        </w:rPr>
        <w:t>12.5支付账户</w:t>
      </w:r>
      <w:bookmarkEnd w:id="324"/>
    </w:p>
    <w:p w14:paraId="66C9265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发包人应将合同价款支付至合同协议书中约定的承包人账户。</w:t>
      </w:r>
    </w:p>
    <w:p w14:paraId="7E4B0FDE">
      <w:pPr>
        <w:pStyle w:val="6"/>
        <w:spacing w:before="120" w:after="120" w:line="360" w:lineRule="auto"/>
        <w:rPr>
          <w:rFonts w:ascii="Times New Roman" w:hAnsi="Times New Roman" w:eastAsia="黑体"/>
          <w:b w:val="0"/>
          <w:color w:val="auto"/>
          <w:sz w:val="24"/>
          <w:szCs w:val="24"/>
          <w:highlight w:val="none"/>
        </w:rPr>
      </w:pPr>
      <w:bookmarkStart w:id="325" w:name="_Toc32835695"/>
      <w:bookmarkStart w:id="326" w:name="_Toc322522574"/>
      <w:bookmarkStart w:id="327" w:name="_Toc296503106"/>
      <w:bookmarkStart w:id="328" w:name="_Toc296346607"/>
      <w:bookmarkStart w:id="329" w:name="_Toc337558804"/>
      <w:r>
        <w:rPr>
          <w:rFonts w:ascii="Times New Roman" w:hAnsi="Times New Roman" w:eastAsia="黑体"/>
          <w:b w:val="0"/>
          <w:color w:val="auto"/>
          <w:sz w:val="24"/>
          <w:szCs w:val="24"/>
          <w:highlight w:val="none"/>
        </w:rPr>
        <w:t>13. 验收和工程试车</w:t>
      </w:r>
      <w:bookmarkEnd w:id="325"/>
    </w:p>
    <w:bookmarkEnd w:id="326"/>
    <w:bookmarkEnd w:id="327"/>
    <w:bookmarkEnd w:id="328"/>
    <w:bookmarkEnd w:id="329"/>
    <w:p w14:paraId="7E47AB33">
      <w:pPr>
        <w:pStyle w:val="7"/>
        <w:spacing w:before="120" w:after="120" w:line="360" w:lineRule="auto"/>
        <w:ind w:firstLine="480" w:firstLineChars="200"/>
        <w:rPr>
          <w:rFonts w:eastAsia="黑体"/>
          <w:b w:val="0"/>
          <w:color w:val="auto"/>
          <w:sz w:val="24"/>
          <w:szCs w:val="24"/>
          <w:highlight w:val="none"/>
        </w:rPr>
      </w:pPr>
      <w:bookmarkStart w:id="330" w:name="_Toc32835696"/>
      <w:bookmarkStart w:id="331" w:name="_Toc337558805"/>
      <w:bookmarkStart w:id="332" w:name="_Toc296503110"/>
      <w:bookmarkStart w:id="333" w:name="_Toc296346611"/>
      <w:r>
        <w:rPr>
          <w:rFonts w:eastAsia="黑体"/>
          <w:b w:val="0"/>
          <w:color w:val="auto"/>
          <w:sz w:val="24"/>
          <w:szCs w:val="24"/>
          <w:highlight w:val="none"/>
        </w:rPr>
        <w:t>13.1分部分项工程验收</w:t>
      </w:r>
      <w:bookmarkEnd w:id="330"/>
    </w:p>
    <w:bookmarkEnd w:id="331"/>
    <w:p w14:paraId="66EA2A26">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13.1.1 分部分项工程质量应符合国家有关工程施工验收规范、标准及合同约定，承包人应按照施工组织设计的要求完成分部分项工程施工。</w:t>
      </w:r>
    </w:p>
    <w:p w14:paraId="23B621B4">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13.1.2 除专用合同条款另有约定外，分部分项工程经承包人自检合格并具备验收条件的，承包人应提前48小时通知监理人进行验收。</w:t>
      </w:r>
      <w:r>
        <w:rPr>
          <w:rFonts w:eastAsia="仿宋_GB2312"/>
          <w:color w:val="auto"/>
          <w:kern w:val="0"/>
          <w:sz w:val="24"/>
          <w:szCs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eastAsia="仿宋_GB2312"/>
          <w:color w:val="auto"/>
          <w:sz w:val="24"/>
          <w:szCs w:val="24"/>
          <w:highlight w:val="none"/>
        </w:rPr>
        <w:t>分部分项工程未经验收的，不得进入下一道工序施工。</w:t>
      </w:r>
    </w:p>
    <w:p w14:paraId="4EEFA32D">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分部分项工程的验收资料应当作为竣工资料的组成部分。</w:t>
      </w:r>
    </w:p>
    <w:p w14:paraId="2C855549">
      <w:pPr>
        <w:pStyle w:val="7"/>
        <w:spacing w:before="120" w:after="120" w:line="360" w:lineRule="auto"/>
        <w:ind w:firstLine="480" w:firstLineChars="200"/>
        <w:rPr>
          <w:rFonts w:eastAsia="黑体"/>
          <w:b w:val="0"/>
          <w:color w:val="auto"/>
          <w:sz w:val="24"/>
          <w:szCs w:val="24"/>
          <w:highlight w:val="none"/>
        </w:rPr>
      </w:pPr>
      <w:bookmarkStart w:id="334" w:name="_Toc32835697"/>
      <w:bookmarkStart w:id="335" w:name="_Toc337558806"/>
      <w:r>
        <w:rPr>
          <w:rFonts w:eastAsia="黑体"/>
          <w:b w:val="0"/>
          <w:color w:val="auto"/>
          <w:sz w:val="24"/>
          <w:szCs w:val="24"/>
          <w:highlight w:val="none"/>
        </w:rPr>
        <w:t>13.2竣工验收</w:t>
      </w:r>
      <w:bookmarkEnd w:id="334"/>
    </w:p>
    <w:bookmarkEnd w:id="332"/>
    <w:bookmarkEnd w:id="333"/>
    <w:bookmarkEnd w:id="335"/>
    <w:p w14:paraId="6337A71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13.2.1竣工验收条件</w:t>
      </w:r>
    </w:p>
    <w:p w14:paraId="6784390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工程具备以下条件的，承包人可以申请竣工验收：</w:t>
      </w:r>
    </w:p>
    <w:p w14:paraId="229906DE">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（1）除发包人同意的甩项</w:t>
      </w:r>
      <w:r>
        <w:rPr>
          <w:rFonts w:hint="eastAsia" w:eastAsia="仿宋_GB2312"/>
          <w:color w:val="auto"/>
          <w:kern w:val="0"/>
          <w:sz w:val="24"/>
          <w:szCs w:val="24"/>
          <w:highlight w:val="none"/>
        </w:rPr>
        <w:t>工作</w:t>
      </w:r>
      <w:r>
        <w:rPr>
          <w:rFonts w:eastAsia="仿宋_GB2312"/>
          <w:color w:val="auto"/>
          <w:kern w:val="0"/>
          <w:sz w:val="24"/>
          <w:szCs w:val="24"/>
          <w:highlight w:val="none"/>
        </w:rPr>
        <w:t>和缺陷修补工作外，合同范围内的全部工程以及有关工作，包括合同要求的试验、试运行以及检验均已完成，并符合合同要求；</w:t>
      </w:r>
    </w:p>
    <w:p w14:paraId="563AE586">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（2）已按合同约定编制了甩项</w:t>
      </w:r>
      <w:r>
        <w:rPr>
          <w:rFonts w:hint="eastAsia" w:eastAsia="仿宋_GB2312"/>
          <w:color w:val="auto"/>
          <w:kern w:val="0"/>
          <w:sz w:val="24"/>
          <w:szCs w:val="24"/>
          <w:highlight w:val="none"/>
        </w:rPr>
        <w:t>工作</w:t>
      </w:r>
      <w:r>
        <w:rPr>
          <w:rFonts w:eastAsia="仿宋_GB2312"/>
          <w:color w:val="auto"/>
          <w:kern w:val="0"/>
          <w:sz w:val="24"/>
          <w:szCs w:val="24"/>
          <w:highlight w:val="none"/>
        </w:rPr>
        <w:t>和缺陷修补工作清单以及相应的施工计划；</w:t>
      </w:r>
    </w:p>
    <w:p w14:paraId="3154A7F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（3）已按合同约定的内容和份数备齐竣工资料。</w:t>
      </w:r>
    </w:p>
    <w:p w14:paraId="4763D3A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13.2.2竣工验收程序</w:t>
      </w:r>
    </w:p>
    <w:p w14:paraId="339D39D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除专用合同条款另有约定外，承包人申请竣工验收的，应当按照以下程序进行：</w:t>
      </w:r>
    </w:p>
    <w:p w14:paraId="2C605ED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B31A131">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（2）监理人审查后认为已具备竣工验收条件的，应将竣工验收申请报告提交发包人，发包人应在收到</w:t>
      </w:r>
      <w:r>
        <w:rPr>
          <w:rFonts w:hint="eastAsia" w:eastAsia="仿宋_GB2312"/>
          <w:color w:val="auto"/>
          <w:kern w:val="0"/>
          <w:sz w:val="24"/>
          <w:szCs w:val="24"/>
          <w:highlight w:val="none"/>
        </w:rPr>
        <w:t>经</w:t>
      </w:r>
      <w:r>
        <w:rPr>
          <w:rFonts w:eastAsia="仿宋_GB2312"/>
          <w:color w:val="auto"/>
          <w:kern w:val="0"/>
          <w:sz w:val="24"/>
          <w:szCs w:val="24"/>
          <w:highlight w:val="none"/>
        </w:rPr>
        <w:t>监理人审核的竣工验收申请报告后28天内</w:t>
      </w:r>
      <w:r>
        <w:rPr>
          <w:rFonts w:hint="eastAsia" w:eastAsia="仿宋_GB2312"/>
          <w:color w:val="auto"/>
          <w:kern w:val="0"/>
          <w:sz w:val="24"/>
          <w:szCs w:val="24"/>
          <w:highlight w:val="none"/>
        </w:rPr>
        <w:t>审批</w:t>
      </w:r>
      <w:r>
        <w:rPr>
          <w:rFonts w:eastAsia="仿宋_GB2312"/>
          <w:color w:val="auto"/>
          <w:kern w:val="0"/>
          <w:sz w:val="24"/>
          <w:szCs w:val="24"/>
          <w:highlight w:val="none"/>
        </w:rPr>
        <w:t>完毕并组织监理人、承包人、设计人等相关单位完成竣工验收。</w:t>
      </w:r>
    </w:p>
    <w:p w14:paraId="09548AF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53A33A9A">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FCFFB0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5143470">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30405BD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13.2.3竣工日期</w:t>
      </w:r>
    </w:p>
    <w:p w14:paraId="21CE872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w:t>
      </w:r>
      <w:r>
        <w:rPr>
          <w:rFonts w:hint="eastAsia" w:eastAsia="仿宋_GB2312"/>
          <w:color w:val="auto"/>
          <w:kern w:val="0"/>
          <w:sz w:val="24"/>
          <w:szCs w:val="24"/>
          <w:highlight w:val="none"/>
        </w:rPr>
        <w:t>竣工</w:t>
      </w:r>
      <w:r>
        <w:rPr>
          <w:rFonts w:eastAsia="仿宋_GB2312"/>
          <w:color w:val="auto"/>
          <w:kern w:val="0"/>
          <w:sz w:val="24"/>
          <w:szCs w:val="24"/>
          <w:highlight w:val="none"/>
        </w:rPr>
        <w:t>验收</w:t>
      </w:r>
      <w:r>
        <w:rPr>
          <w:rFonts w:hint="eastAsia" w:eastAsia="仿宋_GB2312"/>
          <w:color w:val="auto"/>
          <w:kern w:val="0"/>
          <w:sz w:val="24"/>
          <w:szCs w:val="24"/>
          <w:highlight w:val="none"/>
        </w:rPr>
        <w:t>，或完成竣工验收不予签发工程接收证书</w:t>
      </w:r>
      <w:r>
        <w:rPr>
          <w:rFonts w:eastAsia="仿宋_GB2312"/>
          <w:color w:val="auto"/>
          <w:kern w:val="0"/>
          <w:sz w:val="24"/>
          <w:szCs w:val="24"/>
          <w:highlight w:val="none"/>
        </w:rPr>
        <w:t>的，以提交竣工验</w:t>
      </w:r>
      <w:bookmarkStart w:id="336" w:name="#go14"/>
      <w:bookmarkEnd w:id="336"/>
      <w:r>
        <w:rPr>
          <w:rFonts w:eastAsia="仿宋_GB2312"/>
          <w:color w:val="auto"/>
          <w:kern w:val="0"/>
          <w:sz w:val="24"/>
          <w:szCs w:val="24"/>
          <w:highlight w:val="none"/>
        </w:rPr>
        <w:t>收申请报告的日期为实际竣工日期；工程未经竣工验收，发包人擅自使用的，以转移占有工程之日为实际竣工日期。</w:t>
      </w:r>
    </w:p>
    <w:p w14:paraId="62F79970">
      <w:pPr>
        <w:spacing w:line="360" w:lineRule="auto"/>
        <w:ind w:firstLine="480" w:firstLineChars="200"/>
        <w:jc w:val="left"/>
        <w:outlineLvl w:val="0"/>
        <w:rPr>
          <w:rFonts w:eastAsia="仿宋_GB2312"/>
          <w:color w:val="auto"/>
          <w:kern w:val="0"/>
          <w:sz w:val="24"/>
          <w:szCs w:val="24"/>
          <w:highlight w:val="none"/>
        </w:rPr>
      </w:pPr>
      <w:bookmarkStart w:id="337" w:name="_Toc32835698"/>
      <w:r>
        <w:rPr>
          <w:rFonts w:eastAsia="仿宋_GB2312"/>
          <w:color w:val="auto"/>
          <w:kern w:val="0"/>
          <w:sz w:val="24"/>
          <w:szCs w:val="24"/>
          <w:highlight w:val="none"/>
        </w:rPr>
        <w:t>13.2.4 拒绝接收全部或部分工程</w:t>
      </w:r>
      <w:bookmarkEnd w:id="337"/>
    </w:p>
    <w:p w14:paraId="3834C7E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对于竣工验收不合格的工程，承包人完成整改后，</w:t>
      </w:r>
      <w:r>
        <w:rPr>
          <w:rFonts w:hint="eastAsia" w:eastAsia="仿宋_GB2312"/>
          <w:color w:val="auto"/>
          <w:kern w:val="0"/>
          <w:sz w:val="24"/>
          <w:szCs w:val="24"/>
          <w:highlight w:val="none"/>
        </w:rPr>
        <w:t>应当</w:t>
      </w:r>
      <w:r>
        <w:rPr>
          <w:rFonts w:eastAsia="仿宋_GB2312"/>
          <w:color w:val="auto"/>
          <w:kern w:val="0"/>
          <w:sz w:val="24"/>
          <w:szCs w:val="24"/>
          <w:highlight w:val="non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04B4099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13.2.5 移交、接收全部与部分工程</w:t>
      </w:r>
    </w:p>
    <w:p w14:paraId="17FE351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除专用合同条款另有约定外，</w:t>
      </w:r>
      <w:r>
        <w:rPr>
          <w:rFonts w:eastAsia="仿宋_GB2312"/>
          <w:color w:val="auto"/>
          <w:kern w:val="0"/>
          <w:sz w:val="24"/>
          <w:szCs w:val="24"/>
          <w:highlight w:val="none"/>
        </w:rPr>
        <w:t>合同当事人应当在颁发工程接收证书</w:t>
      </w:r>
      <w:r>
        <w:rPr>
          <w:rFonts w:hint="eastAsia" w:eastAsia="仿宋_GB2312"/>
          <w:color w:val="auto"/>
          <w:kern w:val="0"/>
          <w:sz w:val="24"/>
          <w:szCs w:val="24"/>
          <w:highlight w:val="none"/>
        </w:rPr>
        <w:t>后7天内</w:t>
      </w:r>
      <w:r>
        <w:rPr>
          <w:rFonts w:eastAsia="仿宋_GB2312"/>
          <w:color w:val="auto"/>
          <w:kern w:val="0"/>
          <w:sz w:val="24"/>
          <w:szCs w:val="24"/>
          <w:highlight w:val="none"/>
        </w:rPr>
        <w:t>完成工程的移交。</w:t>
      </w:r>
    </w:p>
    <w:p w14:paraId="3B6DF52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发包人无正当理由不接收工程的，发包人自</w:t>
      </w:r>
      <w:r>
        <w:rPr>
          <w:rFonts w:hint="eastAsia" w:eastAsia="仿宋_GB2312"/>
          <w:color w:val="auto"/>
          <w:kern w:val="0"/>
          <w:sz w:val="24"/>
          <w:szCs w:val="24"/>
          <w:highlight w:val="none"/>
        </w:rPr>
        <w:t>应当接收工程</w:t>
      </w:r>
      <w:r>
        <w:rPr>
          <w:rFonts w:eastAsia="仿宋_GB2312"/>
          <w:color w:val="auto"/>
          <w:kern w:val="0"/>
          <w:sz w:val="24"/>
          <w:szCs w:val="24"/>
          <w:highlight w:val="none"/>
        </w:rPr>
        <w:t>之日起，承担工程照管、成品保护、保管等与工程有关的各项费用</w:t>
      </w:r>
      <w:r>
        <w:rPr>
          <w:rFonts w:hint="eastAsia" w:eastAsia="仿宋_GB2312"/>
          <w:color w:val="auto"/>
          <w:kern w:val="0"/>
          <w:sz w:val="24"/>
          <w:szCs w:val="24"/>
          <w:highlight w:val="none"/>
        </w:rPr>
        <w:t>，合同当事人可以在专用合同条款中另行约定发包人逾期接收工程的违约责任</w:t>
      </w:r>
      <w:r>
        <w:rPr>
          <w:rFonts w:eastAsia="仿宋_GB2312"/>
          <w:color w:val="auto"/>
          <w:kern w:val="0"/>
          <w:sz w:val="24"/>
          <w:szCs w:val="24"/>
          <w:highlight w:val="none"/>
        </w:rPr>
        <w:t>。</w:t>
      </w:r>
    </w:p>
    <w:p w14:paraId="12EAD42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承包人无正当理由不移交工程的，</w:t>
      </w:r>
      <w:r>
        <w:rPr>
          <w:rFonts w:hint="eastAsia" w:eastAsia="仿宋_GB2312"/>
          <w:color w:val="auto"/>
          <w:kern w:val="0"/>
          <w:sz w:val="24"/>
          <w:szCs w:val="24"/>
          <w:highlight w:val="none"/>
        </w:rPr>
        <w:t>承包人应承担</w:t>
      </w:r>
      <w:r>
        <w:rPr>
          <w:rFonts w:eastAsia="仿宋_GB2312"/>
          <w:color w:val="auto"/>
          <w:kern w:val="0"/>
          <w:sz w:val="24"/>
          <w:szCs w:val="24"/>
          <w:highlight w:val="none"/>
        </w:rPr>
        <w:t>工程照管、成品保护、保管等与工程有关的各项费用</w:t>
      </w:r>
      <w:r>
        <w:rPr>
          <w:rFonts w:hint="eastAsia" w:eastAsia="仿宋_GB2312"/>
          <w:color w:val="auto"/>
          <w:kern w:val="0"/>
          <w:sz w:val="24"/>
          <w:szCs w:val="24"/>
          <w:highlight w:val="none"/>
        </w:rPr>
        <w:t>，合同当事人可以在专用合同条款中另行约定承包人无正当理由不移交工程的违约责任</w:t>
      </w:r>
      <w:r>
        <w:rPr>
          <w:rFonts w:eastAsia="仿宋_GB2312"/>
          <w:color w:val="auto"/>
          <w:kern w:val="0"/>
          <w:sz w:val="24"/>
          <w:szCs w:val="24"/>
          <w:highlight w:val="none"/>
        </w:rPr>
        <w:t>。</w:t>
      </w:r>
    </w:p>
    <w:p w14:paraId="4C7CB2C5">
      <w:pPr>
        <w:pStyle w:val="7"/>
        <w:spacing w:before="120" w:after="120" w:line="360" w:lineRule="auto"/>
        <w:ind w:firstLine="480" w:firstLineChars="200"/>
        <w:rPr>
          <w:rFonts w:eastAsia="黑体"/>
          <w:b w:val="0"/>
          <w:color w:val="auto"/>
          <w:sz w:val="24"/>
          <w:szCs w:val="24"/>
          <w:highlight w:val="none"/>
        </w:rPr>
      </w:pPr>
      <w:bookmarkStart w:id="338" w:name="_Toc32835699"/>
      <w:bookmarkStart w:id="339" w:name="_Toc337558807"/>
      <w:bookmarkStart w:id="340" w:name="_Toc296346612"/>
      <w:bookmarkStart w:id="341" w:name="_Toc296503111"/>
      <w:r>
        <w:rPr>
          <w:rFonts w:eastAsia="黑体"/>
          <w:b w:val="0"/>
          <w:color w:val="auto"/>
          <w:sz w:val="24"/>
          <w:szCs w:val="24"/>
          <w:highlight w:val="none"/>
        </w:rPr>
        <w:t>13.3工程试车</w:t>
      </w:r>
      <w:bookmarkEnd w:id="338"/>
    </w:p>
    <w:bookmarkEnd w:id="339"/>
    <w:bookmarkEnd w:id="340"/>
    <w:bookmarkEnd w:id="341"/>
    <w:p w14:paraId="00D7EB4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13.3.1试车程序</w:t>
      </w:r>
    </w:p>
    <w:p w14:paraId="7D11200A">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工程需要试车的，除专用合同条款另有约定外，试车内容应与承包人承包范围相一致，试车费用由承包人承担。工程试车应按如下程序进行：</w:t>
      </w:r>
    </w:p>
    <w:p w14:paraId="07F79A5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297136B3">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7B00C6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D6C5A3F">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13.3.2 试车中的责任</w:t>
      </w:r>
    </w:p>
    <w:p w14:paraId="25413A84">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7A0FD84">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8F1315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13.3.3 投料试车</w:t>
      </w:r>
    </w:p>
    <w:p w14:paraId="2D4B872E">
      <w:pPr>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如需进行投料试车的，</w:t>
      </w:r>
      <w:r>
        <w:rPr>
          <w:rFonts w:eastAsia="仿宋_GB2312"/>
          <w:color w:val="auto"/>
          <w:kern w:val="0"/>
          <w:sz w:val="24"/>
          <w:szCs w:val="24"/>
          <w:highlight w:val="none"/>
        </w:rPr>
        <w:t>发包人</w:t>
      </w:r>
      <w:r>
        <w:rPr>
          <w:rFonts w:hint="eastAsia" w:eastAsia="仿宋_GB2312"/>
          <w:color w:val="auto"/>
          <w:kern w:val="0"/>
          <w:sz w:val="24"/>
          <w:szCs w:val="24"/>
          <w:highlight w:val="none"/>
        </w:rPr>
        <w:t>应在</w:t>
      </w:r>
      <w:r>
        <w:rPr>
          <w:rFonts w:eastAsia="仿宋_GB2312"/>
          <w:color w:val="auto"/>
          <w:kern w:val="0"/>
          <w:sz w:val="24"/>
          <w:szCs w:val="24"/>
          <w:highlight w:val="none"/>
        </w:rPr>
        <w:t>工程竣工验收后</w:t>
      </w:r>
      <w:r>
        <w:rPr>
          <w:rFonts w:hint="eastAsia" w:eastAsia="仿宋_GB2312"/>
          <w:color w:val="auto"/>
          <w:kern w:val="0"/>
          <w:sz w:val="24"/>
          <w:szCs w:val="24"/>
          <w:highlight w:val="none"/>
        </w:rPr>
        <w:t>组织</w:t>
      </w:r>
      <w:r>
        <w:rPr>
          <w:rFonts w:eastAsia="仿宋_GB2312"/>
          <w:color w:val="auto"/>
          <w:kern w:val="0"/>
          <w:sz w:val="24"/>
          <w:szCs w:val="24"/>
          <w:highlight w:val="none"/>
        </w:rPr>
        <w:t>投料试车</w:t>
      </w:r>
      <w:r>
        <w:rPr>
          <w:rFonts w:hint="eastAsia" w:eastAsia="仿宋_GB2312"/>
          <w:color w:val="auto"/>
          <w:kern w:val="0"/>
          <w:sz w:val="24"/>
          <w:szCs w:val="24"/>
          <w:highlight w:val="none"/>
        </w:rPr>
        <w:t>。</w:t>
      </w:r>
      <w:r>
        <w:rPr>
          <w:rFonts w:eastAsia="仿宋_GB2312"/>
          <w:color w:val="auto"/>
          <w:kern w:val="0"/>
          <w:sz w:val="24"/>
          <w:szCs w:val="24"/>
          <w:highlight w:val="none"/>
        </w:rPr>
        <w:t>发包人要求在工程竣工验收前进行或需要承包人配合时，应征得承包人同意</w:t>
      </w:r>
      <w:r>
        <w:rPr>
          <w:rFonts w:hint="eastAsia" w:eastAsia="仿宋_GB2312"/>
          <w:color w:val="auto"/>
          <w:kern w:val="0"/>
          <w:sz w:val="24"/>
          <w:szCs w:val="24"/>
          <w:highlight w:val="none"/>
        </w:rPr>
        <w:t>，并在专用合同条款中约定有关事项</w:t>
      </w:r>
      <w:r>
        <w:rPr>
          <w:rFonts w:eastAsia="仿宋_GB2312"/>
          <w:color w:val="auto"/>
          <w:kern w:val="0"/>
          <w:sz w:val="24"/>
          <w:szCs w:val="24"/>
          <w:highlight w:val="none"/>
        </w:rPr>
        <w:t>。</w:t>
      </w:r>
    </w:p>
    <w:p w14:paraId="6AC85EB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w:t>
      </w:r>
      <w:r>
        <w:rPr>
          <w:rFonts w:hint="eastAsia" w:eastAsia="仿宋_GB2312"/>
          <w:color w:val="auto"/>
          <w:kern w:val="0"/>
          <w:sz w:val="24"/>
          <w:szCs w:val="24"/>
          <w:highlight w:val="none"/>
        </w:rPr>
        <w:t>如</w:t>
      </w:r>
      <w:r>
        <w:rPr>
          <w:rFonts w:eastAsia="仿宋_GB2312"/>
          <w:color w:val="auto"/>
          <w:kern w:val="0"/>
          <w:sz w:val="24"/>
          <w:szCs w:val="24"/>
          <w:highlight w:val="none"/>
        </w:rPr>
        <w:t>发包人要求承包人进行整改</w:t>
      </w:r>
      <w:r>
        <w:rPr>
          <w:rFonts w:hint="eastAsia" w:eastAsia="仿宋_GB2312"/>
          <w:color w:val="auto"/>
          <w:kern w:val="0"/>
          <w:sz w:val="24"/>
          <w:szCs w:val="24"/>
          <w:highlight w:val="none"/>
        </w:rPr>
        <w:t>的</w:t>
      </w:r>
      <w:r>
        <w:rPr>
          <w:rFonts w:eastAsia="仿宋_GB2312"/>
          <w:color w:val="auto"/>
          <w:kern w:val="0"/>
          <w:sz w:val="24"/>
          <w:szCs w:val="24"/>
          <w:highlight w:val="none"/>
        </w:rPr>
        <w:t>，由此产生的费用由发包人承担。</w:t>
      </w:r>
    </w:p>
    <w:p w14:paraId="3304C4AB">
      <w:pPr>
        <w:pStyle w:val="7"/>
        <w:spacing w:before="120" w:after="120" w:line="360" w:lineRule="auto"/>
        <w:rPr>
          <w:rFonts w:eastAsia="黑体"/>
          <w:b w:val="0"/>
          <w:color w:val="auto"/>
          <w:sz w:val="24"/>
          <w:szCs w:val="24"/>
          <w:highlight w:val="none"/>
        </w:rPr>
      </w:pPr>
      <w:bookmarkStart w:id="342" w:name="_Toc337558808"/>
      <w:r>
        <w:rPr>
          <w:rFonts w:eastAsia="黑体"/>
          <w:b w:val="0"/>
          <w:color w:val="auto"/>
          <w:sz w:val="24"/>
          <w:szCs w:val="24"/>
          <w:highlight w:val="none"/>
        </w:rPr>
        <w:t xml:space="preserve">    </w:t>
      </w:r>
      <w:bookmarkStart w:id="343" w:name="_Toc32835700"/>
      <w:r>
        <w:rPr>
          <w:rFonts w:eastAsia="黑体"/>
          <w:b w:val="0"/>
          <w:color w:val="auto"/>
          <w:sz w:val="24"/>
          <w:szCs w:val="24"/>
          <w:highlight w:val="none"/>
        </w:rPr>
        <w:t>13.4提前交付单位工程的验收</w:t>
      </w:r>
      <w:bookmarkEnd w:id="343"/>
    </w:p>
    <w:bookmarkEnd w:id="342"/>
    <w:p w14:paraId="21600AB4">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13.4.1 发包人需要在工程竣工前使用单位工程的，或承包人提出提前交付已经竣工的单位工程且经发包人同意的，可进行单位工程验收，验收的程序按照第13.2款</w:t>
      </w:r>
      <w:r>
        <w:rPr>
          <w:rFonts w:hint="eastAsia" w:eastAsia="仿宋_GB2312"/>
          <w:color w:val="auto"/>
          <w:kern w:val="0"/>
          <w:sz w:val="24"/>
          <w:szCs w:val="24"/>
          <w:highlight w:val="none"/>
        </w:rPr>
        <w:t>〔</w:t>
      </w:r>
      <w:r>
        <w:rPr>
          <w:rFonts w:eastAsia="仿宋_GB2312"/>
          <w:color w:val="auto"/>
          <w:kern w:val="0"/>
          <w:sz w:val="24"/>
          <w:szCs w:val="24"/>
          <w:highlight w:val="none"/>
        </w:rPr>
        <w:t>竣工验收</w:t>
      </w:r>
      <w:r>
        <w:rPr>
          <w:rFonts w:hint="eastAsia" w:eastAsia="仿宋_GB2312"/>
          <w:color w:val="auto"/>
          <w:kern w:val="0"/>
          <w:sz w:val="24"/>
          <w:szCs w:val="24"/>
          <w:highlight w:val="none"/>
        </w:rPr>
        <w:t>〕</w:t>
      </w:r>
      <w:r>
        <w:rPr>
          <w:rFonts w:eastAsia="仿宋_GB2312"/>
          <w:color w:val="auto"/>
          <w:kern w:val="0"/>
          <w:sz w:val="24"/>
          <w:szCs w:val="24"/>
          <w:highlight w:val="none"/>
        </w:rPr>
        <w:t>的约定进行。</w:t>
      </w:r>
    </w:p>
    <w:p w14:paraId="3E2C211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4F506C6">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14:paraId="787C8380">
      <w:pPr>
        <w:pStyle w:val="7"/>
        <w:spacing w:before="120" w:after="120" w:line="360" w:lineRule="auto"/>
        <w:ind w:firstLine="480" w:firstLineChars="200"/>
        <w:rPr>
          <w:rFonts w:eastAsia="黑体"/>
          <w:b w:val="0"/>
          <w:color w:val="auto"/>
          <w:sz w:val="24"/>
          <w:szCs w:val="24"/>
          <w:highlight w:val="none"/>
        </w:rPr>
      </w:pPr>
      <w:bookmarkStart w:id="344" w:name="_Toc32835701"/>
      <w:r>
        <w:rPr>
          <w:rFonts w:eastAsia="黑体"/>
          <w:b w:val="0"/>
          <w:color w:val="auto"/>
          <w:sz w:val="24"/>
          <w:szCs w:val="24"/>
          <w:highlight w:val="none"/>
        </w:rPr>
        <w:t>13.5 施工期运行</w:t>
      </w:r>
      <w:bookmarkEnd w:id="344"/>
    </w:p>
    <w:p w14:paraId="4318BC51">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13.5.1 施工期运行是指合同工程尚未全部竣工，其中某项或某几项单位工程或工程设备安装已竣工，根据专用合同条款约定，需要投入施工期运行的，经发包人按第13.4款</w:t>
      </w:r>
      <w:r>
        <w:rPr>
          <w:rFonts w:hint="eastAsia" w:eastAsia="仿宋_GB2312"/>
          <w:color w:val="auto"/>
          <w:kern w:val="0"/>
          <w:sz w:val="24"/>
          <w:szCs w:val="24"/>
          <w:highlight w:val="none"/>
        </w:rPr>
        <w:t>〔</w:t>
      </w:r>
      <w:r>
        <w:rPr>
          <w:rFonts w:eastAsia="仿宋_GB2312"/>
          <w:color w:val="auto"/>
          <w:kern w:val="0"/>
          <w:sz w:val="24"/>
          <w:szCs w:val="24"/>
          <w:highlight w:val="none"/>
        </w:rPr>
        <w:t>提前交付单位工程的验收</w:t>
      </w:r>
      <w:r>
        <w:rPr>
          <w:rFonts w:hint="eastAsia" w:eastAsia="仿宋_GB2312"/>
          <w:color w:val="auto"/>
          <w:kern w:val="0"/>
          <w:sz w:val="24"/>
          <w:szCs w:val="24"/>
          <w:highlight w:val="none"/>
        </w:rPr>
        <w:t>〕</w:t>
      </w:r>
      <w:r>
        <w:rPr>
          <w:rFonts w:eastAsia="仿宋_GB2312"/>
          <w:color w:val="auto"/>
          <w:kern w:val="0"/>
          <w:sz w:val="24"/>
          <w:szCs w:val="24"/>
          <w:highlight w:val="none"/>
        </w:rPr>
        <w:t>的约定验收合格，证明能确保安全后，才能在施工期投入运行。</w:t>
      </w:r>
    </w:p>
    <w:p w14:paraId="65A318EE">
      <w:pPr>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13.5.2 在施工期运行中发现工程或工程设备损坏或存在缺陷的，由承包人按第15.2款</w:t>
      </w:r>
      <w:r>
        <w:rPr>
          <w:rFonts w:hint="eastAsia" w:eastAsia="仿宋_GB2312"/>
          <w:color w:val="auto"/>
          <w:kern w:val="0"/>
          <w:sz w:val="24"/>
          <w:szCs w:val="24"/>
          <w:highlight w:val="none"/>
        </w:rPr>
        <w:t>〔</w:t>
      </w:r>
      <w:r>
        <w:rPr>
          <w:rFonts w:eastAsia="仿宋_GB2312"/>
          <w:color w:val="auto"/>
          <w:kern w:val="0"/>
          <w:sz w:val="24"/>
          <w:szCs w:val="24"/>
          <w:highlight w:val="none"/>
        </w:rPr>
        <w:t>缺陷责任期</w:t>
      </w:r>
      <w:r>
        <w:rPr>
          <w:rFonts w:hint="eastAsia" w:eastAsia="仿宋_GB2312"/>
          <w:color w:val="auto"/>
          <w:kern w:val="0"/>
          <w:sz w:val="24"/>
          <w:szCs w:val="24"/>
          <w:highlight w:val="none"/>
        </w:rPr>
        <w:t>〕</w:t>
      </w:r>
      <w:r>
        <w:rPr>
          <w:rFonts w:eastAsia="仿宋_GB2312"/>
          <w:color w:val="auto"/>
          <w:kern w:val="0"/>
          <w:sz w:val="24"/>
          <w:szCs w:val="24"/>
          <w:highlight w:val="none"/>
        </w:rPr>
        <w:t>约定进行修复。</w:t>
      </w:r>
    </w:p>
    <w:p w14:paraId="1FA20D30">
      <w:pPr>
        <w:pStyle w:val="7"/>
        <w:spacing w:before="120" w:after="120" w:line="360" w:lineRule="auto"/>
        <w:ind w:firstLine="480" w:firstLineChars="200"/>
        <w:rPr>
          <w:rFonts w:eastAsia="黑体"/>
          <w:b w:val="0"/>
          <w:color w:val="auto"/>
          <w:sz w:val="24"/>
          <w:szCs w:val="24"/>
          <w:highlight w:val="none"/>
        </w:rPr>
      </w:pPr>
      <w:bookmarkStart w:id="345" w:name="_Toc296346613"/>
      <w:bookmarkStart w:id="346" w:name="_Toc296503112"/>
      <w:bookmarkStart w:id="347" w:name="_Toc32835702"/>
      <w:bookmarkStart w:id="348" w:name="_Toc337558809"/>
      <w:r>
        <w:rPr>
          <w:rFonts w:eastAsia="黑体"/>
          <w:b w:val="0"/>
          <w:color w:val="auto"/>
          <w:sz w:val="24"/>
          <w:szCs w:val="24"/>
          <w:highlight w:val="none"/>
        </w:rPr>
        <w:t>13.6 竣工退</w:t>
      </w:r>
      <w:bookmarkEnd w:id="345"/>
      <w:bookmarkEnd w:id="346"/>
      <w:r>
        <w:rPr>
          <w:rFonts w:eastAsia="黑体"/>
          <w:b w:val="0"/>
          <w:color w:val="auto"/>
          <w:sz w:val="24"/>
          <w:szCs w:val="24"/>
          <w:highlight w:val="none"/>
        </w:rPr>
        <w:t>场</w:t>
      </w:r>
      <w:bookmarkEnd w:id="347"/>
    </w:p>
    <w:bookmarkEnd w:id="348"/>
    <w:p w14:paraId="2D691BA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13.6.1 竣工退场</w:t>
      </w:r>
    </w:p>
    <w:p w14:paraId="4161BC2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颁发工程接收证书后，承包人应按以下要求对施工现场进行清理：</w:t>
      </w:r>
    </w:p>
    <w:p w14:paraId="4C6764F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（1）施工现场内残留的垃圾已全部清除出场；</w:t>
      </w:r>
    </w:p>
    <w:p w14:paraId="7C518E0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（2）临时工程已拆除，场地已进行清理、平整或复原；</w:t>
      </w:r>
    </w:p>
    <w:p w14:paraId="620C4A91">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（3）按合同约定应撤离的人员、承包人施工设备和剩余的材料，包括废弃的施工设备和材料，已按计划撤离施工现场；</w:t>
      </w:r>
    </w:p>
    <w:p w14:paraId="53F38379">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（4）施工现场周边及其附近道路、河道的施工堆积物，已全部清理；</w:t>
      </w:r>
    </w:p>
    <w:p w14:paraId="4A79493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（5）施工现场其他场地清理工作已全部完成。</w:t>
      </w:r>
    </w:p>
    <w:p w14:paraId="0679E27E">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3A1FB21">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13.6.2 地表还原</w:t>
      </w:r>
    </w:p>
    <w:p w14:paraId="28FEDE76">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362A58F">
      <w:pPr>
        <w:pStyle w:val="6"/>
        <w:spacing w:before="120" w:after="120" w:line="360" w:lineRule="auto"/>
        <w:rPr>
          <w:rFonts w:ascii="Times New Roman" w:hAnsi="Times New Roman" w:eastAsia="黑体"/>
          <w:b w:val="0"/>
          <w:color w:val="auto"/>
          <w:sz w:val="24"/>
          <w:szCs w:val="24"/>
          <w:highlight w:val="none"/>
        </w:rPr>
      </w:pPr>
      <w:bookmarkStart w:id="349" w:name="_Toc32835703"/>
      <w:bookmarkStart w:id="350" w:name="_Toc337558810"/>
      <w:bookmarkStart w:id="351" w:name="_Toc296346614"/>
      <w:bookmarkStart w:id="352" w:name="_Toc296503113"/>
      <w:r>
        <w:rPr>
          <w:rFonts w:ascii="Times New Roman" w:hAnsi="Times New Roman" w:eastAsia="黑体"/>
          <w:b w:val="0"/>
          <w:color w:val="auto"/>
          <w:sz w:val="24"/>
          <w:szCs w:val="24"/>
          <w:highlight w:val="none"/>
        </w:rPr>
        <w:t>14. 竣工结算</w:t>
      </w:r>
      <w:bookmarkEnd w:id="349"/>
    </w:p>
    <w:bookmarkEnd w:id="350"/>
    <w:p w14:paraId="45C0B796">
      <w:pPr>
        <w:pStyle w:val="7"/>
        <w:spacing w:before="120" w:after="120" w:line="360" w:lineRule="auto"/>
        <w:ind w:firstLine="480" w:firstLineChars="200"/>
        <w:rPr>
          <w:rFonts w:eastAsia="黑体"/>
          <w:b w:val="0"/>
          <w:color w:val="auto"/>
          <w:sz w:val="24"/>
          <w:szCs w:val="24"/>
          <w:highlight w:val="none"/>
        </w:rPr>
      </w:pPr>
      <w:bookmarkStart w:id="353" w:name="_Toc32835704"/>
      <w:bookmarkStart w:id="354" w:name="_Toc337558811"/>
      <w:r>
        <w:rPr>
          <w:rFonts w:eastAsia="黑体"/>
          <w:b w:val="0"/>
          <w:color w:val="auto"/>
          <w:sz w:val="24"/>
          <w:szCs w:val="24"/>
          <w:highlight w:val="none"/>
        </w:rPr>
        <w:t>14.1 竣工结算申请</w:t>
      </w:r>
      <w:bookmarkEnd w:id="353"/>
    </w:p>
    <w:bookmarkEnd w:id="354"/>
    <w:p w14:paraId="4D113197">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kern w:val="0"/>
          <w:sz w:val="24"/>
          <w:szCs w:val="24"/>
          <w:highlight w:val="none"/>
        </w:rPr>
        <w:t>除专用合同条款另有约定外，</w:t>
      </w:r>
      <w:r>
        <w:rPr>
          <w:rFonts w:eastAsia="仿宋_GB2312"/>
          <w:color w:val="auto"/>
          <w:sz w:val="24"/>
          <w:szCs w:val="24"/>
          <w:highlight w:val="none"/>
        </w:rPr>
        <w:t>承包人应在工程竣工验收合格后28天内向发包人和监理人提交竣工结算申请单，并提交完整的结算资料，</w:t>
      </w:r>
      <w:r>
        <w:rPr>
          <w:rFonts w:hint="eastAsia" w:eastAsia="仿宋_GB2312"/>
          <w:color w:val="auto"/>
          <w:sz w:val="24"/>
          <w:szCs w:val="24"/>
          <w:highlight w:val="none"/>
        </w:rPr>
        <w:t>有关</w:t>
      </w:r>
      <w:r>
        <w:rPr>
          <w:rFonts w:eastAsia="仿宋_GB2312"/>
          <w:color w:val="auto"/>
          <w:sz w:val="24"/>
          <w:szCs w:val="24"/>
          <w:highlight w:val="none"/>
        </w:rPr>
        <w:t>竣工结算申请单</w:t>
      </w:r>
      <w:r>
        <w:rPr>
          <w:rFonts w:hint="eastAsia" w:eastAsia="仿宋_GB2312"/>
          <w:color w:val="auto"/>
          <w:sz w:val="24"/>
          <w:szCs w:val="24"/>
          <w:highlight w:val="none"/>
        </w:rPr>
        <w:t>的资料清单和</w:t>
      </w:r>
      <w:r>
        <w:rPr>
          <w:rFonts w:eastAsia="仿宋_GB2312"/>
          <w:color w:val="auto"/>
          <w:sz w:val="24"/>
          <w:szCs w:val="24"/>
          <w:highlight w:val="none"/>
        </w:rPr>
        <w:t>份数</w:t>
      </w:r>
      <w:r>
        <w:rPr>
          <w:rFonts w:hint="eastAsia" w:eastAsia="仿宋_GB2312"/>
          <w:color w:val="auto"/>
          <w:sz w:val="24"/>
          <w:szCs w:val="24"/>
          <w:highlight w:val="none"/>
        </w:rPr>
        <w:t>等要求</w:t>
      </w:r>
      <w:r>
        <w:rPr>
          <w:rFonts w:eastAsia="仿宋_GB2312"/>
          <w:color w:val="auto"/>
          <w:sz w:val="24"/>
          <w:szCs w:val="24"/>
          <w:highlight w:val="none"/>
        </w:rPr>
        <w:t>由合同当事人在专用合同条款中约定。</w:t>
      </w:r>
    </w:p>
    <w:p w14:paraId="6B6316DD">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除专用合同条款另有约定外，竣工结算申请单应包括以下内容：</w:t>
      </w:r>
    </w:p>
    <w:p w14:paraId="7C33D9CC">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（1）竣工结算合同价格；</w:t>
      </w:r>
    </w:p>
    <w:p w14:paraId="781EDC92">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（2）发包人已支付承包人的款项；</w:t>
      </w:r>
    </w:p>
    <w:p w14:paraId="7875B9FE">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（3）应扣留的质量保证金</w:t>
      </w:r>
      <w:r>
        <w:rPr>
          <w:rFonts w:hint="eastAsia" w:eastAsia="仿宋_GB2312"/>
          <w:color w:val="auto"/>
          <w:sz w:val="24"/>
          <w:szCs w:val="24"/>
          <w:highlight w:val="none"/>
        </w:rPr>
        <w:t>。已缴纳履约保证金的或提供其他工程质量担保方式的除外</w:t>
      </w:r>
      <w:r>
        <w:rPr>
          <w:rFonts w:eastAsia="仿宋_GB2312"/>
          <w:color w:val="auto"/>
          <w:sz w:val="24"/>
          <w:szCs w:val="24"/>
          <w:highlight w:val="none"/>
        </w:rPr>
        <w:t xml:space="preserve">； </w:t>
      </w:r>
    </w:p>
    <w:p w14:paraId="53945A21">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（4）发包人应支付承包人的合同价款。</w:t>
      </w:r>
    </w:p>
    <w:p w14:paraId="6018FE3E">
      <w:pPr>
        <w:pStyle w:val="7"/>
        <w:spacing w:before="120" w:after="120" w:line="360" w:lineRule="auto"/>
        <w:ind w:firstLine="480" w:firstLineChars="200"/>
        <w:rPr>
          <w:rFonts w:eastAsia="黑体"/>
          <w:b w:val="0"/>
          <w:color w:val="auto"/>
          <w:sz w:val="24"/>
          <w:szCs w:val="24"/>
          <w:highlight w:val="none"/>
        </w:rPr>
      </w:pPr>
      <w:bookmarkStart w:id="355" w:name="_Toc32835705"/>
      <w:bookmarkStart w:id="356" w:name="_Toc337558812"/>
      <w:r>
        <w:rPr>
          <w:rFonts w:eastAsia="黑体"/>
          <w:b w:val="0"/>
          <w:color w:val="auto"/>
          <w:sz w:val="24"/>
          <w:szCs w:val="24"/>
          <w:highlight w:val="none"/>
        </w:rPr>
        <w:t>14.2 竣工结算审核</w:t>
      </w:r>
      <w:bookmarkEnd w:id="355"/>
    </w:p>
    <w:bookmarkEnd w:id="356"/>
    <w:p w14:paraId="54602E7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（1）除专用合同条款另有约定外，监理人应在收到竣工结算申请单后14天内完成核查并报送发包人。发包人应在收到监理人提交的经审核的竣工结算申请单后14天内完成</w:t>
      </w:r>
      <w:r>
        <w:rPr>
          <w:rFonts w:hint="eastAsia" w:eastAsia="仿宋_GB2312"/>
          <w:color w:val="auto"/>
          <w:kern w:val="0"/>
          <w:sz w:val="24"/>
          <w:szCs w:val="24"/>
          <w:highlight w:val="none"/>
        </w:rPr>
        <w:t>审批</w:t>
      </w:r>
      <w:r>
        <w:rPr>
          <w:rFonts w:eastAsia="仿宋_GB2312"/>
          <w:color w:val="auto"/>
          <w:kern w:val="0"/>
          <w:sz w:val="24"/>
          <w:szCs w:val="24"/>
          <w:highlight w:val="none"/>
        </w:rPr>
        <w:t>，并由监理人向承包人签发经发包人签认的竣工付款证书。监理人或</w:t>
      </w:r>
      <w:r>
        <w:rPr>
          <w:rFonts w:eastAsia="仿宋_GB2312"/>
          <w:color w:val="auto"/>
          <w:sz w:val="24"/>
          <w:szCs w:val="24"/>
          <w:highlight w:val="none"/>
        </w:rPr>
        <w:t>发包人对竣工</w:t>
      </w:r>
      <w:r>
        <w:rPr>
          <w:rFonts w:eastAsia="仿宋_GB2312"/>
          <w:color w:val="auto"/>
          <w:kern w:val="0"/>
          <w:sz w:val="24"/>
          <w:szCs w:val="24"/>
          <w:highlight w:val="none"/>
        </w:rPr>
        <w:t>结算</w:t>
      </w:r>
      <w:r>
        <w:rPr>
          <w:rFonts w:eastAsia="仿宋_GB2312"/>
          <w:color w:val="auto"/>
          <w:sz w:val="24"/>
          <w:szCs w:val="24"/>
          <w:highlight w:val="none"/>
        </w:rPr>
        <w:t>申请单有异议的，有权要求承包人进行修正和提供补充资料，承包人应提交修正后的竣工</w:t>
      </w:r>
      <w:r>
        <w:rPr>
          <w:rFonts w:eastAsia="仿宋_GB2312"/>
          <w:color w:val="auto"/>
          <w:kern w:val="0"/>
          <w:sz w:val="24"/>
          <w:szCs w:val="24"/>
          <w:highlight w:val="none"/>
        </w:rPr>
        <w:t>结算</w:t>
      </w:r>
      <w:r>
        <w:rPr>
          <w:rFonts w:eastAsia="仿宋_GB2312"/>
          <w:color w:val="auto"/>
          <w:sz w:val="24"/>
          <w:szCs w:val="24"/>
          <w:highlight w:val="none"/>
        </w:rPr>
        <w:t>申请单。</w:t>
      </w:r>
    </w:p>
    <w:p w14:paraId="42F500D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发包人在收到承包人提交竣工结算申请书后28天</w:t>
      </w:r>
      <w:r>
        <w:rPr>
          <w:rFonts w:hint="eastAsia" w:eastAsia="仿宋_GB2312"/>
          <w:color w:val="auto"/>
          <w:kern w:val="0"/>
          <w:sz w:val="24"/>
          <w:szCs w:val="24"/>
          <w:highlight w:val="none"/>
        </w:rPr>
        <w:t>内</w:t>
      </w:r>
      <w:r>
        <w:rPr>
          <w:rFonts w:eastAsia="仿宋_GB2312"/>
          <w:color w:val="auto"/>
          <w:kern w:val="0"/>
          <w:sz w:val="24"/>
          <w:szCs w:val="24"/>
          <w:highlight w:val="none"/>
        </w:rPr>
        <w:t>未完成</w:t>
      </w:r>
      <w:r>
        <w:rPr>
          <w:rFonts w:hint="eastAsia" w:eastAsia="仿宋_GB2312"/>
          <w:color w:val="auto"/>
          <w:kern w:val="0"/>
          <w:sz w:val="24"/>
          <w:szCs w:val="24"/>
          <w:highlight w:val="none"/>
        </w:rPr>
        <w:t>审批</w:t>
      </w:r>
      <w:r>
        <w:rPr>
          <w:rFonts w:eastAsia="仿宋_GB2312"/>
          <w:color w:val="auto"/>
          <w:kern w:val="0"/>
          <w:sz w:val="24"/>
          <w:szCs w:val="24"/>
          <w:highlight w:val="none"/>
        </w:rPr>
        <w:t>且未提出异议的，视为发包人认可承包人提交的竣工结算申请单，并自发包人收到承包人提交的竣工结算申请单后第29天起视为已签发竣工付款证书。</w:t>
      </w:r>
    </w:p>
    <w:p w14:paraId="387A898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16BAAAB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（3）承包人对发包人签认的竣工付款证书有异议的，对于有异议部分应在收到发包人签认的竣工付款证书后7天内提出异议，并由合同当事人按照专用合同条款约定</w:t>
      </w:r>
      <w:r>
        <w:rPr>
          <w:rFonts w:hint="eastAsia" w:eastAsia="仿宋_GB2312"/>
          <w:color w:val="auto"/>
          <w:kern w:val="0"/>
          <w:sz w:val="24"/>
          <w:szCs w:val="24"/>
          <w:highlight w:val="none"/>
        </w:rPr>
        <w:t>的方式和程序</w:t>
      </w:r>
      <w:r>
        <w:rPr>
          <w:rFonts w:eastAsia="仿宋_GB2312"/>
          <w:color w:val="auto"/>
          <w:kern w:val="0"/>
          <w:sz w:val="24"/>
          <w:szCs w:val="24"/>
          <w:highlight w:val="none"/>
        </w:rPr>
        <w:t>进行复核，或按照第20条</w:t>
      </w:r>
      <w:r>
        <w:rPr>
          <w:rFonts w:hint="eastAsia" w:eastAsia="仿宋_GB2312"/>
          <w:color w:val="auto"/>
          <w:kern w:val="0"/>
          <w:sz w:val="24"/>
          <w:szCs w:val="24"/>
          <w:highlight w:val="none"/>
        </w:rPr>
        <w:t>〔</w:t>
      </w:r>
      <w:r>
        <w:rPr>
          <w:rFonts w:eastAsia="仿宋_GB2312"/>
          <w:color w:val="auto"/>
          <w:kern w:val="0"/>
          <w:sz w:val="24"/>
          <w:szCs w:val="24"/>
          <w:highlight w:val="none"/>
        </w:rPr>
        <w:t>争议解决</w:t>
      </w:r>
      <w:r>
        <w:rPr>
          <w:rFonts w:hint="eastAsia" w:eastAsia="仿宋_GB2312"/>
          <w:color w:val="auto"/>
          <w:kern w:val="0"/>
          <w:sz w:val="24"/>
          <w:szCs w:val="24"/>
          <w:highlight w:val="none"/>
        </w:rPr>
        <w:t>〕</w:t>
      </w:r>
      <w:r>
        <w:rPr>
          <w:rFonts w:eastAsia="仿宋_GB2312"/>
          <w:color w:val="auto"/>
          <w:kern w:val="0"/>
          <w:sz w:val="24"/>
          <w:szCs w:val="24"/>
          <w:highlight w:val="none"/>
        </w:rPr>
        <w:t>约定处理。对于无异议部分，发包人应签发临时竣工付款证书，并按本款第（2）项完成付款</w:t>
      </w:r>
      <w:r>
        <w:rPr>
          <w:rFonts w:hint="eastAsia" w:eastAsia="仿宋_GB2312"/>
          <w:color w:val="auto"/>
          <w:kern w:val="0"/>
          <w:sz w:val="24"/>
          <w:szCs w:val="24"/>
          <w:highlight w:val="none"/>
        </w:rPr>
        <w:t>。</w:t>
      </w:r>
      <w:r>
        <w:rPr>
          <w:rFonts w:eastAsia="仿宋_GB2312"/>
          <w:color w:val="auto"/>
          <w:kern w:val="0"/>
          <w:sz w:val="24"/>
          <w:szCs w:val="24"/>
          <w:highlight w:val="none"/>
        </w:rPr>
        <w:t>承包人逾期未提出异议的，视为认可发包人的</w:t>
      </w:r>
      <w:r>
        <w:rPr>
          <w:rFonts w:hint="eastAsia" w:eastAsia="仿宋_GB2312"/>
          <w:color w:val="auto"/>
          <w:kern w:val="0"/>
          <w:sz w:val="24"/>
          <w:szCs w:val="24"/>
          <w:highlight w:val="none"/>
        </w:rPr>
        <w:t>审批</w:t>
      </w:r>
      <w:r>
        <w:rPr>
          <w:rFonts w:eastAsia="仿宋_GB2312"/>
          <w:color w:val="auto"/>
          <w:kern w:val="0"/>
          <w:sz w:val="24"/>
          <w:szCs w:val="24"/>
          <w:highlight w:val="none"/>
        </w:rPr>
        <w:t>结果。</w:t>
      </w:r>
    </w:p>
    <w:p w14:paraId="187C090C">
      <w:pPr>
        <w:pStyle w:val="7"/>
        <w:spacing w:before="120" w:after="120" w:line="360" w:lineRule="auto"/>
        <w:ind w:firstLine="480" w:firstLineChars="200"/>
        <w:rPr>
          <w:rFonts w:eastAsia="黑体"/>
          <w:b w:val="0"/>
          <w:color w:val="auto"/>
          <w:sz w:val="24"/>
          <w:szCs w:val="24"/>
          <w:highlight w:val="none"/>
        </w:rPr>
      </w:pPr>
      <w:bookmarkStart w:id="357" w:name="_Toc32835706"/>
      <w:bookmarkStart w:id="358" w:name="_Toc337558813"/>
      <w:r>
        <w:rPr>
          <w:rFonts w:eastAsia="黑体"/>
          <w:b w:val="0"/>
          <w:color w:val="auto"/>
          <w:sz w:val="24"/>
          <w:szCs w:val="24"/>
          <w:highlight w:val="none"/>
        </w:rPr>
        <w:t>14.3 甩项竣工协议</w:t>
      </w:r>
      <w:bookmarkEnd w:id="357"/>
    </w:p>
    <w:bookmarkEnd w:id="358"/>
    <w:p w14:paraId="42C04416">
      <w:pPr>
        <w:autoSpaceDE w:val="0"/>
        <w:autoSpaceDN w:val="0"/>
        <w:adjustRightInd w:val="0"/>
        <w:spacing w:line="360" w:lineRule="auto"/>
        <w:ind w:firstLine="470" w:firstLineChars="196"/>
        <w:jc w:val="left"/>
        <w:rPr>
          <w:rFonts w:eastAsia="仿宋_GB2312"/>
          <w:color w:val="auto"/>
          <w:kern w:val="0"/>
          <w:sz w:val="24"/>
          <w:szCs w:val="24"/>
          <w:highlight w:val="none"/>
        </w:rPr>
      </w:pPr>
      <w:r>
        <w:rPr>
          <w:rFonts w:eastAsia="仿宋_GB2312"/>
          <w:color w:val="auto"/>
          <w:sz w:val="24"/>
          <w:szCs w:val="24"/>
          <w:highlight w:val="none"/>
        </w:rPr>
        <w:t>发包人要求甩项竣工的，合同当事人应签订甩项竣工协议。在甩项竣工协议中应明确，合同当事人按照第14.1款</w:t>
      </w:r>
      <w:r>
        <w:rPr>
          <w:rFonts w:hint="eastAsia" w:eastAsia="仿宋_GB2312"/>
          <w:color w:val="auto"/>
          <w:sz w:val="24"/>
          <w:szCs w:val="24"/>
          <w:highlight w:val="none"/>
        </w:rPr>
        <w:t>〔</w:t>
      </w:r>
      <w:r>
        <w:rPr>
          <w:rFonts w:eastAsia="仿宋_GB2312"/>
          <w:color w:val="auto"/>
          <w:sz w:val="24"/>
          <w:szCs w:val="24"/>
          <w:highlight w:val="none"/>
        </w:rPr>
        <w:t>竣工</w:t>
      </w:r>
      <w:r>
        <w:rPr>
          <w:rFonts w:hint="eastAsia" w:eastAsia="仿宋_GB2312"/>
          <w:color w:val="auto"/>
          <w:sz w:val="24"/>
          <w:szCs w:val="24"/>
          <w:highlight w:val="none"/>
        </w:rPr>
        <w:t>结算</w:t>
      </w:r>
      <w:r>
        <w:rPr>
          <w:rFonts w:eastAsia="仿宋_GB2312"/>
          <w:color w:val="auto"/>
          <w:sz w:val="24"/>
          <w:szCs w:val="24"/>
          <w:highlight w:val="none"/>
        </w:rPr>
        <w:t>申请</w:t>
      </w:r>
      <w:r>
        <w:rPr>
          <w:rFonts w:hint="eastAsia" w:eastAsia="仿宋_GB2312"/>
          <w:color w:val="auto"/>
          <w:sz w:val="24"/>
          <w:szCs w:val="24"/>
          <w:highlight w:val="none"/>
        </w:rPr>
        <w:t>〕</w:t>
      </w:r>
      <w:r>
        <w:rPr>
          <w:rFonts w:eastAsia="仿宋_GB2312"/>
          <w:color w:val="auto"/>
          <w:sz w:val="24"/>
          <w:szCs w:val="24"/>
          <w:highlight w:val="none"/>
        </w:rPr>
        <w:t>及14.2款</w:t>
      </w:r>
      <w:r>
        <w:rPr>
          <w:rFonts w:hint="eastAsia" w:eastAsia="仿宋_GB2312"/>
          <w:color w:val="auto"/>
          <w:sz w:val="24"/>
          <w:szCs w:val="24"/>
          <w:highlight w:val="none"/>
        </w:rPr>
        <w:t>〔</w:t>
      </w:r>
      <w:r>
        <w:rPr>
          <w:rFonts w:eastAsia="仿宋_GB2312"/>
          <w:color w:val="auto"/>
          <w:sz w:val="24"/>
          <w:szCs w:val="24"/>
          <w:highlight w:val="none"/>
        </w:rPr>
        <w:t>竣工结算审核</w:t>
      </w:r>
      <w:r>
        <w:rPr>
          <w:rFonts w:hint="eastAsia" w:eastAsia="仿宋_GB2312"/>
          <w:color w:val="auto"/>
          <w:sz w:val="24"/>
          <w:szCs w:val="24"/>
          <w:highlight w:val="none"/>
        </w:rPr>
        <w:t>〕</w:t>
      </w:r>
      <w:r>
        <w:rPr>
          <w:rFonts w:eastAsia="仿宋_GB2312"/>
          <w:color w:val="auto"/>
          <w:sz w:val="24"/>
          <w:szCs w:val="24"/>
          <w:highlight w:val="none"/>
        </w:rPr>
        <w:t>的约定，</w:t>
      </w:r>
      <w:r>
        <w:rPr>
          <w:rFonts w:hint="eastAsia" w:eastAsia="仿宋_GB2312"/>
          <w:color w:val="auto"/>
          <w:sz w:val="24"/>
          <w:szCs w:val="24"/>
          <w:highlight w:val="none"/>
        </w:rPr>
        <w:t>对已</w:t>
      </w:r>
      <w:r>
        <w:rPr>
          <w:rFonts w:eastAsia="仿宋_GB2312"/>
          <w:color w:val="auto"/>
          <w:sz w:val="24"/>
          <w:szCs w:val="24"/>
          <w:highlight w:val="none"/>
        </w:rPr>
        <w:t>完合格工程</w:t>
      </w:r>
      <w:r>
        <w:rPr>
          <w:rFonts w:hint="eastAsia" w:eastAsia="仿宋_GB2312"/>
          <w:color w:val="auto"/>
          <w:sz w:val="24"/>
          <w:szCs w:val="24"/>
          <w:highlight w:val="none"/>
        </w:rPr>
        <w:t>进行</w:t>
      </w:r>
      <w:r>
        <w:rPr>
          <w:rFonts w:eastAsia="仿宋_GB2312"/>
          <w:color w:val="auto"/>
          <w:sz w:val="24"/>
          <w:szCs w:val="24"/>
          <w:highlight w:val="none"/>
        </w:rPr>
        <w:t>结算，并支付相应</w:t>
      </w:r>
      <w:r>
        <w:rPr>
          <w:rFonts w:hint="eastAsia" w:eastAsia="仿宋_GB2312"/>
          <w:color w:val="auto"/>
          <w:sz w:val="24"/>
          <w:szCs w:val="24"/>
          <w:highlight w:val="none"/>
        </w:rPr>
        <w:t>合同</w:t>
      </w:r>
      <w:r>
        <w:rPr>
          <w:rFonts w:eastAsia="仿宋_GB2312"/>
          <w:color w:val="auto"/>
          <w:sz w:val="24"/>
          <w:szCs w:val="24"/>
          <w:highlight w:val="none"/>
        </w:rPr>
        <w:t>价款。</w:t>
      </w:r>
    </w:p>
    <w:p w14:paraId="2DF5BB6F">
      <w:pPr>
        <w:pStyle w:val="7"/>
        <w:spacing w:before="120" w:after="120" w:line="360" w:lineRule="auto"/>
        <w:ind w:firstLine="480" w:firstLineChars="200"/>
        <w:rPr>
          <w:rFonts w:eastAsia="黑体"/>
          <w:b w:val="0"/>
          <w:color w:val="auto"/>
          <w:sz w:val="24"/>
          <w:szCs w:val="24"/>
          <w:highlight w:val="none"/>
        </w:rPr>
      </w:pPr>
      <w:bookmarkStart w:id="359" w:name="_Toc32835707"/>
      <w:bookmarkStart w:id="360" w:name="_Toc337558814"/>
      <w:r>
        <w:rPr>
          <w:rFonts w:eastAsia="黑体"/>
          <w:b w:val="0"/>
          <w:color w:val="auto"/>
          <w:sz w:val="24"/>
          <w:szCs w:val="24"/>
          <w:highlight w:val="none"/>
        </w:rPr>
        <w:t>14.4 最终结清</w:t>
      </w:r>
      <w:bookmarkEnd w:id="359"/>
    </w:p>
    <w:bookmarkEnd w:id="360"/>
    <w:p w14:paraId="2F10056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14.4.1 最终结清申请单</w:t>
      </w:r>
    </w:p>
    <w:p w14:paraId="04CC145C">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316557B3">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除专用合同条款另有约定外，</w:t>
      </w:r>
      <w:r>
        <w:rPr>
          <w:rFonts w:eastAsia="仿宋_GB2312"/>
          <w:color w:val="auto"/>
          <w:kern w:val="0"/>
          <w:sz w:val="24"/>
          <w:szCs w:val="24"/>
          <w:highlight w:val="none"/>
        </w:rPr>
        <w:t>最终结清申请单</w:t>
      </w:r>
      <w:r>
        <w:rPr>
          <w:rFonts w:eastAsia="仿宋_GB2312"/>
          <w:color w:val="auto"/>
          <w:sz w:val="24"/>
          <w:szCs w:val="24"/>
          <w:highlight w:val="none"/>
        </w:rPr>
        <w:t>应列明质量保证金、应扣除的质量保证金、缺陷责任期内发生的增减费用。</w:t>
      </w:r>
    </w:p>
    <w:p w14:paraId="33B4E08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（2）发包人对最终结清申请单内容有异议的，有权要求承包人进行修正和提供补充资料，承包人应向发包人提交修正后的最终结清申请单。</w:t>
      </w:r>
    </w:p>
    <w:p w14:paraId="6B1A11F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14.4.2 最终结清证书和支付</w:t>
      </w:r>
    </w:p>
    <w:p w14:paraId="0FD5CC1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（1）除专用合同条款另有约定外，发包人应在收到承包人提交的最终结清申请单后14天内完成审批并向承包人颁发最终结清证书。发包人逾期未完成</w:t>
      </w:r>
      <w:r>
        <w:rPr>
          <w:rFonts w:hint="eastAsia" w:eastAsia="仿宋_GB2312"/>
          <w:color w:val="auto"/>
          <w:kern w:val="0"/>
          <w:sz w:val="24"/>
          <w:szCs w:val="24"/>
          <w:highlight w:val="none"/>
        </w:rPr>
        <w:t>审批</w:t>
      </w:r>
      <w:r>
        <w:rPr>
          <w:rFonts w:eastAsia="仿宋_GB2312"/>
          <w:color w:val="auto"/>
          <w:kern w:val="0"/>
          <w:sz w:val="24"/>
          <w:szCs w:val="24"/>
          <w:highlight w:val="none"/>
        </w:rPr>
        <w:t>，又未提出修改意见的，视为发包人同意承包人提交的最终结清申请单，且自发包人收到承包人提交的最终结清申请单后15天起视为已颁发最终结清证书。</w:t>
      </w:r>
    </w:p>
    <w:p w14:paraId="301A584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8A5796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（3）承包人对发包人颁发的最终结清证书有异议的，按第20条</w:t>
      </w:r>
      <w:r>
        <w:rPr>
          <w:rFonts w:hint="eastAsia" w:eastAsia="仿宋_GB2312"/>
          <w:color w:val="auto"/>
          <w:kern w:val="0"/>
          <w:sz w:val="24"/>
          <w:szCs w:val="24"/>
          <w:highlight w:val="none"/>
        </w:rPr>
        <w:t>〔</w:t>
      </w:r>
      <w:r>
        <w:rPr>
          <w:rFonts w:eastAsia="仿宋_GB2312"/>
          <w:color w:val="auto"/>
          <w:kern w:val="0"/>
          <w:sz w:val="24"/>
          <w:szCs w:val="24"/>
          <w:highlight w:val="none"/>
        </w:rPr>
        <w:t>争议解决</w:t>
      </w:r>
      <w:r>
        <w:rPr>
          <w:rFonts w:hint="eastAsia" w:eastAsia="仿宋_GB2312"/>
          <w:color w:val="auto"/>
          <w:kern w:val="0"/>
          <w:sz w:val="24"/>
          <w:szCs w:val="24"/>
          <w:highlight w:val="none"/>
        </w:rPr>
        <w:t>〕</w:t>
      </w:r>
      <w:r>
        <w:rPr>
          <w:rFonts w:eastAsia="仿宋_GB2312"/>
          <w:color w:val="auto"/>
          <w:kern w:val="0"/>
          <w:sz w:val="24"/>
          <w:szCs w:val="24"/>
          <w:highlight w:val="none"/>
        </w:rPr>
        <w:t>的约定办理。</w:t>
      </w:r>
    </w:p>
    <w:p w14:paraId="42DCFE1E">
      <w:pPr>
        <w:pStyle w:val="6"/>
        <w:spacing w:before="120" w:after="120" w:line="360" w:lineRule="auto"/>
        <w:rPr>
          <w:rFonts w:ascii="Times New Roman" w:hAnsi="Times New Roman" w:eastAsia="黑体"/>
          <w:b w:val="0"/>
          <w:color w:val="auto"/>
          <w:sz w:val="24"/>
          <w:szCs w:val="24"/>
          <w:highlight w:val="none"/>
        </w:rPr>
      </w:pPr>
      <w:bookmarkStart w:id="361" w:name="_Toc32835708"/>
      <w:bookmarkStart w:id="362" w:name="_Toc337558815"/>
      <w:r>
        <w:rPr>
          <w:rFonts w:ascii="Times New Roman" w:hAnsi="Times New Roman" w:eastAsia="黑体"/>
          <w:b w:val="0"/>
          <w:color w:val="auto"/>
          <w:sz w:val="24"/>
          <w:szCs w:val="24"/>
          <w:highlight w:val="none"/>
        </w:rPr>
        <w:t>15. 缺陷责任与保修</w:t>
      </w:r>
      <w:bookmarkEnd w:id="361"/>
    </w:p>
    <w:bookmarkEnd w:id="351"/>
    <w:bookmarkEnd w:id="352"/>
    <w:bookmarkEnd w:id="362"/>
    <w:p w14:paraId="3260A583">
      <w:pPr>
        <w:pStyle w:val="7"/>
        <w:spacing w:before="120" w:after="120" w:line="360" w:lineRule="auto"/>
        <w:ind w:firstLine="480" w:firstLineChars="200"/>
        <w:rPr>
          <w:rFonts w:eastAsia="黑体"/>
          <w:b w:val="0"/>
          <w:color w:val="auto"/>
          <w:sz w:val="24"/>
          <w:szCs w:val="24"/>
          <w:highlight w:val="none"/>
        </w:rPr>
      </w:pPr>
      <w:bookmarkStart w:id="363" w:name="_Toc32835709"/>
      <w:bookmarkStart w:id="364" w:name="_Toc337558816"/>
      <w:bookmarkStart w:id="365" w:name="_Toc296503114"/>
      <w:bookmarkStart w:id="366" w:name="_Toc296346615"/>
      <w:r>
        <w:rPr>
          <w:rFonts w:eastAsia="黑体"/>
          <w:b w:val="0"/>
          <w:color w:val="auto"/>
          <w:sz w:val="24"/>
          <w:szCs w:val="24"/>
          <w:highlight w:val="none"/>
        </w:rPr>
        <w:t>15.1 工程保修的原则</w:t>
      </w:r>
      <w:bookmarkEnd w:id="363"/>
    </w:p>
    <w:bookmarkEnd w:id="364"/>
    <w:p w14:paraId="192453C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1736DE02">
      <w:pPr>
        <w:pStyle w:val="7"/>
        <w:spacing w:before="120" w:after="120" w:line="360" w:lineRule="auto"/>
        <w:ind w:firstLine="480" w:firstLineChars="200"/>
        <w:rPr>
          <w:rFonts w:eastAsia="黑体"/>
          <w:b w:val="0"/>
          <w:color w:val="auto"/>
          <w:sz w:val="24"/>
          <w:szCs w:val="24"/>
          <w:highlight w:val="none"/>
        </w:rPr>
      </w:pPr>
      <w:bookmarkStart w:id="367" w:name="_Toc32835710"/>
      <w:bookmarkStart w:id="368" w:name="_Toc337558817"/>
      <w:r>
        <w:rPr>
          <w:rFonts w:eastAsia="黑体"/>
          <w:b w:val="0"/>
          <w:color w:val="auto"/>
          <w:sz w:val="24"/>
          <w:szCs w:val="24"/>
          <w:highlight w:val="none"/>
        </w:rPr>
        <w:t>15.2 缺陷责任期</w:t>
      </w:r>
      <w:bookmarkEnd w:id="365"/>
      <w:bookmarkEnd w:id="366"/>
      <w:bookmarkEnd w:id="367"/>
    </w:p>
    <w:bookmarkEnd w:id="368"/>
    <w:p w14:paraId="3172217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15.2.1 缺陷责任期</w:t>
      </w:r>
      <w:r>
        <w:rPr>
          <w:rFonts w:hint="eastAsia" w:eastAsia="仿宋_GB2312"/>
          <w:color w:val="auto"/>
          <w:kern w:val="0"/>
          <w:sz w:val="24"/>
          <w:szCs w:val="24"/>
          <w:highlight w:val="none"/>
        </w:rPr>
        <w:t>从工程通过竣工验收之日</w:t>
      </w:r>
      <w:r>
        <w:rPr>
          <w:rFonts w:eastAsia="仿宋_GB2312"/>
          <w:color w:val="auto"/>
          <w:kern w:val="0"/>
          <w:sz w:val="24"/>
          <w:szCs w:val="24"/>
          <w:highlight w:val="none"/>
        </w:rPr>
        <w:t>起计算，合同当事人应在专用合同条款约定缺陷责任期的具体期限，但该期限最长不超过24个月。</w:t>
      </w:r>
    </w:p>
    <w:p w14:paraId="2F6D3C3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单位工程先于全部工程进行验收，经验收合格并交付使用的，该单位工程缺陷责任期自单位工程验收合格之日起算。</w:t>
      </w:r>
      <w:r>
        <w:rPr>
          <w:rFonts w:hint="eastAsia" w:eastAsia="仿宋_GB2312"/>
          <w:color w:val="auto"/>
          <w:kern w:val="0"/>
          <w:sz w:val="24"/>
          <w:szCs w:val="24"/>
          <w:highlight w:val="none"/>
        </w:rPr>
        <w:t>因承包人原因导致工程无法按合同约定期限进行竣工验收的，缺陷责任期从实际通过竣工验收之日起计算。</w:t>
      </w:r>
      <w:r>
        <w:rPr>
          <w:rFonts w:eastAsia="仿宋_GB2312"/>
          <w:color w:val="auto"/>
          <w:kern w:val="0"/>
          <w:sz w:val="24"/>
          <w:szCs w:val="24"/>
          <w:highlight w:val="none"/>
        </w:rPr>
        <w:t>因发包人原因导致工程无法按合同约定期限进行竣工验收的，</w:t>
      </w:r>
      <w:r>
        <w:rPr>
          <w:rFonts w:hint="eastAsia" w:eastAsia="仿宋_GB2312"/>
          <w:color w:val="auto"/>
          <w:kern w:val="0"/>
          <w:sz w:val="24"/>
          <w:szCs w:val="24"/>
          <w:highlight w:val="none"/>
        </w:rPr>
        <w:t>在承包人提交竣工验收报告90天后，工程自动进入缺陷责任期</w:t>
      </w:r>
      <w:r>
        <w:rPr>
          <w:rFonts w:eastAsia="仿宋_GB2312"/>
          <w:color w:val="auto"/>
          <w:kern w:val="0"/>
          <w:sz w:val="24"/>
          <w:szCs w:val="24"/>
          <w:highlight w:val="none"/>
        </w:rPr>
        <w:t>；发包人未经竣工验收擅自使用工程的，缺陷责任期自工程转移占有之日起开始计算。</w:t>
      </w:r>
    </w:p>
    <w:p w14:paraId="5F0BCB05">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15.2.2</w:t>
      </w:r>
      <w:r>
        <w:rPr>
          <w:rFonts w:hint="eastAsia" w:eastAsia="仿宋_GB2312"/>
          <w:color w:val="auto"/>
          <w:kern w:val="0"/>
          <w:sz w:val="24"/>
          <w:szCs w:val="24"/>
          <w:highlight w:val="non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eastAsia="仿宋_GB2312"/>
          <w:color w:val="auto"/>
          <w:kern w:val="0"/>
          <w:sz w:val="24"/>
          <w:szCs w:val="24"/>
          <w:highlight w:val="none"/>
        </w:rPr>
        <w:t>发包人有权要求承</w:t>
      </w:r>
      <w:r>
        <w:rPr>
          <w:rFonts w:eastAsia="仿宋_GB2312"/>
          <w:bCs/>
          <w:color w:val="auto"/>
          <w:sz w:val="24"/>
          <w:szCs w:val="24"/>
          <w:highlight w:val="none"/>
        </w:rPr>
        <w:t>包人延长缺陷责任期，</w:t>
      </w:r>
      <w:r>
        <w:rPr>
          <w:rFonts w:eastAsia="仿宋_GB2312"/>
          <w:color w:val="auto"/>
          <w:kern w:val="0"/>
          <w:sz w:val="24"/>
          <w:szCs w:val="24"/>
          <w:highlight w:val="none"/>
        </w:rPr>
        <w:t>并应在原缺陷责任期届满前发出延长通知</w:t>
      </w:r>
      <w:r>
        <w:rPr>
          <w:rFonts w:hint="eastAsia" w:eastAsia="仿宋_GB2312"/>
          <w:color w:val="auto"/>
          <w:kern w:val="0"/>
          <w:sz w:val="24"/>
          <w:szCs w:val="24"/>
          <w:highlight w:val="none"/>
        </w:rPr>
        <w:t>。</w:t>
      </w:r>
      <w:r>
        <w:rPr>
          <w:rFonts w:eastAsia="仿宋_GB2312"/>
          <w:bCs/>
          <w:color w:val="auto"/>
          <w:sz w:val="24"/>
          <w:szCs w:val="24"/>
          <w:highlight w:val="none"/>
        </w:rPr>
        <w:t>但缺陷责任期</w:t>
      </w:r>
      <w:r>
        <w:rPr>
          <w:rFonts w:hint="eastAsia" w:eastAsia="仿宋_GB2312"/>
          <w:bCs/>
          <w:color w:val="auto"/>
          <w:sz w:val="24"/>
          <w:szCs w:val="24"/>
          <w:highlight w:val="none"/>
        </w:rPr>
        <w:t>（含延长部分）</w:t>
      </w:r>
      <w:r>
        <w:rPr>
          <w:rFonts w:eastAsia="仿宋_GB2312"/>
          <w:bCs/>
          <w:color w:val="auto"/>
          <w:sz w:val="24"/>
          <w:szCs w:val="24"/>
          <w:highlight w:val="none"/>
        </w:rPr>
        <w:t>最长</w:t>
      </w:r>
      <w:r>
        <w:rPr>
          <w:rFonts w:eastAsia="仿宋_GB2312"/>
          <w:color w:val="auto"/>
          <w:kern w:val="0"/>
          <w:sz w:val="24"/>
          <w:szCs w:val="24"/>
          <w:highlight w:val="none"/>
        </w:rPr>
        <w:t>不能超过24个月。</w:t>
      </w:r>
    </w:p>
    <w:p w14:paraId="58C2F7B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由他人原因造成的缺陷，发包人负责组织维修，承包人不承担费用，且发包人不得从保证金中扣除费用。</w:t>
      </w:r>
    </w:p>
    <w:p w14:paraId="6C33B49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488E6515">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15.2.4</w:t>
      </w:r>
      <w:r>
        <w:rPr>
          <w:rFonts w:hint="eastAsia" w:eastAsia="仿宋_GB2312"/>
          <w:color w:val="auto"/>
          <w:kern w:val="0"/>
          <w:sz w:val="24"/>
          <w:szCs w:val="24"/>
          <w:highlight w:val="none"/>
        </w:rPr>
        <w:t xml:space="preserve"> </w:t>
      </w:r>
      <w:r>
        <w:rPr>
          <w:rFonts w:eastAsia="仿宋_GB2312"/>
          <w:color w:val="auto"/>
          <w:kern w:val="0"/>
          <w:sz w:val="24"/>
          <w:szCs w:val="24"/>
          <w:highlight w:val="none"/>
        </w:rPr>
        <w:t>除专用合同条款另有约定外，承包人应于缺陷责任期届满后7天内向发包人发出缺陷责任期</w:t>
      </w:r>
      <w:r>
        <w:rPr>
          <w:rFonts w:hint="eastAsia" w:eastAsia="仿宋_GB2312"/>
          <w:color w:val="auto"/>
          <w:kern w:val="0"/>
          <w:sz w:val="24"/>
          <w:szCs w:val="24"/>
          <w:highlight w:val="none"/>
        </w:rPr>
        <w:t>届</w:t>
      </w:r>
      <w:r>
        <w:rPr>
          <w:rFonts w:eastAsia="仿宋_GB2312"/>
          <w:color w:val="auto"/>
          <w:kern w:val="0"/>
          <w:sz w:val="24"/>
          <w:szCs w:val="24"/>
          <w:highlight w:val="none"/>
        </w:rPr>
        <w:t>满通知，发包人应在</w:t>
      </w:r>
      <w:r>
        <w:rPr>
          <w:rFonts w:hint="eastAsia" w:eastAsia="仿宋_GB2312"/>
          <w:color w:val="auto"/>
          <w:kern w:val="0"/>
          <w:sz w:val="24"/>
          <w:szCs w:val="24"/>
          <w:highlight w:val="none"/>
        </w:rPr>
        <w:t>收</w:t>
      </w:r>
      <w:r>
        <w:rPr>
          <w:rFonts w:eastAsia="仿宋_GB2312"/>
          <w:color w:val="auto"/>
          <w:kern w:val="0"/>
          <w:sz w:val="24"/>
          <w:szCs w:val="24"/>
          <w:highlight w:val="none"/>
        </w:rPr>
        <w:t>到缺陷责任期满通知后14天内核实承包人是否履行缺陷</w:t>
      </w:r>
      <w:r>
        <w:rPr>
          <w:rFonts w:hint="eastAsia" w:eastAsia="仿宋_GB2312"/>
          <w:color w:val="auto"/>
          <w:kern w:val="0"/>
          <w:sz w:val="24"/>
          <w:szCs w:val="24"/>
          <w:highlight w:val="none"/>
        </w:rPr>
        <w:t>修复</w:t>
      </w:r>
      <w:r>
        <w:rPr>
          <w:rFonts w:eastAsia="仿宋_GB2312"/>
          <w:color w:val="auto"/>
          <w:kern w:val="0"/>
          <w:sz w:val="24"/>
          <w:szCs w:val="24"/>
          <w:highlight w:val="none"/>
        </w:rPr>
        <w:t>义务，承包人未能履行缺陷</w:t>
      </w:r>
      <w:r>
        <w:rPr>
          <w:rFonts w:hint="eastAsia" w:eastAsia="仿宋_GB2312"/>
          <w:color w:val="auto"/>
          <w:kern w:val="0"/>
          <w:sz w:val="24"/>
          <w:szCs w:val="24"/>
          <w:highlight w:val="none"/>
        </w:rPr>
        <w:t>修复</w:t>
      </w:r>
      <w:r>
        <w:rPr>
          <w:rFonts w:eastAsia="仿宋_GB2312"/>
          <w:color w:val="auto"/>
          <w:kern w:val="0"/>
          <w:sz w:val="24"/>
          <w:szCs w:val="24"/>
          <w:highlight w:val="none"/>
        </w:rPr>
        <w:t>义务的，发包人有权扣除相应金额的维修费用。发包人应在</w:t>
      </w:r>
      <w:r>
        <w:rPr>
          <w:rFonts w:hint="eastAsia" w:eastAsia="仿宋_GB2312"/>
          <w:color w:val="auto"/>
          <w:kern w:val="0"/>
          <w:sz w:val="24"/>
          <w:szCs w:val="24"/>
          <w:highlight w:val="none"/>
        </w:rPr>
        <w:t>收到</w:t>
      </w:r>
      <w:r>
        <w:rPr>
          <w:rFonts w:eastAsia="仿宋_GB2312"/>
          <w:color w:val="auto"/>
          <w:kern w:val="0"/>
          <w:sz w:val="24"/>
          <w:szCs w:val="24"/>
          <w:highlight w:val="none"/>
        </w:rPr>
        <w:t>缺陷责任期</w:t>
      </w:r>
      <w:r>
        <w:rPr>
          <w:rFonts w:hint="eastAsia" w:eastAsia="仿宋_GB2312"/>
          <w:color w:val="auto"/>
          <w:kern w:val="0"/>
          <w:sz w:val="24"/>
          <w:szCs w:val="24"/>
          <w:highlight w:val="none"/>
        </w:rPr>
        <w:t>届</w:t>
      </w:r>
      <w:r>
        <w:rPr>
          <w:rFonts w:eastAsia="仿宋_GB2312"/>
          <w:color w:val="auto"/>
          <w:kern w:val="0"/>
          <w:sz w:val="24"/>
          <w:szCs w:val="24"/>
          <w:highlight w:val="none"/>
        </w:rPr>
        <w:t>满</w:t>
      </w:r>
      <w:r>
        <w:rPr>
          <w:rFonts w:hint="eastAsia" w:eastAsia="仿宋_GB2312"/>
          <w:color w:val="auto"/>
          <w:kern w:val="0"/>
          <w:sz w:val="24"/>
          <w:szCs w:val="24"/>
          <w:highlight w:val="none"/>
        </w:rPr>
        <w:t>通知后</w:t>
      </w:r>
      <w:r>
        <w:rPr>
          <w:rFonts w:eastAsia="仿宋_GB2312"/>
          <w:color w:val="auto"/>
          <w:kern w:val="0"/>
          <w:sz w:val="24"/>
          <w:szCs w:val="24"/>
          <w:highlight w:val="none"/>
        </w:rPr>
        <w:t>14天内，向承包人颁发缺陷责任期终止证</w:t>
      </w:r>
      <w:r>
        <w:rPr>
          <w:rFonts w:hint="eastAsia" w:eastAsia="仿宋_GB2312"/>
          <w:color w:val="auto"/>
          <w:kern w:val="0"/>
          <w:sz w:val="24"/>
          <w:szCs w:val="24"/>
          <w:highlight w:val="none"/>
        </w:rPr>
        <w:t>书</w:t>
      </w:r>
      <w:r>
        <w:rPr>
          <w:rFonts w:eastAsia="仿宋_GB2312"/>
          <w:color w:val="auto"/>
          <w:kern w:val="0"/>
          <w:sz w:val="24"/>
          <w:szCs w:val="24"/>
          <w:highlight w:val="none"/>
        </w:rPr>
        <w:t>。</w:t>
      </w:r>
    </w:p>
    <w:p w14:paraId="3148FC86">
      <w:pPr>
        <w:pStyle w:val="7"/>
        <w:spacing w:before="120" w:after="120" w:line="360" w:lineRule="auto"/>
        <w:ind w:firstLine="480" w:firstLineChars="200"/>
        <w:rPr>
          <w:rFonts w:eastAsia="黑体"/>
          <w:b w:val="0"/>
          <w:color w:val="auto"/>
          <w:sz w:val="24"/>
          <w:szCs w:val="24"/>
          <w:highlight w:val="none"/>
        </w:rPr>
      </w:pPr>
      <w:bookmarkStart w:id="369" w:name="_Toc32835711"/>
      <w:bookmarkStart w:id="370" w:name="_Toc337558818"/>
      <w:bookmarkStart w:id="371" w:name="_Toc296503115"/>
      <w:bookmarkStart w:id="372" w:name="_Toc296346616"/>
      <w:r>
        <w:rPr>
          <w:rFonts w:eastAsia="黑体"/>
          <w:b w:val="0"/>
          <w:color w:val="auto"/>
          <w:sz w:val="24"/>
          <w:szCs w:val="24"/>
          <w:highlight w:val="none"/>
        </w:rPr>
        <w:t>15.3 质量保证金</w:t>
      </w:r>
      <w:bookmarkEnd w:id="369"/>
    </w:p>
    <w:bookmarkEnd w:id="370"/>
    <w:p w14:paraId="1404404C">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经合同当事人协商一致扣留质量保证金的，应在专用合同条款中予以明确。</w:t>
      </w:r>
    </w:p>
    <w:p w14:paraId="19BBA9A7">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在工程项目竣工前，承包人已经提供履约担保的，发包人不得同时预留工程质量保证金。</w:t>
      </w:r>
    </w:p>
    <w:p w14:paraId="626A1615">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p>
    <w:p w14:paraId="645BE7B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 xml:space="preserve">15.3.1 </w:t>
      </w:r>
      <w:r>
        <w:rPr>
          <w:rFonts w:hint="eastAsia" w:eastAsia="仿宋_GB2312"/>
          <w:color w:val="auto"/>
          <w:kern w:val="0"/>
          <w:sz w:val="24"/>
          <w:szCs w:val="24"/>
          <w:highlight w:val="none"/>
        </w:rPr>
        <w:t>承包人提供</w:t>
      </w:r>
      <w:r>
        <w:rPr>
          <w:rFonts w:eastAsia="仿宋_GB2312"/>
          <w:color w:val="auto"/>
          <w:kern w:val="0"/>
          <w:sz w:val="24"/>
          <w:szCs w:val="24"/>
          <w:highlight w:val="none"/>
        </w:rPr>
        <w:t>质量保证金的</w:t>
      </w:r>
      <w:r>
        <w:rPr>
          <w:rFonts w:hint="eastAsia" w:eastAsia="仿宋_GB2312"/>
          <w:color w:val="auto"/>
          <w:kern w:val="0"/>
          <w:sz w:val="24"/>
          <w:szCs w:val="24"/>
          <w:highlight w:val="none"/>
        </w:rPr>
        <w:t>方</w:t>
      </w:r>
      <w:r>
        <w:rPr>
          <w:rFonts w:eastAsia="仿宋_GB2312"/>
          <w:color w:val="auto"/>
          <w:kern w:val="0"/>
          <w:sz w:val="24"/>
          <w:szCs w:val="24"/>
          <w:highlight w:val="none"/>
        </w:rPr>
        <w:t>式</w:t>
      </w:r>
    </w:p>
    <w:p w14:paraId="5E6E9F8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承包人提供</w:t>
      </w:r>
      <w:r>
        <w:rPr>
          <w:rFonts w:eastAsia="仿宋_GB2312"/>
          <w:color w:val="auto"/>
          <w:kern w:val="0"/>
          <w:sz w:val="24"/>
          <w:szCs w:val="24"/>
          <w:highlight w:val="none"/>
        </w:rPr>
        <w:t>质量保证金</w:t>
      </w:r>
      <w:r>
        <w:rPr>
          <w:rFonts w:hint="eastAsia" w:eastAsia="仿宋_GB2312"/>
          <w:color w:val="auto"/>
          <w:kern w:val="0"/>
          <w:sz w:val="24"/>
          <w:szCs w:val="24"/>
          <w:highlight w:val="none"/>
        </w:rPr>
        <w:t>有</w:t>
      </w:r>
      <w:r>
        <w:rPr>
          <w:rFonts w:eastAsia="仿宋_GB2312"/>
          <w:color w:val="auto"/>
          <w:kern w:val="0"/>
          <w:sz w:val="24"/>
          <w:szCs w:val="24"/>
          <w:highlight w:val="none"/>
        </w:rPr>
        <w:t>以下</w:t>
      </w:r>
      <w:r>
        <w:rPr>
          <w:rFonts w:hint="eastAsia" w:eastAsia="仿宋_GB2312"/>
          <w:color w:val="auto"/>
          <w:kern w:val="0"/>
          <w:sz w:val="24"/>
          <w:szCs w:val="24"/>
          <w:highlight w:val="none"/>
        </w:rPr>
        <w:t>三种方</w:t>
      </w:r>
      <w:r>
        <w:rPr>
          <w:rFonts w:eastAsia="仿宋_GB2312"/>
          <w:color w:val="auto"/>
          <w:kern w:val="0"/>
          <w:sz w:val="24"/>
          <w:szCs w:val="24"/>
          <w:highlight w:val="none"/>
        </w:rPr>
        <w:t>式：</w:t>
      </w:r>
    </w:p>
    <w:p w14:paraId="42349DF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 xml:space="preserve">（1）质量保证金保函； </w:t>
      </w:r>
    </w:p>
    <w:p w14:paraId="0153B35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w:t>
      </w:r>
      <w:r>
        <w:rPr>
          <w:rFonts w:eastAsia="仿宋_GB2312"/>
          <w:color w:val="auto"/>
          <w:kern w:val="0"/>
          <w:sz w:val="24"/>
          <w:szCs w:val="24"/>
          <w:highlight w:val="none"/>
        </w:rPr>
        <w:t>2）相应比例的工程款；</w:t>
      </w:r>
    </w:p>
    <w:p w14:paraId="003BD15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（3）双方约定的其他</w:t>
      </w:r>
      <w:r>
        <w:rPr>
          <w:rFonts w:hint="eastAsia" w:eastAsia="仿宋_GB2312"/>
          <w:color w:val="auto"/>
          <w:kern w:val="0"/>
          <w:sz w:val="24"/>
          <w:szCs w:val="24"/>
          <w:highlight w:val="none"/>
        </w:rPr>
        <w:t>方</w:t>
      </w:r>
      <w:r>
        <w:rPr>
          <w:rFonts w:eastAsia="仿宋_GB2312"/>
          <w:color w:val="auto"/>
          <w:kern w:val="0"/>
          <w:sz w:val="24"/>
          <w:szCs w:val="24"/>
          <w:highlight w:val="none"/>
        </w:rPr>
        <w:t>式。</w:t>
      </w:r>
    </w:p>
    <w:p w14:paraId="3B95FAD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除专用合同条款另有约定外，质量保证金</w:t>
      </w:r>
      <w:r>
        <w:rPr>
          <w:rFonts w:hint="eastAsia" w:eastAsia="仿宋_GB2312"/>
          <w:color w:val="auto"/>
          <w:kern w:val="0"/>
          <w:sz w:val="24"/>
          <w:szCs w:val="24"/>
          <w:highlight w:val="none"/>
        </w:rPr>
        <w:t>原则上</w:t>
      </w:r>
      <w:r>
        <w:rPr>
          <w:rFonts w:eastAsia="仿宋_GB2312"/>
          <w:color w:val="auto"/>
          <w:kern w:val="0"/>
          <w:sz w:val="24"/>
          <w:szCs w:val="24"/>
          <w:highlight w:val="none"/>
        </w:rPr>
        <w:t>采</w:t>
      </w:r>
      <w:r>
        <w:rPr>
          <w:rFonts w:hint="eastAsia" w:eastAsia="仿宋_GB2312"/>
          <w:color w:val="auto"/>
          <w:kern w:val="0"/>
          <w:sz w:val="24"/>
          <w:szCs w:val="24"/>
          <w:highlight w:val="none"/>
        </w:rPr>
        <w:t>用上述</w:t>
      </w:r>
      <w:r>
        <w:rPr>
          <w:rFonts w:eastAsia="仿宋_GB2312"/>
          <w:color w:val="auto"/>
          <w:kern w:val="0"/>
          <w:sz w:val="24"/>
          <w:szCs w:val="24"/>
          <w:highlight w:val="none"/>
        </w:rPr>
        <w:t>第（1）种</w:t>
      </w:r>
      <w:r>
        <w:rPr>
          <w:rFonts w:hint="eastAsia" w:eastAsia="仿宋_GB2312"/>
          <w:color w:val="auto"/>
          <w:kern w:val="0"/>
          <w:sz w:val="24"/>
          <w:szCs w:val="24"/>
          <w:highlight w:val="none"/>
        </w:rPr>
        <w:t>方式。</w:t>
      </w:r>
    </w:p>
    <w:p w14:paraId="7F5DEB5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15.3.2 质量保证金的扣留</w:t>
      </w:r>
    </w:p>
    <w:p w14:paraId="21F9680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质量保证金</w:t>
      </w:r>
      <w:r>
        <w:rPr>
          <w:rFonts w:hint="eastAsia" w:eastAsia="仿宋_GB2312"/>
          <w:color w:val="auto"/>
          <w:kern w:val="0"/>
          <w:sz w:val="24"/>
          <w:szCs w:val="24"/>
          <w:highlight w:val="none"/>
        </w:rPr>
        <w:t>的</w:t>
      </w:r>
      <w:r>
        <w:rPr>
          <w:rFonts w:eastAsia="仿宋_GB2312"/>
          <w:color w:val="auto"/>
          <w:kern w:val="0"/>
          <w:sz w:val="24"/>
          <w:szCs w:val="24"/>
          <w:highlight w:val="none"/>
        </w:rPr>
        <w:t>扣留</w:t>
      </w:r>
      <w:r>
        <w:rPr>
          <w:rFonts w:hint="eastAsia" w:eastAsia="仿宋_GB2312"/>
          <w:color w:val="auto"/>
          <w:kern w:val="0"/>
          <w:sz w:val="24"/>
          <w:szCs w:val="24"/>
          <w:highlight w:val="none"/>
        </w:rPr>
        <w:t>有</w:t>
      </w:r>
      <w:r>
        <w:rPr>
          <w:rFonts w:eastAsia="仿宋_GB2312"/>
          <w:color w:val="auto"/>
          <w:kern w:val="0"/>
          <w:sz w:val="24"/>
          <w:szCs w:val="24"/>
          <w:highlight w:val="none"/>
        </w:rPr>
        <w:t>以下</w:t>
      </w:r>
      <w:r>
        <w:rPr>
          <w:rFonts w:hint="eastAsia" w:eastAsia="仿宋_GB2312"/>
          <w:color w:val="auto"/>
          <w:kern w:val="0"/>
          <w:sz w:val="24"/>
          <w:szCs w:val="24"/>
          <w:highlight w:val="none"/>
        </w:rPr>
        <w:t>三</w:t>
      </w:r>
      <w:r>
        <w:rPr>
          <w:rFonts w:eastAsia="仿宋_GB2312"/>
          <w:color w:val="auto"/>
          <w:kern w:val="0"/>
          <w:sz w:val="24"/>
          <w:szCs w:val="24"/>
          <w:highlight w:val="none"/>
        </w:rPr>
        <w:t>种</w:t>
      </w:r>
      <w:r>
        <w:rPr>
          <w:rFonts w:hint="eastAsia" w:eastAsia="仿宋_GB2312"/>
          <w:color w:val="auto"/>
          <w:kern w:val="0"/>
          <w:sz w:val="24"/>
          <w:szCs w:val="24"/>
          <w:highlight w:val="none"/>
        </w:rPr>
        <w:t>方式</w:t>
      </w:r>
      <w:r>
        <w:rPr>
          <w:rFonts w:eastAsia="仿宋_GB2312"/>
          <w:color w:val="auto"/>
          <w:kern w:val="0"/>
          <w:sz w:val="24"/>
          <w:szCs w:val="24"/>
          <w:highlight w:val="none"/>
        </w:rPr>
        <w:t>：</w:t>
      </w:r>
    </w:p>
    <w:p w14:paraId="511ACE1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（1）在支付工程进度款时逐次扣留，在此情形下，质量保证金的计算基数不包括预付款的支付、扣回以及价格调整的金额；</w:t>
      </w:r>
    </w:p>
    <w:p w14:paraId="5038A3B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（2）工</w:t>
      </w:r>
      <w:bookmarkStart w:id="373" w:name="#go6"/>
      <w:bookmarkEnd w:id="373"/>
      <w:r>
        <w:rPr>
          <w:rFonts w:eastAsia="仿宋_GB2312"/>
          <w:color w:val="auto"/>
          <w:kern w:val="0"/>
          <w:sz w:val="24"/>
          <w:szCs w:val="24"/>
          <w:highlight w:val="none"/>
        </w:rPr>
        <w:t>程竣工结算时一次性扣留质量保证金；</w:t>
      </w:r>
    </w:p>
    <w:p w14:paraId="078D4A9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（3）双方约定的其他扣留方式。</w:t>
      </w:r>
    </w:p>
    <w:p w14:paraId="0813A98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除专用合同条款另有约定外，质量保证金</w:t>
      </w:r>
      <w:r>
        <w:rPr>
          <w:rFonts w:hint="eastAsia" w:eastAsia="仿宋_GB2312"/>
          <w:color w:val="auto"/>
          <w:kern w:val="0"/>
          <w:sz w:val="24"/>
          <w:szCs w:val="24"/>
          <w:highlight w:val="none"/>
        </w:rPr>
        <w:t>的</w:t>
      </w:r>
      <w:r>
        <w:rPr>
          <w:rFonts w:eastAsia="仿宋_GB2312"/>
          <w:color w:val="auto"/>
          <w:kern w:val="0"/>
          <w:sz w:val="24"/>
          <w:szCs w:val="24"/>
          <w:highlight w:val="none"/>
        </w:rPr>
        <w:t>扣留</w:t>
      </w:r>
      <w:r>
        <w:rPr>
          <w:rFonts w:hint="eastAsia" w:eastAsia="仿宋_GB2312"/>
          <w:color w:val="auto"/>
          <w:kern w:val="0"/>
          <w:sz w:val="24"/>
          <w:szCs w:val="24"/>
          <w:highlight w:val="none"/>
        </w:rPr>
        <w:t>原则上</w:t>
      </w:r>
      <w:r>
        <w:rPr>
          <w:rFonts w:eastAsia="仿宋_GB2312"/>
          <w:color w:val="auto"/>
          <w:kern w:val="0"/>
          <w:sz w:val="24"/>
          <w:szCs w:val="24"/>
          <w:highlight w:val="none"/>
        </w:rPr>
        <w:t>采</w:t>
      </w:r>
      <w:r>
        <w:rPr>
          <w:rFonts w:hint="eastAsia" w:eastAsia="仿宋_GB2312"/>
          <w:color w:val="auto"/>
          <w:kern w:val="0"/>
          <w:sz w:val="24"/>
          <w:szCs w:val="24"/>
          <w:highlight w:val="none"/>
        </w:rPr>
        <w:t>用上述</w:t>
      </w:r>
      <w:r>
        <w:rPr>
          <w:rFonts w:eastAsia="仿宋_GB2312"/>
          <w:color w:val="auto"/>
          <w:kern w:val="0"/>
          <w:sz w:val="24"/>
          <w:szCs w:val="24"/>
          <w:highlight w:val="none"/>
        </w:rPr>
        <w:t>第（1）种方式</w:t>
      </w:r>
      <w:r>
        <w:rPr>
          <w:rFonts w:hint="eastAsia" w:eastAsia="仿宋_GB2312"/>
          <w:color w:val="auto"/>
          <w:kern w:val="0"/>
          <w:sz w:val="24"/>
          <w:szCs w:val="24"/>
          <w:highlight w:val="none"/>
        </w:rPr>
        <w:t>。</w:t>
      </w:r>
    </w:p>
    <w:p w14:paraId="7858C09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w:t>
      </w:r>
      <w:bookmarkStart w:id="374" w:name="#go4"/>
      <w:bookmarkEnd w:id="374"/>
      <w:r>
        <w:rPr>
          <w:rFonts w:eastAsia="仿宋_GB2312"/>
          <w:color w:val="auto"/>
          <w:kern w:val="0"/>
          <w:sz w:val="24"/>
          <w:szCs w:val="24"/>
          <w:highlight w:val="none"/>
        </w:rPr>
        <w:t>包人累计扣留的质量保证金不得超过</w:t>
      </w:r>
      <w:r>
        <w:rPr>
          <w:rFonts w:hint="eastAsia" w:eastAsia="仿宋_GB2312"/>
          <w:color w:val="auto"/>
          <w:kern w:val="0"/>
          <w:sz w:val="24"/>
          <w:szCs w:val="24"/>
          <w:highlight w:val="none"/>
        </w:rPr>
        <w:t>工程价款结算总额</w:t>
      </w:r>
      <w:r>
        <w:rPr>
          <w:rFonts w:eastAsia="仿宋_GB2312"/>
          <w:color w:val="auto"/>
          <w:kern w:val="0"/>
          <w:sz w:val="24"/>
          <w:szCs w:val="24"/>
          <w:highlight w:val="none"/>
        </w:rPr>
        <w:t>的3%</w:t>
      </w:r>
      <w:r>
        <w:rPr>
          <w:rFonts w:hint="eastAsia" w:eastAsia="仿宋_GB2312"/>
          <w:color w:val="auto"/>
          <w:kern w:val="0"/>
          <w:sz w:val="24"/>
          <w:szCs w:val="24"/>
          <w:highlight w:val="none"/>
        </w:rPr>
        <w:t>。如</w:t>
      </w:r>
      <w:r>
        <w:rPr>
          <w:rFonts w:eastAsia="仿宋_GB2312"/>
          <w:color w:val="auto"/>
          <w:kern w:val="0"/>
          <w:sz w:val="24"/>
          <w:szCs w:val="24"/>
          <w:highlight w:val="none"/>
        </w:rPr>
        <w:t>承包人在发包人签发竣工付款证书后28天内提交质量保证金保函，发包人应同时退还扣留的作为质量保证金的工程价款</w:t>
      </w:r>
      <w:r>
        <w:rPr>
          <w:rFonts w:hint="eastAsia" w:eastAsia="仿宋_GB2312"/>
          <w:color w:val="auto"/>
          <w:kern w:val="0"/>
          <w:sz w:val="24"/>
          <w:szCs w:val="24"/>
          <w:highlight w:val="none"/>
        </w:rPr>
        <w:t>；保函金额不得超过工程价款结算总额的3%</w:t>
      </w:r>
      <w:r>
        <w:rPr>
          <w:rFonts w:eastAsia="仿宋_GB2312"/>
          <w:color w:val="auto"/>
          <w:kern w:val="0"/>
          <w:sz w:val="24"/>
          <w:szCs w:val="24"/>
          <w:highlight w:val="none"/>
        </w:rPr>
        <w:t>。</w:t>
      </w:r>
    </w:p>
    <w:p w14:paraId="0CA3148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发包人在退还质量保证金的同时</w:t>
      </w:r>
      <w:r>
        <w:rPr>
          <w:rFonts w:eastAsia="仿宋_GB2312"/>
          <w:color w:val="auto"/>
          <w:kern w:val="0"/>
          <w:sz w:val="24"/>
          <w:szCs w:val="24"/>
          <w:highlight w:val="none"/>
        </w:rPr>
        <w:t>按照中国人民银行发布的同期同类贷款基准利率支付</w:t>
      </w:r>
      <w:r>
        <w:rPr>
          <w:rFonts w:hint="eastAsia" w:eastAsia="仿宋_GB2312"/>
          <w:color w:val="auto"/>
          <w:kern w:val="0"/>
          <w:sz w:val="24"/>
          <w:szCs w:val="24"/>
          <w:highlight w:val="none"/>
        </w:rPr>
        <w:t>利息。</w:t>
      </w:r>
    </w:p>
    <w:p w14:paraId="1141064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 xml:space="preserve">15.3.3 </w:t>
      </w:r>
      <w:r>
        <w:rPr>
          <w:rFonts w:eastAsia="仿宋_GB2312"/>
          <w:color w:val="auto"/>
          <w:sz w:val="24"/>
          <w:szCs w:val="24"/>
          <w:highlight w:val="none"/>
        </w:rPr>
        <w:t>质量保证金</w:t>
      </w:r>
      <w:r>
        <w:rPr>
          <w:rFonts w:eastAsia="仿宋_GB2312"/>
          <w:color w:val="auto"/>
          <w:kern w:val="0"/>
          <w:sz w:val="24"/>
          <w:szCs w:val="24"/>
          <w:highlight w:val="none"/>
        </w:rPr>
        <w:t>的退还</w:t>
      </w:r>
    </w:p>
    <w:p w14:paraId="19B4D7F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缺陷责任期内，承包人认真履行合同约定的责任，到期后，承包人可向发包人申请返还保证金。</w:t>
      </w:r>
    </w:p>
    <w:p w14:paraId="21EF6E7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77E3E2C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发包人和承包人对保证金预留、返还以及工程维修质量、费用有争议的，按本合同第20条约定的争议和纠纷解决程序处理</w:t>
      </w:r>
      <w:r>
        <w:rPr>
          <w:rFonts w:eastAsia="仿宋_GB2312"/>
          <w:color w:val="auto"/>
          <w:kern w:val="0"/>
          <w:sz w:val="24"/>
          <w:szCs w:val="24"/>
          <w:highlight w:val="none"/>
        </w:rPr>
        <w:t>。</w:t>
      </w:r>
    </w:p>
    <w:p w14:paraId="5EBE50A2">
      <w:pPr>
        <w:pStyle w:val="7"/>
        <w:spacing w:before="120" w:after="120" w:line="360" w:lineRule="auto"/>
        <w:ind w:firstLine="480" w:firstLineChars="200"/>
        <w:rPr>
          <w:rFonts w:eastAsia="黑体"/>
          <w:b w:val="0"/>
          <w:color w:val="auto"/>
          <w:sz w:val="24"/>
          <w:szCs w:val="24"/>
          <w:highlight w:val="none"/>
        </w:rPr>
      </w:pPr>
      <w:bookmarkStart w:id="375" w:name="_Toc32835712"/>
      <w:bookmarkStart w:id="376" w:name="_Toc337558819"/>
      <w:r>
        <w:rPr>
          <w:rFonts w:eastAsia="黑体"/>
          <w:b w:val="0"/>
          <w:color w:val="auto"/>
          <w:sz w:val="24"/>
          <w:szCs w:val="24"/>
          <w:highlight w:val="none"/>
        </w:rPr>
        <w:t>15.4 保修</w:t>
      </w:r>
      <w:bookmarkEnd w:id="375"/>
    </w:p>
    <w:bookmarkEnd w:id="371"/>
    <w:bookmarkEnd w:id="372"/>
    <w:bookmarkEnd w:id="376"/>
    <w:p w14:paraId="24CB828E">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15.4.1保修责任</w:t>
      </w:r>
    </w:p>
    <w:p w14:paraId="48D70E6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4F8797D">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发包人未经竣工验收擅自使用工程的，保修期自</w:t>
      </w:r>
      <w:r>
        <w:rPr>
          <w:rFonts w:eastAsia="仿宋_GB2312"/>
          <w:color w:val="auto"/>
          <w:kern w:val="0"/>
          <w:sz w:val="24"/>
          <w:szCs w:val="24"/>
          <w:highlight w:val="none"/>
        </w:rPr>
        <w:t>转移占有之日起算</w:t>
      </w:r>
      <w:r>
        <w:rPr>
          <w:rFonts w:eastAsia="仿宋_GB2312"/>
          <w:color w:val="auto"/>
          <w:sz w:val="24"/>
          <w:szCs w:val="24"/>
          <w:highlight w:val="none"/>
        </w:rPr>
        <w:t>。</w:t>
      </w:r>
    </w:p>
    <w:p w14:paraId="46CC6E0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15.4.2 修复费用</w:t>
      </w:r>
    </w:p>
    <w:p w14:paraId="4263DF3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保修期内，修复的费用按照以下约定处理：</w:t>
      </w:r>
    </w:p>
    <w:p w14:paraId="14336A2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（1）保修期内，因承包人原因造成工程的缺陷、损坏，承包人应负责修复，并承担修复的费用以及因工程的缺陷、损坏造成的人身伤害和财产损失；</w:t>
      </w:r>
    </w:p>
    <w:p w14:paraId="51065A6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（2）保修期内，因发包人使用不当造成工程的缺陷、损坏，可以委托承包人修复，但发包人应承担修复的费用，并支付承包人合理利润；</w:t>
      </w:r>
    </w:p>
    <w:p w14:paraId="11F8863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685EDB3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15.4.3 修复通知</w:t>
      </w:r>
    </w:p>
    <w:p w14:paraId="51D927FC">
      <w:pPr>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D51B69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15.4.4 未能修复</w:t>
      </w:r>
    </w:p>
    <w:p w14:paraId="118BFF20">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eastAsia="仿宋_GB2312"/>
          <w:color w:val="auto"/>
          <w:kern w:val="0"/>
          <w:sz w:val="24"/>
          <w:szCs w:val="24"/>
          <w:highlight w:val="none"/>
        </w:rPr>
        <w:t>但修复范围超出缺陷或损坏范围的，超出范围部分的修复费用由发包人承担。</w:t>
      </w:r>
    </w:p>
    <w:p w14:paraId="5E997E87">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15.4.5 承包人出入权</w:t>
      </w:r>
    </w:p>
    <w:p w14:paraId="5457415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30C4550">
      <w:pPr>
        <w:pStyle w:val="6"/>
        <w:spacing w:before="120" w:after="120" w:line="360" w:lineRule="auto"/>
        <w:rPr>
          <w:rFonts w:ascii="Times New Roman" w:hAnsi="Times New Roman" w:eastAsia="黑体"/>
          <w:b w:val="0"/>
          <w:color w:val="auto"/>
          <w:sz w:val="24"/>
          <w:szCs w:val="24"/>
          <w:highlight w:val="none"/>
        </w:rPr>
      </w:pPr>
      <w:bookmarkStart w:id="377" w:name="_Toc32835713"/>
      <w:bookmarkStart w:id="378" w:name="_Toc337558820"/>
      <w:r>
        <w:rPr>
          <w:rFonts w:ascii="Times New Roman" w:hAnsi="Times New Roman" w:eastAsia="黑体"/>
          <w:b w:val="0"/>
          <w:color w:val="auto"/>
          <w:sz w:val="24"/>
          <w:szCs w:val="24"/>
          <w:highlight w:val="none"/>
        </w:rPr>
        <w:t>16. 违约</w:t>
      </w:r>
      <w:bookmarkEnd w:id="377"/>
    </w:p>
    <w:bookmarkEnd w:id="378"/>
    <w:p w14:paraId="13AC4228">
      <w:pPr>
        <w:pStyle w:val="7"/>
        <w:spacing w:before="120" w:after="120" w:line="360" w:lineRule="auto"/>
        <w:ind w:firstLine="480" w:firstLineChars="200"/>
        <w:rPr>
          <w:rFonts w:eastAsia="黑体"/>
          <w:b w:val="0"/>
          <w:color w:val="auto"/>
          <w:sz w:val="24"/>
          <w:szCs w:val="24"/>
          <w:highlight w:val="none"/>
        </w:rPr>
      </w:pPr>
      <w:bookmarkStart w:id="379" w:name="_Toc296346630"/>
      <w:bookmarkStart w:id="380" w:name="_Toc296503129"/>
      <w:bookmarkStart w:id="381" w:name="_Toc32835714"/>
      <w:bookmarkStart w:id="382" w:name="_Toc337558821"/>
      <w:r>
        <w:rPr>
          <w:rFonts w:eastAsia="黑体"/>
          <w:b w:val="0"/>
          <w:color w:val="auto"/>
          <w:sz w:val="24"/>
          <w:szCs w:val="24"/>
          <w:highlight w:val="none"/>
        </w:rPr>
        <w:t>16.1 发</w:t>
      </w:r>
      <w:bookmarkEnd w:id="379"/>
      <w:bookmarkEnd w:id="380"/>
      <w:r>
        <w:rPr>
          <w:rFonts w:eastAsia="黑体"/>
          <w:b w:val="0"/>
          <w:color w:val="auto"/>
          <w:sz w:val="24"/>
          <w:szCs w:val="24"/>
          <w:highlight w:val="none"/>
        </w:rPr>
        <w:t>包人违约</w:t>
      </w:r>
      <w:bookmarkEnd w:id="381"/>
    </w:p>
    <w:bookmarkEnd w:id="382"/>
    <w:p w14:paraId="3A067CA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16.1.1 发包人违约的情形</w:t>
      </w:r>
    </w:p>
    <w:p w14:paraId="340AAE5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在合同履行过程中发生的下列情形，属于发包人违约：</w:t>
      </w:r>
    </w:p>
    <w:p w14:paraId="30CF966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（1）因发包人原因未能在计划开工日期前7天内下达开工通知的；</w:t>
      </w:r>
    </w:p>
    <w:p w14:paraId="3643595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（2）因发包人原因未能按合同约定支付合同价款的；</w:t>
      </w:r>
    </w:p>
    <w:p w14:paraId="4F68E0B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（3）发包人违反第10.1款</w:t>
      </w:r>
      <w:r>
        <w:rPr>
          <w:rFonts w:hint="eastAsia" w:eastAsia="仿宋_GB2312"/>
          <w:color w:val="auto"/>
          <w:kern w:val="0"/>
          <w:sz w:val="24"/>
          <w:szCs w:val="24"/>
          <w:highlight w:val="none"/>
        </w:rPr>
        <w:t>〔</w:t>
      </w:r>
      <w:r>
        <w:rPr>
          <w:rFonts w:eastAsia="仿宋_GB2312"/>
          <w:color w:val="auto"/>
          <w:kern w:val="0"/>
          <w:sz w:val="24"/>
          <w:szCs w:val="24"/>
          <w:highlight w:val="none"/>
        </w:rPr>
        <w:t>变更的范围</w:t>
      </w:r>
      <w:r>
        <w:rPr>
          <w:rFonts w:hint="eastAsia" w:eastAsia="仿宋_GB2312"/>
          <w:color w:val="auto"/>
          <w:kern w:val="0"/>
          <w:sz w:val="24"/>
          <w:szCs w:val="24"/>
          <w:highlight w:val="none"/>
        </w:rPr>
        <w:t>〕</w:t>
      </w:r>
      <w:r>
        <w:rPr>
          <w:rFonts w:eastAsia="仿宋_GB2312"/>
          <w:color w:val="auto"/>
          <w:kern w:val="0"/>
          <w:sz w:val="24"/>
          <w:szCs w:val="24"/>
          <w:highlight w:val="none"/>
        </w:rPr>
        <w:t>第（2）项约定，自行实施被取消的工作或转由他人实施的；</w:t>
      </w:r>
    </w:p>
    <w:p w14:paraId="3DF69C3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（4）发包人提供的材料、工程设备的规格、数量或质量不符合合同约定，或因发包人原因导致交货日期延误或交货地点变更等情况的；</w:t>
      </w:r>
    </w:p>
    <w:p w14:paraId="62A788B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（5）因发包人违反合同约定造成暂停施工的；</w:t>
      </w:r>
    </w:p>
    <w:p w14:paraId="2120057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（6）发包人无正当理由没有在约定期限内发出复工指示，导致承包人无法复工的；</w:t>
      </w:r>
    </w:p>
    <w:p w14:paraId="6007122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（7）发包人明确表示或者以其行为表明不履行合同主要义务的；</w:t>
      </w:r>
    </w:p>
    <w:p w14:paraId="2989515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（8）发包人未能按照合同约定履行其他义务的。</w:t>
      </w:r>
    </w:p>
    <w:p w14:paraId="1CC25B7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0F55FC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16.1.2 发包人违约的责任</w:t>
      </w:r>
    </w:p>
    <w:p w14:paraId="2A022E42">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5347B33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16.1.3 因发包人违约解除合同</w:t>
      </w:r>
    </w:p>
    <w:p w14:paraId="10B0446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除专用合同条款另有约定外，承包人按第16.1.1项</w:t>
      </w:r>
      <w:r>
        <w:rPr>
          <w:rFonts w:hint="eastAsia" w:eastAsia="仿宋_GB2312"/>
          <w:color w:val="auto"/>
          <w:kern w:val="0"/>
          <w:sz w:val="24"/>
          <w:szCs w:val="24"/>
          <w:highlight w:val="none"/>
        </w:rPr>
        <w:t>〔</w:t>
      </w:r>
      <w:r>
        <w:rPr>
          <w:rFonts w:eastAsia="仿宋_GB2312"/>
          <w:color w:val="auto"/>
          <w:kern w:val="0"/>
          <w:sz w:val="24"/>
          <w:szCs w:val="24"/>
          <w:highlight w:val="none"/>
        </w:rPr>
        <w:t>发包人违约的情形</w:t>
      </w:r>
      <w:r>
        <w:rPr>
          <w:rFonts w:hint="eastAsia" w:eastAsia="仿宋_GB2312"/>
          <w:color w:val="auto"/>
          <w:kern w:val="0"/>
          <w:sz w:val="24"/>
          <w:szCs w:val="24"/>
          <w:highlight w:val="none"/>
        </w:rPr>
        <w:t>〕</w:t>
      </w:r>
      <w:r>
        <w:rPr>
          <w:rFonts w:eastAsia="仿宋_GB2312"/>
          <w:color w:val="auto"/>
          <w:kern w:val="0"/>
          <w:sz w:val="24"/>
          <w:szCs w:val="24"/>
          <w:highlight w:val="none"/>
        </w:rPr>
        <w:t>约定暂停施工满28天后</w:t>
      </w:r>
      <w:r>
        <w:rPr>
          <w:rFonts w:hint="eastAsia" w:eastAsia="仿宋_GB2312"/>
          <w:color w:val="auto"/>
          <w:kern w:val="0"/>
          <w:sz w:val="24"/>
          <w:szCs w:val="24"/>
          <w:highlight w:val="none"/>
        </w:rPr>
        <w:t>，</w:t>
      </w:r>
      <w:r>
        <w:rPr>
          <w:rFonts w:eastAsia="仿宋_GB2312"/>
          <w:color w:val="auto"/>
          <w:kern w:val="0"/>
          <w:sz w:val="24"/>
          <w:szCs w:val="24"/>
          <w:highlight w:val="none"/>
        </w:rPr>
        <w:t>发包人仍不纠正其违约行为并致使合同目的不能实现的，</w:t>
      </w:r>
      <w:r>
        <w:rPr>
          <w:rFonts w:hint="eastAsia" w:eastAsia="仿宋_GB2312"/>
          <w:color w:val="auto"/>
          <w:kern w:val="0"/>
          <w:sz w:val="24"/>
          <w:szCs w:val="24"/>
          <w:highlight w:val="none"/>
        </w:rPr>
        <w:t>或</w:t>
      </w:r>
      <w:r>
        <w:rPr>
          <w:rFonts w:eastAsia="仿宋_GB2312"/>
          <w:color w:val="auto"/>
          <w:kern w:val="0"/>
          <w:sz w:val="24"/>
          <w:szCs w:val="24"/>
          <w:highlight w:val="none"/>
        </w:rPr>
        <w:t>出现第16.1.1项</w:t>
      </w:r>
      <w:r>
        <w:rPr>
          <w:rFonts w:hint="eastAsia" w:eastAsia="仿宋_GB2312"/>
          <w:color w:val="auto"/>
          <w:kern w:val="0"/>
          <w:sz w:val="24"/>
          <w:szCs w:val="24"/>
          <w:highlight w:val="none"/>
        </w:rPr>
        <w:t>〔</w:t>
      </w:r>
      <w:r>
        <w:rPr>
          <w:rFonts w:eastAsia="仿宋_GB2312"/>
          <w:color w:val="auto"/>
          <w:kern w:val="0"/>
          <w:sz w:val="24"/>
          <w:szCs w:val="24"/>
          <w:highlight w:val="none"/>
        </w:rPr>
        <w:t>发包人违约的情形</w:t>
      </w:r>
      <w:r>
        <w:rPr>
          <w:rFonts w:hint="eastAsia" w:eastAsia="仿宋_GB2312"/>
          <w:color w:val="auto"/>
          <w:kern w:val="0"/>
          <w:sz w:val="24"/>
          <w:szCs w:val="24"/>
          <w:highlight w:val="none"/>
        </w:rPr>
        <w:t>〕</w:t>
      </w:r>
      <w:r>
        <w:rPr>
          <w:rFonts w:eastAsia="仿宋_GB2312"/>
          <w:color w:val="auto"/>
          <w:kern w:val="0"/>
          <w:sz w:val="24"/>
          <w:szCs w:val="24"/>
          <w:highlight w:val="none"/>
        </w:rPr>
        <w:t>第（7）目约定的违约情况，承包人有权解除合同，发包人应承担由此增加的费用，并支付承包人合理的利润。</w:t>
      </w:r>
    </w:p>
    <w:p w14:paraId="15BD6F7E">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kern w:val="0"/>
          <w:sz w:val="24"/>
          <w:szCs w:val="24"/>
          <w:highlight w:val="none"/>
        </w:rPr>
        <w:t>16.1.4 因发包人违约解除合同后的付款</w:t>
      </w:r>
    </w:p>
    <w:p w14:paraId="6A1A642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承包人按照本款约定解除合同的，发包人应在解除合同后28天内支付下列款项，并解除履约担保：</w:t>
      </w:r>
    </w:p>
    <w:p w14:paraId="6EDD820E">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（1）合同解除前所完成工作的价款；</w:t>
      </w:r>
    </w:p>
    <w:p w14:paraId="49980551">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（2）承包人为工程施工订购并已付款的材料、工程设备和其他物品的价款；</w:t>
      </w:r>
    </w:p>
    <w:p w14:paraId="6F5B422E">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（3）承包人撤离施工现场以及遣散承包人人员的款项；</w:t>
      </w:r>
    </w:p>
    <w:p w14:paraId="2AC46091">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（4）按照合同约定在合同解除前应支付的违约金；</w:t>
      </w:r>
    </w:p>
    <w:p w14:paraId="6E8F332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（5）按照合同约定应当支付给承包人的其他款项；</w:t>
      </w:r>
    </w:p>
    <w:p w14:paraId="1D9DD90A">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（6）按照合同约定应退还的质量保证金；</w:t>
      </w:r>
    </w:p>
    <w:p w14:paraId="088BCA61">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（7）因解除合同给承包人造成的损失。</w:t>
      </w:r>
    </w:p>
    <w:p w14:paraId="256B7123">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合同当事人未能就解除合同后的结清达成一致的，按照第20条</w:t>
      </w:r>
      <w:r>
        <w:rPr>
          <w:rFonts w:hint="eastAsia" w:eastAsia="仿宋_GB2312"/>
          <w:color w:val="auto"/>
          <w:kern w:val="0"/>
          <w:sz w:val="24"/>
          <w:szCs w:val="24"/>
          <w:highlight w:val="none"/>
        </w:rPr>
        <w:t>〔</w:t>
      </w:r>
      <w:r>
        <w:rPr>
          <w:rFonts w:eastAsia="仿宋_GB2312"/>
          <w:color w:val="auto"/>
          <w:kern w:val="0"/>
          <w:sz w:val="24"/>
          <w:szCs w:val="24"/>
          <w:highlight w:val="none"/>
        </w:rPr>
        <w:t>争议解决</w:t>
      </w:r>
      <w:r>
        <w:rPr>
          <w:rFonts w:hint="eastAsia" w:eastAsia="仿宋_GB2312"/>
          <w:color w:val="auto"/>
          <w:kern w:val="0"/>
          <w:sz w:val="24"/>
          <w:szCs w:val="24"/>
          <w:highlight w:val="none"/>
        </w:rPr>
        <w:t>〕</w:t>
      </w:r>
      <w:r>
        <w:rPr>
          <w:rFonts w:eastAsia="仿宋_GB2312"/>
          <w:color w:val="auto"/>
          <w:kern w:val="0"/>
          <w:sz w:val="24"/>
          <w:szCs w:val="24"/>
          <w:highlight w:val="none"/>
        </w:rPr>
        <w:t>的约定处理。</w:t>
      </w:r>
    </w:p>
    <w:p w14:paraId="1933D01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24ED231B">
      <w:pPr>
        <w:pStyle w:val="7"/>
        <w:spacing w:before="120" w:after="120" w:line="360" w:lineRule="auto"/>
        <w:ind w:firstLine="480" w:firstLineChars="200"/>
        <w:rPr>
          <w:rFonts w:eastAsia="黑体"/>
          <w:b w:val="0"/>
          <w:color w:val="auto"/>
          <w:sz w:val="24"/>
          <w:szCs w:val="24"/>
          <w:highlight w:val="none"/>
        </w:rPr>
      </w:pPr>
      <w:bookmarkStart w:id="383" w:name="_Toc32835715"/>
      <w:bookmarkStart w:id="384" w:name="_Toc296346632"/>
      <w:bookmarkStart w:id="385" w:name="_Toc296503131"/>
      <w:bookmarkStart w:id="386" w:name="_Toc337558822"/>
      <w:r>
        <w:rPr>
          <w:rFonts w:eastAsia="黑体"/>
          <w:b w:val="0"/>
          <w:color w:val="auto"/>
          <w:sz w:val="24"/>
          <w:szCs w:val="24"/>
          <w:highlight w:val="none"/>
        </w:rPr>
        <w:t>16.2 承包人违约</w:t>
      </w:r>
      <w:bookmarkEnd w:id="383"/>
    </w:p>
    <w:bookmarkEnd w:id="384"/>
    <w:bookmarkEnd w:id="385"/>
    <w:bookmarkEnd w:id="386"/>
    <w:p w14:paraId="41256C3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16.2.1 承包人违约的情形</w:t>
      </w:r>
    </w:p>
    <w:p w14:paraId="7ABB6D9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在合同履行过程中发生的下列情形，属于承包人违约：</w:t>
      </w:r>
    </w:p>
    <w:p w14:paraId="3423488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（1）承包人违反合同约定进行转包或违法分包的；</w:t>
      </w:r>
    </w:p>
    <w:p w14:paraId="56FE71E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（2）承包人违反合同约定采购和使用不合格的材料和工程设备的；</w:t>
      </w:r>
    </w:p>
    <w:p w14:paraId="4229A98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 xml:space="preserve">（3）因承包人原因导致工程质量不符合合同要求的； </w:t>
      </w:r>
    </w:p>
    <w:p w14:paraId="71DDD91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（4）承包人违反第8.9款</w:t>
      </w:r>
      <w:r>
        <w:rPr>
          <w:rFonts w:hint="eastAsia" w:eastAsia="仿宋_GB2312"/>
          <w:color w:val="auto"/>
          <w:kern w:val="0"/>
          <w:sz w:val="24"/>
          <w:szCs w:val="24"/>
          <w:highlight w:val="none"/>
        </w:rPr>
        <w:t>〔</w:t>
      </w:r>
      <w:r>
        <w:rPr>
          <w:rFonts w:eastAsia="仿宋_GB2312"/>
          <w:color w:val="auto"/>
          <w:kern w:val="0"/>
          <w:sz w:val="24"/>
          <w:szCs w:val="24"/>
          <w:highlight w:val="none"/>
        </w:rPr>
        <w:t>材料与设备专用</w:t>
      </w:r>
      <w:r>
        <w:rPr>
          <w:rFonts w:hint="eastAsia" w:eastAsia="仿宋_GB2312"/>
          <w:color w:val="auto"/>
          <w:kern w:val="0"/>
          <w:sz w:val="24"/>
          <w:szCs w:val="24"/>
          <w:highlight w:val="none"/>
        </w:rPr>
        <w:t>要求〕</w:t>
      </w:r>
      <w:r>
        <w:rPr>
          <w:rFonts w:eastAsia="仿宋_GB2312"/>
          <w:color w:val="auto"/>
          <w:kern w:val="0"/>
          <w:sz w:val="24"/>
          <w:szCs w:val="24"/>
          <w:highlight w:val="none"/>
        </w:rPr>
        <w:t>的约定，未经批准，私自将已按照合同约定进入施工现场的材料或设备撤离施工现场的；</w:t>
      </w:r>
    </w:p>
    <w:p w14:paraId="1BA8E17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（5）承包人未能按施工进度计划及时完成合同约定的工作，造成工期延误的；</w:t>
      </w:r>
    </w:p>
    <w:p w14:paraId="652E99A0">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（6）承包人在缺陷责任期及保修期内，未能在合理期限对工程缺陷进行修复，或拒绝按发包人要求进行修复的；</w:t>
      </w:r>
    </w:p>
    <w:p w14:paraId="19E93BF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（7）承包人明确表示或者以其行为表明不履行合同主要义务的；</w:t>
      </w:r>
    </w:p>
    <w:p w14:paraId="64E3E4C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（8）承包人未能按照合同约定履行其他义务的。</w:t>
      </w:r>
    </w:p>
    <w:p w14:paraId="764E9F2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承包人发生除本项第（7）目约定以外的其他违约情况时，监理人可向承包人发出整改通知，要求其在指定的期限内改正。</w:t>
      </w:r>
    </w:p>
    <w:p w14:paraId="0F89830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16.2.2 承包人违约的责任</w:t>
      </w:r>
    </w:p>
    <w:p w14:paraId="0737B9D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承包人应承担因其违约行为而增加的费用</w:t>
      </w:r>
      <w:r>
        <w:rPr>
          <w:rFonts w:hint="eastAsia" w:eastAsia="仿宋_GB2312"/>
          <w:color w:val="auto"/>
          <w:kern w:val="0"/>
          <w:sz w:val="24"/>
          <w:szCs w:val="24"/>
          <w:highlight w:val="none"/>
        </w:rPr>
        <w:t>和（或）延误的</w:t>
      </w:r>
      <w:r>
        <w:rPr>
          <w:rFonts w:eastAsia="仿宋_GB2312"/>
          <w:color w:val="auto"/>
          <w:kern w:val="0"/>
          <w:sz w:val="24"/>
          <w:szCs w:val="24"/>
          <w:highlight w:val="none"/>
        </w:rPr>
        <w:t>工期。此外，合同当事人可在专用合同条款中另行约定承包人违约责任的承担方式和计算方法。</w:t>
      </w:r>
    </w:p>
    <w:p w14:paraId="1B713CE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16.2.3 因承包人违约解除合同</w:t>
      </w:r>
    </w:p>
    <w:p w14:paraId="30AB183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除专用合同条款另有约定外，出现第16.2.1项</w:t>
      </w:r>
      <w:r>
        <w:rPr>
          <w:rFonts w:hint="eastAsia" w:eastAsia="仿宋_GB2312"/>
          <w:color w:val="auto"/>
          <w:kern w:val="0"/>
          <w:sz w:val="24"/>
          <w:szCs w:val="24"/>
          <w:highlight w:val="none"/>
        </w:rPr>
        <w:t>〔</w:t>
      </w:r>
      <w:r>
        <w:rPr>
          <w:rFonts w:eastAsia="仿宋_GB2312"/>
          <w:color w:val="auto"/>
          <w:kern w:val="0"/>
          <w:sz w:val="24"/>
          <w:szCs w:val="24"/>
          <w:highlight w:val="none"/>
        </w:rPr>
        <w:t>承包人违约的情形</w:t>
      </w:r>
      <w:r>
        <w:rPr>
          <w:rFonts w:hint="eastAsia" w:eastAsia="仿宋_GB2312"/>
          <w:color w:val="auto"/>
          <w:kern w:val="0"/>
          <w:sz w:val="24"/>
          <w:szCs w:val="24"/>
          <w:highlight w:val="none"/>
        </w:rPr>
        <w:t>〕</w:t>
      </w:r>
      <w:r>
        <w:rPr>
          <w:rFonts w:eastAsia="仿宋_GB2312"/>
          <w:color w:val="auto"/>
          <w:kern w:val="0"/>
          <w:sz w:val="24"/>
          <w:szCs w:val="24"/>
          <w:highlight w:val="none"/>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eastAsia="仿宋_GB2312"/>
          <w:color w:val="auto"/>
          <w:kern w:val="0"/>
          <w:sz w:val="24"/>
          <w:szCs w:val="24"/>
          <w:highlight w:val="none"/>
        </w:rPr>
        <w:t>合同当事人应在专用合同条款约定相应费用的承担方式。</w:t>
      </w:r>
      <w:r>
        <w:rPr>
          <w:rFonts w:eastAsia="仿宋_GB2312"/>
          <w:color w:val="auto"/>
          <w:kern w:val="0"/>
          <w:sz w:val="24"/>
          <w:szCs w:val="24"/>
          <w:highlight w:val="none"/>
        </w:rPr>
        <w:t>发包人</w:t>
      </w:r>
      <w:r>
        <w:rPr>
          <w:rFonts w:hint="eastAsia" w:eastAsia="仿宋_GB2312"/>
          <w:color w:val="auto"/>
          <w:kern w:val="0"/>
          <w:sz w:val="24"/>
          <w:szCs w:val="24"/>
          <w:highlight w:val="none"/>
        </w:rPr>
        <w:t>继续使用的</w:t>
      </w:r>
      <w:r>
        <w:rPr>
          <w:rFonts w:eastAsia="仿宋_GB2312"/>
          <w:color w:val="auto"/>
          <w:kern w:val="0"/>
          <w:sz w:val="24"/>
          <w:szCs w:val="24"/>
          <w:highlight w:val="none"/>
        </w:rPr>
        <w:t>行为不免除或减轻承包人应承担的违约责任。</w:t>
      </w:r>
    </w:p>
    <w:p w14:paraId="29FB7BA4">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16.2.4因承包人违约解除合同后的处理</w:t>
      </w:r>
    </w:p>
    <w:p w14:paraId="33DD5BC6">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因承包人原因导致合同解除的，则合同当事人应在合同解除后28天内完成估价、付款和清算，并按以下约定执行：</w:t>
      </w:r>
    </w:p>
    <w:p w14:paraId="74B7218A">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（1）合同解除后，按第4.4款</w:t>
      </w:r>
      <w:r>
        <w:rPr>
          <w:rFonts w:hint="eastAsia" w:eastAsia="仿宋_GB2312"/>
          <w:color w:val="auto"/>
          <w:kern w:val="0"/>
          <w:sz w:val="24"/>
          <w:szCs w:val="24"/>
          <w:highlight w:val="none"/>
        </w:rPr>
        <w:t>〔</w:t>
      </w:r>
      <w:r>
        <w:rPr>
          <w:rFonts w:eastAsia="仿宋_GB2312"/>
          <w:color w:val="auto"/>
          <w:kern w:val="0"/>
          <w:sz w:val="24"/>
          <w:szCs w:val="24"/>
          <w:highlight w:val="none"/>
        </w:rPr>
        <w:t>商定或确定</w:t>
      </w:r>
      <w:r>
        <w:rPr>
          <w:rFonts w:hint="eastAsia" w:eastAsia="仿宋_GB2312"/>
          <w:color w:val="auto"/>
          <w:kern w:val="0"/>
          <w:sz w:val="24"/>
          <w:szCs w:val="24"/>
          <w:highlight w:val="none"/>
        </w:rPr>
        <w:t>〕</w:t>
      </w:r>
      <w:r>
        <w:rPr>
          <w:rFonts w:eastAsia="仿宋_GB2312"/>
          <w:color w:val="auto"/>
          <w:kern w:val="0"/>
          <w:sz w:val="24"/>
          <w:szCs w:val="24"/>
          <w:highlight w:val="none"/>
        </w:rPr>
        <w:t>商定或确定承包人实际完成工作对应的合同价款，以及承包人已提供的材料、工程设备、施工设备和临时工程等的价值；</w:t>
      </w:r>
    </w:p>
    <w:p w14:paraId="0E76FA5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（2）合同解除后，承包人应支付的违约金；</w:t>
      </w:r>
    </w:p>
    <w:p w14:paraId="4D7F2A9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（3）合同解除后，因解除合同给发包人造成的损失；</w:t>
      </w:r>
    </w:p>
    <w:p w14:paraId="530E171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（4）合同解除后，承包人应按照发包人要求和监理人的指示完成现场的清理和撤离；</w:t>
      </w:r>
    </w:p>
    <w:p w14:paraId="7C3CA8DD">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（5）发包人和承包人应在合同解除后进行清算，出具最终结清付款证书，结清全部款项。</w:t>
      </w:r>
    </w:p>
    <w:p w14:paraId="6F2D28A1">
      <w:pPr>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因承包人违约解除合同的，</w:t>
      </w:r>
      <w:r>
        <w:rPr>
          <w:rFonts w:eastAsia="仿宋_GB2312"/>
          <w:color w:val="auto"/>
          <w:kern w:val="0"/>
          <w:sz w:val="24"/>
          <w:szCs w:val="24"/>
          <w:highlight w:val="none"/>
        </w:rPr>
        <w:t>发包人有权暂停对承包人的付款，查清各项付款和已扣款项。发包人和承包人未能就合同解除后的清算和款项支付达成一致的，按照第20条</w:t>
      </w:r>
      <w:r>
        <w:rPr>
          <w:rFonts w:hint="eastAsia" w:eastAsia="仿宋_GB2312"/>
          <w:color w:val="auto"/>
          <w:kern w:val="0"/>
          <w:sz w:val="24"/>
          <w:szCs w:val="24"/>
          <w:highlight w:val="none"/>
        </w:rPr>
        <w:t>〔</w:t>
      </w:r>
      <w:r>
        <w:rPr>
          <w:rFonts w:eastAsia="仿宋_GB2312"/>
          <w:color w:val="auto"/>
          <w:kern w:val="0"/>
          <w:sz w:val="24"/>
          <w:szCs w:val="24"/>
          <w:highlight w:val="none"/>
        </w:rPr>
        <w:t>争议解决</w:t>
      </w:r>
      <w:r>
        <w:rPr>
          <w:rFonts w:hint="eastAsia" w:eastAsia="仿宋_GB2312"/>
          <w:color w:val="auto"/>
          <w:kern w:val="0"/>
          <w:sz w:val="24"/>
          <w:szCs w:val="24"/>
          <w:highlight w:val="none"/>
        </w:rPr>
        <w:t>〕</w:t>
      </w:r>
      <w:r>
        <w:rPr>
          <w:rFonts w:eastAsia="仿宋_GB2312"/>
          <w:color w:val="auto"/>
          <w:kern w:val="0"/>
          <w:sz w:val="24"/>
          <w:szCs w:val="24"/>
          <w:highlight w:val="none"/>
        </w:rPr>
        <w:t>的约定处理。</w:t>
      </w:r>
    </w:p>
    <w:p w14:paraId="0121DF7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16.2.5采购合同权益转让</w:t>
      </w:r>
    </w:p>
    <w:p w14:paraId="0A7AFD4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0BB0844">
      <w:pPr>
        <w:pStyle w:val="7"/>
        <w:spacing w:before="120" w:after="120" w:line="360" w:lineRule="auto"/>
        <w:ind w:firstLine="480" w:firstLineChars="200"/>
        <w:rPr>
          <w:rFonts w:eastAsia="黑体"/>
          <w:b w:val="0"/>
          <w:color w:val="auto"/>
          <w:sz w:val="24"/>
          <w:szCs w:val="24"/>
          <w:highlight w:val="none"/>
        </w:rPr>
      </w:pPr>
      <w:bookmarkStart w:id="387" w:name="_Toc32835716"/>
      <w:r>
        <w:rPr>
          <w:rFonts w:eastAsia="黑体"/>
          <w:b w:val="0"/>
          <w:color w:val="auto"/>
          <w:sz w:val="24"/>
          <w:szCs w:val="24"/>
          <w:highlight w:val="none"/>
        </w:rPr>
        <w:t>16.3 第三人造成的违约</w:t>
      </w:r>
      <w:bookmarkEnd w:id="387"/>
    </w:p>
    <w:p w14:paraId="6AC3B1C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1250219E">
      <w:pPr>
        <w:pStyle w:val="6"/>
        <w:spacing w:before="120" w:after="120" w:line="360" w:lineRule="auto"/>
        <w:rPr>
          <w:rFonts w:ascii="Times New Roman" w:hAnsi="Times New Roman" w:eastAsia="黑体"/>
          <w:b w:val="0"/>
          <w:color w:val="auto"/>
          <w:sz w:val="24"/>
          <w:szCs w:val="24"/>
          <w:highlight w:val="none"/>
        </w:rPr>
      </w:pPr>
      <w:bookmarkStart w:id="388" w:name="_Toc32835717"/>
      <w:bookmarkStart w:id="389" w:name="_Toc296346617"/>
      <w:bookmarkStart w:id="390" w:name="_Toc296503116"/>
      <w:bookmarkStart w:id="391" w:name="_Toc337558823"/>
      <w:r>
        <w:rPr>
          <w:rFonts w:ascii="Times New Roman" w:hAnsi="Times New Roman" w:eastAsia="黑体"/>
          <w:b w:val="0"/>
          <w:color w:val="auto"/>
          <w:sz w:val="24"/>
          <w:szCs w:val="24"/>
          <w:highlight w:val="none"/>
        </w:rPr>
        <w:t>17. 不可抗力</w:t>
      </w:r>
      <w:bookmarkEnd w:id="388"/>
      <w:r>
        <w:rPr>
          <w:rFonts w:ascii="Times New Roman" w:hAnsi="Times New Roman" w:eastAsia="黑体"/>
          <w:b w:val="0"/>
          <w:color w:val="auto"/>
          <w:sz w:val="24"/>
          <w:szCs w:val="24"/>
          <w:highlight w:val="none"/>
        </w:rPr>
        <w:t xml:space="preserve"> </w:t>
      </w:r>
      <w:bookmarkEnd w:id="389"/>
      <w:bookmarkEnd w:id="390"/>
      <w:bookmarkEnd w:id="391"/>
    </w:p>
    <w:p w14:paraId="58D3C87D">
      <w:pPr>
        <w:pStyle w:val="7"/>
        <w:spacing w:before="120" w:after="120" w:line="360" w:lineRule="auto"/>
        <w:ind w:firstLine="480" w:firstLineChars="200"/>
        <w:rPr>
          <w:rFonts w:eastAsia="黑体"/>
          <w:b w:val="0"/>
          <w:color w:val="auto"/>
          <w:sz w:val="24"/>
          <w:szCs w:val="24"/>
          <w:highlight w:val="none"/>
        </w:rPr>
      </w:pPr>
      <w:bookmarkStart w:id="392" w:name="_Toc32835718"/>
      <w:bookmarkStart w:id="393" w:name="_Toc296503117"/>
      <w:bookmarkStart w:id="394" w:name="_Toc337558824"/>
      <w:bookmarkStart w:id="395" w:name="_Toc296346618"/>
      <w:r>
        <w:rPr>
          <w:rFonts w:eastAsia="黑体"/>
          <w:b w:val="0"/>
          <w:color w:val="auto"/>
          <w:sz w:val="24"/>
          <w:szCs w:val="24"/>
          <w:highlight w:val="none"/>
        </w:rPr>
        <w:t>17.1 不可抗力的确认</w:t>
      </w:r>
      <w:bookmarkEnd w:id="392"/>
    </w:p>
    <w:bookmarkEnd w:id="393"/>
    <w:bookmarkEnd w:id="394"/>
    <w:bookmarkEnd w:id="395"/>
    <w:p w14:paraId="1B97F21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4626AC9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eastAsia="仿宋_GB2312"/>
          <w:color w:val="auto"/>
          <w:kern w:val="0"/>
          <w:sz w:val="24"/>
          <w:szCs w:val="24"/>
          <w:highlight w:val="none"/>
        </w:rPr>
        <w:t>〔</w:t>
      </w:r>
      <w:r>
        <w:rPr>
          <w:rFonts w:eastAsia="仿宋_GB2312"/>
          <w:color w:val="auto"/>
          <w:kern w:val="0"/>
          <w:sz w:val="24"/>
          <w:szCs w:val="24"/>
          <w:highlight w:val="none"/>
        </w:rPr>
        <w:t>商定或确定</w:t>
      </w:r>
      <w:r>
        <w:rPr>
          <w:rFonts w:hint="eastAsia" w:eastAsia="仿宋_GB2312"/>
          <w:color w:val="auto"/>
          <w:kern w:val="0"/>
          <w:sz w:val="24"/>
          <w:szCs w:val="24"/>
          <w:highlight w:val="none"/>
        </w:rPr>
        <w:t>〕</w:t>
      </w:r>
      <w:r>
        <w:rPr>
          <w:rFonts w:eastAsia="仿宋_GB2312"/>
          <w:color w:val="auto"/>
          <w:kern w:val="0"/>
          <w:sz w:val="24"/>
          <w:szCs w:val="24"/>
          <w:highlight w:val="none"/>
        </w:rPr>
        <w:t>的约定处理。发生争议时，按第20条</w:t>
      </w:r>
      <w:r>
        <w:rPr>
          <w:rFonts w:hint="eastAsia" w:eastAsia="仿宋_GB2312"/>
          <w:color w:val="auto"/>
          <w:kern w:val="0"/>
          <w:sz w:val="24"/>
          <w:szCs w:val="24"/>
          <w:highlight w:val="none"/>
        </w:rPr>
        <w:t>〔</w:t>
      </w:r>
      <w:r>
        <w:rPr>
          <w:rFonts w:eastAsia="仿宋_GB2312"/>
          <w:color w:val="auto"/>
          <w:kern w:val="0"/>
          <w:sz w:val="24"/>
          <w:szCs w:val="24"/>
          <w:highlight w:val="none"/>
        </w:rPr>
        <w:t>争议解决</w:t>
      </w:r>
      <w:r>
        <w:rPr>
          <w:rFonts w:hint="eastAsia" w:eastAsia="仿宋_GB2312"/>
          <w:color w:val="auto"/>
          <w:kern w:val="0"/>
          <w:sz w:val="24"/>
          <w:szCs w:val="24"/>
          <w:highlight w:val="none"/>
        </w:rPr>
        <w:t>〕</w:t>
      </w:r>
      <w:r>
        <w:rPr>
          <w:rFonts w:eastAsia="仿宋_GB2312"/>
          <w:color w:val="auto"/>
          <w:kern w:val="0"/>
          <w:sz w:val="24"/>
          <w:szCs w:val="24"/>
          <w:highlight w:val="none"/>
        </w:rPr>
        <w:t>的约定处理。</w:t>
      </w:r>
    </w:p>
    <w:p w14:paraId="52CB3CA2">
      <w:pPr>
        <w:pStyle w:val="7"/>
        <w:spacing w:before="120" w:after="120" w:line="360" w:lineRule="auto"/>
        <w:ind w:firstLine="480" w:firstLineChars="200"/>
        <w:rPr>
          <w:rFonts w:eastAsia="黑体"/>
          <w:b w:val="0"/>
          <w:color w:val="auto"/>
          <w:sz w:val="24"/>
          <w:szCs w:val="24"/>
          <w:highlight w:val="none"/>
        </w:rPr>
      </w:pPr>
      <w:bookmarkStart w:id="396" w:name="_Toc32835719"/>
      <w:bookmarkStart w:id="397" w:name="_Toc337558825"/>
      <w:bookmarkStart w:id="398" w:name="_Toc296503118"/>
      <w:bookmarkStart w:id="399" w:name="_Toc296346619"/>
      <w:r>
        <w:rPr>
          <w:rFonts w:eastAsia="黑体"/>
          <w:b w:val="0"/>
          <w:color w:val="auto"/>
          <w:sz w:val="24"/>
          <w:szCs w:val="24"/>
          <w:highlight w:val="none"/>
        </w:rPr>
        <w:t>17.2 不可抗力的通知</w:t>
      </w:r>
      <w:bookmarkEnd w:id="396"/>
    </w:p>
    <w:bookmarkEnd w:id="397"/>
    <w:bookmarkEnd w:id="398"/>
    <w:bookmarkEnd w:id="399"/>
    <w:p w14:paraId="5E8AED9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合同</w:t>
      </w:r>
      <w:r>
        <w:rPr>
          <w:rFonts w:eastAsia="仿宋_GB2312"/>
          <w:color w:val="auto"/>
          <w:kern w:val="0"/>
          <w:sz w:val="24"/>
          <w:szCs w:val="24"/>
          <w:highlight w:val="none"/>
        </w:rPr>
        <w:t>一方当事人遇到不可抗力事件，使其履行合同义务受到阻碍时，应立即通知合同另一方当事人和监理人，书面说明不可抗力和受阻碍的详细情况，并提供必要的证明。</w:t>
      </w:r>
    </w:p>
    <w:p w14:paraId="1F0A3147">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59FE8BFD">
      <w:pPr>
        <w:pStyle w:val="7"/>
        <w:spacing w:before="120" w:after="120" w:line="360" w:lineRule="auto"/>
        <w:ind w:firstLine="480" w:firstLineChars="200"/>
        <w:rPr>
          <w:rFonts w:eastAsia="黑体"/>
          <w:b w:val="0"/>
          <w:color w:val="auto"/>
          <w:sz w:val="24"/>
          <w:szCs w:val="24"/>
          <w:highlight w:val="none"/>
        </w:rPr>
      </w:pPr>
      <w:bookmarkStart w:id="400" w:name="_Toc32835720"/>
      <w:bookmarkStart w:id="401" w:name="_Toc337558826"/>
      <w:bookmarkStart w:id="402" w:name="_Toc296346620"/>
      <w:bookmarkStart w:id="403" w:name="_Toc296503119"/>
      <w:r>
        <w:rPr>
          <w:rFonts w:eastAsia="黑体"/>
          <w:b w:val="0"/>
          <w:color w:val="auto"/>
          <w:sz w:val="24"/>
          <w:szCs w:val="24"/>
          <w:highlight w:val="none"/>
        </w:rPr>
        <w:t>17.3 不可抗力后果的承担</w:t>
      </w:r>
      <w:bookmarkEnd w:id="400"/>
    </w:p>
    <w:bookmarkEnd w:id="401"/>
    <w:bookmarkEnd w:id="402"/>
    <w:bookmarkEnd w:id="403"/>
    <w:p w14:paraId="2EC86A5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 xml:space="preserve">17.3.1 </w:t>
      </w:r>
      <w:r>
        <w:rPr>
          <w:rFonts w:hint="eastAsia" w:eastAsia="仿宋_GB2312"/>
          <w:color w:val="auto"/>
          <w:kern w:val="0"/>
          <w:sz w:val="24"/>
          <w:szCs w:val="24"/>
          <w:highlight w:val="none"/>
        </w:rPr>
        <w:t>不可抗力引起的后果及造成的损失由合同当事人按照法律规定及合同约定各自承担。</w:t>
      </w:r>
      <w:r>
        <w:rPr>
          <w:rFonts w:eastAsia="仿宋_GB2312"/>
          <w:color w:val="auto"/>
          <w:kern w:val="0"/>
          <w:sz w:val="24"/>
          <w:szCs w:val="24"/>
          <w:highlight w:val="none"/>
        </w:rPr>
        <w:t>不可抗力发生前已完</w:t>
      </w:r>
      <w:r>
        <w:rPr>
          <w:rFonts w:hint="eastAsia" w:eastAsia="仿宋_GB2312"/>
          <w:color w:val="auto"/>
          <w:kern w:val="0"/>
          <w:sz w:val="24"/>
          <w:szCs w:val="24"/>
          <w:highlight w:val="none"/>
        </w:rPr>
        <w:t>成的</w:t>
      </w:r>
      <w:r>
        <w:rPr>
          <w:rFonts w:eastAsia="仿宋_GB2312"/>
          <w:color w:val="auto"/>
          <w:kern w:val="0"/>
          <w:sz w:val="24"/>
          <w:szCs w:val="24"/>
          <w:highlight w:val="none"/>
        </w:rPr>
        <w:t>工程应当按照合同约定进行计量</w:t>
      </w:r>
      <w:r>
        <w:rPr>
          <w:rFonts w:hint="eastAsia" w:eastAsia="仿宋_GB2312"/>
          <w:color w:val="auto"/>
          <w:kern w:val="0"/>
          <w:sz w:val="24"/>
          <w:szCs w:val="24"/>
          <w:highlight w:val="none"/>
        </w:rPr>
        <w:t>支付</w:t>
      </w:r>
      <w:r>
        <w:rPr>
          <w:rFonts w:eastAsia="仿宋_GB2312"/>
          <w:color w:val="auto"/>
          <w:kern w:val="0"/>
          <w:sz w:val="24"/>
          <w:szCs w:val="24"/>
          <w:highlight w:val="none"/>
        </w:rPr>
        <w:t>。</w:t>
      </w:r>
    </w:p>
    <w:p w14:paraId="3E41756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17.3.2 不可抗力导致的人员伤亡、财产损失、费用增加和（或）工期延误等后果，由合同当事人按以下原则承担：</w:t>
      </w:r>
    </w:p>
    <w:p w14:paraId="5EF8927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（1）永久工程、已运至施工现场的材料和工程设备的损坏，以及因工程损坏造成的第三人人员伤亡和财产损失由发包人承担；</w:t>
      </w:r>
    </w:p>
    <w:p w14:paraId="071EEA4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（2）承包人施工设备的损坏由承包人承担；</w:t>
      </w:r>
    </w:p>
    <w:p w14:paraId="5CFAD4B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（3）发包人和承包人承担各自人员伤亡和财产的损失；</w:t>
      </w:r>
    </w:p>
    <w:p w14:paraId="6A53261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99E0E4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（5）因不可抗力引起或将引起工期延误，发包人要求赶工的，由此增加的赶工费用由发包人承担；</w:t>
      </w:r>
    </w:p>
    <w:p w14:paraId="1840FC2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（6）承包人在停工期间按照发包人要求照管、清理和修复工程的费用由发包人承担。</w:t>
      </w:r>
    </w:p>
    <w:p w14:paraId="22C4568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14:paraId="5375778F">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因合同一方迟延履行合同义务，在迟延履行期间遭遇不可抗力的，不免除其违约责任。</w:t>
      </w:r>
    </w:p>
    <w:p w14:paraId="7444555A">
      <w:pPr>
        <w:pStyle w:val="7"/>
        <w:spacing w:before="120" w:after="120" w:line="360" w:lineRule="auto"/>
        <w:ind w:firstLine="480" w:firstLineChars="200"/>
        <w:rPr>
          <w:rFonts w:eastAsia="黑体"/>
          <w:b w:val="0"/>
          <w:color w:val="auto"/>
          <w:sz w:val="24"/>
          <w:szCs w:val="24"/>
          <w:highlight w:val="none"/>
        </w:rPr>
      </w:pPr>
      <w:bookmarkStart w:id="404" w:name="_Toc32835721"/>
      <w:bookmarkStart w:id="405" w:name="_Toc337558827"/>
      <w:r>
        <w:rPr>
          <w:rFonts w:eastAsia="黑体"/>
          <w:b w:val="0"/>
          <w:color w:val="auto"/>
          <w:sz w:val="24"/>
          <w:szCs w:val="24"/>
          <w:highlight w:val="none"/>
        </w:rPr>
        <w:t>17.4 因不可抗力解除合同</w:t>
      </w:r>
      <w:bookmarkEnd w:id="404"/>
    </w:p>
    <w:bookmarkEnd w:id="405"/>
    <w:p w14:paraId="753722B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因不可抗力导致合同无法履行连续超过84天或累计超过140天的，发包人和承包人均有权解除合同。合同解除后，由双方当事人按照第4.4款</w:t>
      </w:r>
      <w:r>
        <w:rPr>
          <w:rFonts w:hint="eastAsia" w:eastAsia="仿宋_GB2312"/>
          <w:color w:val="auto"/>
          <w:kern w:val="0"/>
          <w:sz w:val="24"/>
          <w:szCs w:val="24"/>
          <w:highlight w:val="none"/>
        </w:rPr>
        <w:t>〔</w:t>
      </w:r>
      <w:r>
        <w:rPr>
          <w:rFonts w:eastAsia="仿宋_GB2312"/>
          <w:color w:val="auto"/>
          <w:kern w:val="0"/>
          <w:sz w:val="24"/>
          <w:szCs w:val="24"/>
          <w:highlight w:val="none"/>
        </w:rPr>
        <w:t>商定或确定</w:t>
      </w:r>
      <w:r>
        <w:rPr>
          <w:rFonts w:hint="eastAsia" w:eastAsia="仿宋_GB2312"/>
          <w:color w:val="auto"/>
          <w:kern w:val="0"/>
          <w:sz w:val="24"/>
          <w:szCs w:val="24"/>
          <w:highlight w:val="none"/>
        </w:rPr>
        <w:t>〕</w:t>
      </w:r>
      <w:r>
        <w:rPr>
          <w:rFonts w:eastAsia="仿宋_GB2312"/>
          <w:color w:val="auto"/>
          <w:kern w:val="0"/>
          <w:sz w:val="24"/>
          <w:szCs w:val="24"/>
          <w:highlight w:val="none"/>
        </w:rPr>
        <w:t>商定或确定发包人应支付的款项，该款项包括：</w:t>
      </w:r>
    </w:p>
    <w:p w14:paraId="7D0CA2F0">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（1）合同解除前承包人已完成工作的价款；</w:t>
      </w:r>
    </w:p>
    <w:p w14:paraId="1BF67A39">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（2）承包人为工程订购的并已交付给承包人，或承包人有责任接受交付的材料、工程设备和其他物品的价款；</w:t>
      </w:r>
    </w:p>
    <w:p w14:paraId="08101023">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（3）发包人要求承包人退货或解除订货合同而产生的费用，或因不能退货或解除合同而产生的损失；</w:t>
      </w:r>
    </w:p>
    <w:p w14:paraId="6FB79E4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（4）承包人撤离施工现场以及遣散承包人人员的费用；</w:t>
      </w:r>
    </w:p>
    <w:p w14:paraId="4950072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（5）按照合同约定在合同解除前应支付给承包人的其他款项；</w:t>
      </w:r>
    </w:p>
    <w:p w14:paraId="22EB057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（6）扣减承包人按照合同约定应向发包人支付的款项；</w:t>
      </w:r>
    </w:p>
    <w:p w14:paraId="52411D45">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（7）双方商定或确定的其他款项。</w:t>
      </w:r>
    </w:p>
    <w:p w14:paraId="04D4682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除专用合同条款另有约定外，合同解除后，发包人应在商定或确定上述款项后28天内完成上述款项的支付。</w:t>
      </w:r>
    </w:p>
    <w:p w14:paraId="6D0381FC">
      <w:pPr>
        <w:pStyle w:val="6"/>
        <w:spacing w:before="120" w:after="120" w:line="360" w:lineRule="auto"/>
        <w:rPr>
          <w:rFonts w:ascii="Times New Roman" w:hAnsi="Times New Roman" w:eastAsia="黑体"/>
          <w:b w:val="0"/>
          <w:color w:val="auto"/>
          <w:sz w:val="24"/>
          <w:szCs w:val="24"/>
          <w:highlight w:val="none"/>
        </w:rPr>
      </w:pPr>
      <w:bookmarkStart w:id="406" w:name="_Toc32835722"/>
      <w:bookmarkStart w:id="407" w:name="_Toc337558828"/>
      <w:bookmarkStart w:id="408" w:name="_Toc296346621"/>
      <w:bookmarkStart w:id="409" w:name="_Toc296503120"/>
      <w:r>
        <w:rPr>
          <w:rFonts w:ascii="Times New Roman" w:hAnsi="Times New Roman" w:eastAsia="黑体"/>
          <w:b w:val="0"/>
          <w:color w:val="auto"/>
          <w:sz w:val="24"/>
          <w:szCs w:val="24"/>
          <w:highlight w:val="none"/>
        </w:rPr>
        <w:t>18. 保险</w:t>
      </w:r>
      <w:bookmarkEnd w:id="406"/>
    </w:p>
    <w:bookmarkEnd w:id="407"/>
    <w:bookmarkEnd w:id="408"/>
    <w:bookmarkEnd w:id="409"/>
    <w:p w14:paraId="43ECA6BA">
      <w:pPr>
        <w:pStyle w:val="7"/>
        <w:spacing w:before="120" w:after="120" w:line="360" w:lineRule="auto"/>
        <w:ind w:firstLine="480" w:firstLineChars="200"/>
        <w:rPr>
          <w:rFonts w:eastAsia="黑体"/>
          <w:b w:val="0"/>
          <w:color w:val="auto"/>
          <w:sz w:val="24"/>
          <w:szCs w:val="24"/>
          <w:highlight w:val="none"/>
        </w:rPr>
      </w:pPr>
      <w:bookmarkStart w:id="410" w:name="_Toc32835723"/>
      <w:bookmarkStart w:id="411" w:name="_Toc337558829"/>
      <w:bookmarkStart w:id="412" w:name="_Toc296346622"/>
      <w:bookmarkStart w:id="413" w:name="_Toc296503121"/>
      <w:r>
        <w:rPr>
          <w:rFonts w:eastAsia="黑体"/>
          <w:b w:val="0"/>
          <w:color w:val="auto"/>
          <w:sz w:val="24"/>
          <w:szCs w:val="24"/>
          <w:highlight w:val="none"/>
        </w:rPr>
        <w:t>18.1 工程保险</w:t>
      </w:r>
      <w:bookmarkEnd w:id="410"/>
    </w:p>
    <w:bookmarkEnd w:id="411"/>
    <w:bookmarkEnd w:id="412"/>
    <w:bookmarkEnd w:id="413"/>
    <w:p w14:paraId="0BFFB0B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1AB9ADE7">
      <w:pPr>
        <w:pStyle w:val="7"/>
        <w:spacing w:before="120" w:after="120" w:line="360" w:lineRule="auto"/>
        <w:ind w:firstLine="480" w:firstLineChars="200"/>
        <w:rPr>
          <w:rFonts w:eastAsia="黑体"/>
          <w:b w:val="0"/>
          <w:color w:val="auto"/>
          <w:sz w:val="24"/>
          <w:szCs w:val="24"/>
          <w:highlight w:val="none"/>
        </w:rPr>
      </w:pPr>
      <w:bookmarkStart w:id="414" w:name="_Toc32835724"/>
      <w:bookmarkStart w:id="415" w:name="_Toc296503122"/>
      <w:bookmarkStart w:id="416" w:name="_Toc296346623"/>
      <w:bookmarkStart w:id="417" w:name="_Toc337558830"/>
      <w:r>
        <w:rPr>
          <w:rFonts w:eastAsia="黑体"/>
          <w:b w:val="0"/>
          <w:color w:val="auto"/>
          <w:sz w:val="24"/>
          <w:szCs w:val="24"/>
          <w:highlight w:val="none"/>
        </w:rPr>
        <w:t>18.2 工伤保险</w:t>
      </w:r>
      <w:bookmarkEnd w:id="414"/>
    </w:p>
    <w:bookmarkEnd w:id="415"/>
    <w:bookmarkEnd w:id="416"/>
    <w:bookmarkEnd w:id="417"/>
    <w:p w14:paraId="49BE20A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17867BB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465C27C5">
      <w:pPr>
        <w:pStyle w:val="7"/>
        <w:spacing w:before="120" w:after="120" w:line="360" w:lineRule="auto"/>
        <w:ind w:firstLine="480" w:firstLineChars="200"/>
        <w:rPr>
          <w:rFonts w:eastAsia="黑体"/>
          <w:b w:val="0"/>
          <w:color w:val="auto"/>
          <w:sz w:val="24"/>
          <w:szCs w:val="24"/>
          <w:highlight w:val="none"/>
        </w:rPr>
      </w:pPr>
      <w:bookmarkStart w:id="418" w:name="_Toc32835725"/>
      <w:bookmarkStart w:id="419" w:name="_Toc296503125"/>
      <w:bookmarkStart w:id="420" w:name="_Toc296346626"/>
      <w:bookmarkStart w:id="421" w:name="_Toc337558831"/>
      <w:r>
        <w:rPr>
          <w:rFonts w:eastAsia="黑体"/>
          <w:b w:val="0"/>
          <w:color w:val="auto"/>
          <w:sz w:val="24"/>
          <w:szCs w:val="24"/>
          <w:highlight w:val="none"/>
        </w:rPr>
        <w:t>18.3其他保险</w:t>
      </w:r>
      <w:bookmarkEnd w:id="418"/>
    </w:p>
    <w:bookmarkEnd w:id="419"/>
    <w:bookmarkEnd w:id="420"/>
    <w:bookmarkEnd w:id="421"/>
    <w:p w14:paraId="07C34AF8">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73595236">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除专用合同条款另有约定外，承包人应为其施工设备等办理财产保险。</w:t>
      </w:r>
    </w:p>
    <w:p w14:paraId="156E700A">
      <w:pPr>
        <w:pStyle w:val="7"/>
        <w:spacing w:before="120" w:after="120" w:line="360" w:lineRule="auto"/>
        <w:ind w:firstLine="480" w:firstLineChars="200"/>
        <w:rPr>
          <w:rFonts w:eastAsia="黑体"/>
          <w:b w:val="0"/>
          <w:color w:val="auto"/>
          <w:sz w:val="24"/>
          <w:szCs w:val="24"/>
          <w:highlight w:val="none"/>
        </w:rPr>
      </w:pPr>
      <w:bookmarkStart w:id="422" w:name="_Toc32835726"/>
      <w:r>
        <w:rPr>
          <w:rFonts w:eastAsia="黑体"/>
          <w:b w:val="0"/>
          <w:color w:val="auto"/>
          <w:sz w:val="24"/>
          <w:szCs w:val="24"/>
          <w:highlight w:val="none"/>
        </w:rPr>
        <w:t>18.4持续保险</w:t>
      </w:r>
      <w:bookmarkEnd w:id="422"/>
    </w:p>
    <w:p w14:paraId="3F6E0911">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合同当事人应与保险人保持联系，使保险人能够随时了解工程实施中的变动，并确保按保险合同条款要求持续保险。</w:t>
      </w:r>
    </w:p>
    <w:p w14:paraId="3646D244">
      <w:pPr>
        <w:pStyle w:val="7"/>
        <w:spacing w:before="120" w:after="120" w:line="360" w:lineRule="auto"/>
        <w:ind w:firstLine="480" w:firstLineChars="200"/>
        <w:rPr>
          <w:rFonts w:eastAsia="黑体"/>
          <w:b w:val="0"/>
          <w:color w:val="auto"/>
          <w:sz w:val="24"/>
          <w:szCs w:val="24"/>
          <w:highlight w:val="none"/>
        </w:rPr>
      </w:pPr>
      <w:bookmarkStart w:id="423" w:name="_Toc32835727"/>
      <w:bookmarkStart w:id="424" w:name="_Toc337558832"/>
      <w:bookmarkStart w:id="425" w:name="_Toc296346627"/>
      <w:bookmarkStart w:id="426" w:name="_Toc296503126"/>
      <w:r>
        <w:rPr>
          <w:rFonts w:eastAsia="黑体"/>
          <w:b w:val="0"/>
          <w:color w:val="auto"/>
          <w:sz w:val="24"/>
          <w:szCs w:val="24"/>
          <w:highlight w:val="none"/>
        </w:rPr>
        <w:t>18.5 保险凭证</w:t>
      </w:r>
      <w:bookmarkEnd w:id="423"/>
    </w:p>
    <w:bookmarkEnd w:id="424"/>
    <w:bookmarkEnd w:id="425"/>
    <w:bookmarkEnd w:id="426"/>
    <w:p w14:paraId="0B5BB7E7">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合同当事人应及时向另一方当事人提交其已投保的各项保险的凭证和保险单复印件。</w:t>
      </w:r>
    </w:p>
    <w:p w14:paraId="1521735D">
      <w:pPr>
        <w:pStyle w:val="7"/>
        <w:spacing w:before="120" w:after="120" w:line="360" w:lineRule="auto"/>
        <w:ind w:firstLine="480" w:firstLineChars="200"/>
        <w:rPr>
          <w:rFonts w:eastAsia="黑体"/>
          <w:b w:val="0"/>
          <w:color w:val="auto"/>
          <w:sz w:val="24"/>
          <w:szCs w:val="24"/>
          <w:highlight w:val="none"/>
        </w:rPr>
      </w:pPr>
      <w:bookmarkStart w:id="427" w:name="_Toc32835728"/>
      <w:bookmarkStart w:id="428" w:name="_Toc296346628"/>
      <w:bookmarkStart w:id="429" w:name="_Toc337558833"/>
      <w:bookmarkStart w:id="430" w:name="_Toc296503127"/>
      <w:r>
        <w:rPr>
          <w:rFonts w:eastAsia="黑体"/>
          <w:b w:val="0"/>
          <w:color w:val="auto"/>
          <w:sz w:val="24"/>
          <w:szCs w:val="24"/>
          <w:highlight w:val="none"/>
        </w:rPr>
        <w:t>18.6 未按约定投保的补救</w:t>
      </w:r>
      <w:bookmarkEnd w:id="427"/>
    </w:p>
    <w:bookmarkEnd w:id="428"/>
    <w:bookmarkEnd w:id="429"/>
    <w:bookmarkEnd w:id="430"/>
    <w:p w14:paraId="01BE4D0F">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0F52B780">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04698EA0">
      <w:pPr>
        <w:pStyle w:val="7"/>
        <w:spacing w:before="120" w:after="120" w:line="360" w:lineRule="auto"/>
        <w:ind w:firstLine="480" w:firstLineChars="200"/>
        <w:rPr>
          <w:rFonts w:eastAsia="黑体"/>
          <w:b w:val="0"/>
          <w:color w:val="auto"/>
          <w:sz w:val="24"/>
          <w:szCs w:val="24"/>
          <w:highlight w:val="none"/>
        </w:rPr>
      </w:pPr>
      <w:bookmarkStart w:id="431" w:name="_Toc32835729"/>
      <w:bookmarkStart w:id="432" w:name="_Toc337558834"/>
      <w:r>
        <w:rPr>
          <w:rFonts w:eastAsia="黑体"/>
          <w:b w:val="0"/>
          <w:color w:val="auto"/>
          <w:sz w:val="24"/>
          <w:szCs w:val="24"/>
          <w:highlight w:val="none"/>
        </w:rPr>
        <w:t>18.7 通知义务</w:t>
      </w:r>
      <w:bookmarkEnd w:id="431"/>
    </w:p>
    <w:bookmarkEnd w:id="432"/>
    <w:p w14:paraId="2B6D187A">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3A095B78">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保险事故发生时，投保人应按照保险合同规定的条件和期限及时向保险人报告。发包人和承包人应当在知道保险事故发生后及时通知对方。</w:t>
      </w:r>
    </w:p>
    <w:p w14:paraId="071783AA">
      <w:pPr>
        <w:pStyle w:val="6"/>
        <w:spacing w:before="120" w:after="120" w:line="360" w:lineRule="auto"/>
        <w:rPr>
          <w:rFonts w:ascii="Times New Roman" w:hAnsi="Times New Roman" w:eastAsia="黑体"/>
          <w:b w:val="0"/>
          <w:color w:val="auto"/>
          <w:sz w:val="24"/>
          <w:szCs w:val="24"/>
          <w:highlight w:val="none"/>
        </w:rPr>
      </w:pPr>
      <w:bookmarkStart w:id="433" w:name="_Toc32835730"/>
      <w:bookmarkStart w:id="434" w:name="_Toc296503140"/>
      <w:bookmarkStart w:id="435" w:name="_Toc337558835"/>
      <w:bookmarkStart w:id="436" w:name="_Toc296346641"/>
      <w:r>
        <w:rPr>
          <w:rFonts w:ascii="Times New Roman" w:hAnsi="Times New Roman" w:eastAsia="黑体"/>
          <w:b w:val="0"/>
          <w:color w:val="auto"/>
          <w:sz w:val="24"/>
          <w:szCs w:val="24"/>
          <w:highlight w:val="none"/>
        </w:rPr>
        <w:t>19. 索赔</w:t>
      </w:r>
      <w:bookmarkEnd w:id="433"/>
    </w:p>
    <w:bookmarkEnd w:id="434"/>
    <w:bookmarkEnd w:id="435"/>
    <w:bookmarkEnd w:id="436"/>
    <w:p w14:paraId="64967E2D">
      <w:pPr>
        <w:pStyle w:val="7"/>
        <w:spacing w:before="120" w:after="120" w:line="360" w:lineRule="auto"/>
        <w:ind w:firstLine="480" w:firstLineChars="200"/>
        <w:rPr>
          <w:rFonts w:eastAsia="黑体"/>
          <w:b w:val="0"/>
          <w:color w:val="auto"/>
          <w:sz w:val="24"/>
          <w:szCs w:val="24"/>
          <w:highlight w:val="none"/>
        </w:rPr>
      </w:pPr>
      <w:bookmarkStart w:id="437" w:name="_Toc32835731"/>
      <w:bookmarkStart w:id="438" w:name="_Toc296346642"/>
      <w:bookmarkStart w:id="439" w:name="_Toc337558836"/>
      <w:bookmarkStart w:id="440" w:name="_Toc296503141"/>
      <w:r>
        <w:rPr>
          <w:rFonts w:eastAsia="黑体"/>
          <w:b w:val="0"/>
          <w:color w:val="auto"/>
          <w:sz w:val="24"/>
          <w:szCs w:val="24"/>
          <w:highlight w:val="none"/>
        </w:rPr>
        <w:t>19.1承包人的索赔</w:t>
      </w:r>
      <w:bookmarkEnd w:id="437"/>
    </w:p>
    <w:bookmarkEnd w:id="438"/>
    <w:bookmarkEnd w:id="439"/>
    <w:bookmarkEnd w:id="440"/>
    <w:p w14:paraId="3C970EA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根据合同约定，承包人认为有权得到追加付款和（或）延长工期的，应按以下程序向</w:t>
      </w:r>
      <w:r>
        <w:rPr>
          <w:rFonts w:hint="eastAsia" w:eastAsia="仿宋_GB2312"/>
          <w:color w:val="auto"/>
          <w:kern w:val="0"/>
          <w:sz w:val="24"/>
          <w:szCs w:val="24"/>
          <w:highlight w:val="none"/>
        </w:rPr>
        <w:t>发包</w:t>
      </w:r>
      <w:r>
        <w:rPr>
          <w:rFonts w:eastAsia="仿宋_GB2312"/>
          <w:color w:val="auto"/>
          <w:kern w:val="0"/>
          <w:sz w:val="24"/>
          <w:szCs w:val="24"/>
          <w:highlight w:val="none"/>
        </w:rPr>
        <w:t>人提出索赔：</w:t>
      </w:r>
    </w:p>
    <w:p w14:paraId="0DB5270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F80AE3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7F7B8B4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55C03F21">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（4）在索赔事件影响结束后28天内，承包人应向监理人递交最终索赔报告，说明最终要求索赔的追加付款金额和（或）延长的工期，并附必要的记录和证明材料。</w:t>
      </w:r>
    </w:p>
    <w:p w14:paraId="23D03E07">
      <w:pPr>
        <w:pStyle w:val="7"/>
        <w:spacing w:before="120" w:after="120" w:line="360" w:lineRule="auto"/>
        <w:ind w:firstLine="480" w:firstLineChars="200"/>
        <w:rPr>
          <w:rFonts w:eastAsia="黑体"/>
          <w:b w:val="0"/>
          <w:color w:val="auto"/>
          <w:sz w:val="24"/>
          <w:szCs w:val="24"/>
          <w:highlight w:val="none"/>
        </w:rPr>
      </w:pPr>
      <w:bookmarkStart w:id="441" w:name="_Toc32835732"/>
      <w:bookmarkStart w:id="442" w:name="_Toc296346643"/>
      <w:bookmarkStart w:id="443" w:name="_Toc337558837"/>
      <w:bookmarkStart w:id="444" w:name="_Toc296503142"/>
      <w:r>
        <w:rPr>
          <w:rFonts w:eastAsia="黑体"/>
          <w:b w:val="0"/>
          <w:color w:val="auto"/>
          <w:sz w:val="24"/>
          <w:szCs w:val="24"/>
          <w:highlight w:val="none"/>
        </w:rPr>
        <w:t>19.2 对承包人索赔的处理</w:t>
      </w:r>
      <w:bookmarkEnd w:id="441"/>
    </w:p>
    <w:bookmarkEnd w:id="442"/>
    <w:bookmarkEnd w:id="443"/>
    <w:bookmarkEnd w:id="444"/>
    <w:p w14:paraId="1CCB5F4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对承包人索赔的处理如下：</w:t>
      </w:r>
    </w:p>
    <w:p w14:paraId="2D4242B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（1）监理人应在收到索赔报告后14天内完成审查并报送发包人。监理人对索赔报告存在异议的，有权要求承包人提交全部原始记录副本；</w:t>
      </w:r>
    </w:p>
    <w:p w14:paraId="3A4487D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37630DD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（3）承包人接受索赔处理结果的，索赔款项在当期进度款中进行支付；承包人不接受索赔处理结果的，按照第20条</w:t>
      </w:r>
      <w:r>
        <w:rPr>
          <w:rFonts w:hint="eastAsia" w:eastAsia="仿宋_GB2312"/>
          <w:color w:val="auto"/>
          <w:kern w:val="0"/>
          <w:sz w:val="24"/>
          <w:szCs w:val="24"/>
          <w:highlight w:val="none"/>
        </w:rPr>
        <w:t>〔</w:t>
      </w:r>
      <w:r>
        <w:rPr>
          <w:rFonts w:eastAsia="仿宋_GB2312"/>
          <w:color w:val="auto"/>
          <w:kern w:val="0"/>
          <w:sz w:val="24"/>
          <w:szCs w:val="24"/>
          <w:highlight w:val="none"/>
        </w:rPr>
        <w:t>争议解决</w:t>
      </w:r>
      <w:r>
        <w:rPr>
          <w:rFonts w:hint="eastAsia" w:eastAsia="仿宋_GB2312"/>
          <w:color w:val="auto"/>
          <w:kern w:val="0"/>
          <w:sz w:val="24"/>
          <w:szCs w:val="24"/>
          <w:highlight w:val="none"/>
        </w:rPr>
        <w:t>〕</w:t>
      </w:r>
      <w:r>
        <w:rPr>
          <w:rFonts w:eastAsia="仿宋_GB2312"/>
          <w:color w:val="auto"/>
          <w:kern w:val="0"/>
          <w:sz w:val="24"/>
          <w:szCs w:val="24"/>
          <w:highlight w:val="none"/>
        </w:rPr>
        <w:t>约定处理。</w:t>
      </w:r>
    </w:p>
    <w:p w14:paraId="78957366">
      <w:pPr>
        <w:pStyle w:val="7"/>
        <w:spacing w:before="120" w:after="120" w:line="360" w:lineRule="auto"/>
        <w:ind w:firstLine="480" w:firstLineChars="200"/>
        <w:rPr>
          <w:rFonts w:eastAsia="黑体"/>
          <w:b w:val="0"/>
          <w:color w:val="auto"/>
          <w:sz w:val="24"/>
          <w:szCs w:val="24"/>
          <w:highlight w:val="none"/>
        </w:rPr>
      </w:pPr>
      <w:bookmarkStart w:id="445" w:name="_Toc32835733"/>
      <w:bookmarkStart w:id="446" w:name="_Toc296503143"/>
      <w:bookmarkStart w:id="447" w:name="_Toc337558838"/>
      <w:bookmarkStart w:id="448" w:name="_Toc296346644"/>
      <w:r>
        <w:rPr>
          <w:rFonts w:eastAsia="黑体"/>
          <w:b w:val="0"/>
          <w:color w:val="auto"/>
          <w:sz w:val="24"/>
          <w:szCs w:val="24"/>
          <w:highlight w:val="none"/>
        </w:rPr>
        <w:t>19.3发包人的索赔</w:t>
      </w:r>
      <w:bookmarkEnd w:id="445"/>
    </w:p>
    <w:bookmarkEnd w:id="446"/>
    <w:bookmarkEnd w:id="447"/>
    <w:bookmarkEnd w:id="448"/>
    <w:p w14:paraId="536FA72A">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根据合同约定，发包人认为有权得到赔付金额和（或）延长缺陷责任期的，监理人应向承包人发出通知并附有详细的证明。</w:t>
      </w:r>
    </w:p>
    <w:p w14:paraId="04440544">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3F02173">
      <w:pPr>
        <w:pStyle w:val="7"/>
        <w:spacing w:before="120" w:after="120" w:line="360" w:lineRule="auto"/>
        <w:ind w:firstLine="480" w:firstLineChars="200"/>
        <w:rPr>
          <w:rFonts w:eastAsia="黑体"/>
          <w:b w:val="0"/>
          <w:color w:val="auto"/>
          <w:sz w:val="24"/>
          <w:szCs w:val="24"/>
          <w:highlight w:val="none"/>
        </w:rPr>
      </w:pPr>
      <w:bookmarkStart w:id="449" w:name="_Toc32835734"/>
      <w:bookmarkStart w:id="450" w:name="_Toc296503144"/>
      <w:bookmarkStart w:id="451" w:name="_Toc296346645"/>
      <w:bookmarkStart w:id="452" w:name="_Toc337558839"/>
      <w:r>
        <w:rPr>
          <w:rFonts w:eastAsia="黑体"/>
          <w:b w:val="0"/>
          <w:color w:val="auto"/>
          <w:sz w:val="24"/>
          <w:szCs w:val="24"/>
          <w:highlight w:val="none"/>
        </w:rPr>
        <w:t>19.4 对发包人索赔的处理</w:t>
      </w:r>
      <w:bookmarkEnd w:id="449"/>
    </w:p>
    <w:bookmarkEnd w:id="450"/>
    <w:bookmarkEnd w:id="451"/>
    <w:bookmarkEnd w:id="452"/>
    <w:p w14:paraId="3F73551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对发包人索赔的处理如下：</w:t>
      </w:r>
    </w:p>
    <w:p w14:paraId="6DD4302E">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（1）承包人收到发包人提交的索赔报告后，应及时审查索赔报告的内容、查验发包人证明材料；</w:t>
      </w:r>
    </w:p>
    <w:p w14:paraId="78DFBB5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090F821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（3）承包人接受索赔处理结果的，发包人可从应支付给承包人的合同价款中扣除赔付的金额或延长缺陷责任期；发包人不接受索赔处理结果的，按第20条</w:t>
      </w:r>
      <w:r>
        <w:rPr>
          <w:rFonts w:hint="eastAsia" w:eastAsia="仿宋_GB2312"/>
          <w:color w:val="auto"/>
          <w:kern w:val="0"/>
          <w:sz w:val="24"/>
          <w:szCs w:val="24"/>
          <w:highlight w:val="none"/>
        </w:rPr>
        <w:t>〔</w:t>
      </w:r>
      <w:r>
        <w:rPr>
          <w:rFonts w:eastAsia="仿宋_GB2312"/>
          <w:color w:val="auto"/>
          <w:kern w:val="0"/>
          <w:sz w:val="24"/>
          <w:szCs w:val="24"/>
          <w:highlight w:val="none"/>
        </w:rPr>
        <w:t>争议解决</w:t>
      </w:r>
      <w:r>
        <w:rPr>
          <w:rFonts w:hint="eastAsia" w:eastAsia="仿宋_GB2312"/>
          <w:color w:val="auto"/>
          <w:kern w:val="0"/>
          <w:sz w:val="24"/>
          <w:szCs w:val="24"/>
          <w:highlight w:val="none"/>
        </w:rPr>
        <w:t>〕</w:t>
      </w:r>
      <w:r>
        <w:rPr>
          <w:rFonts w:eastAsia="仿宋_GB2312"/>
          <w:color w:val="auto"/>
          <w:kern w:val="0"/>
          <w:sz w:val="24"/>
          <w:szCs w:val="24"/>
          <w:highlight w:val="none"/>
        </w:rPr>
        <w:t>约定处理。</w:t>
      </w:r>
    </w:p>
    <w:p w14:paraId="52EA3439">
      <w:pPr>
        <w:pStyle w:val="7"/>
        <w:spacing w:before="120" w:after="120" w:line="360" w:lineRule="auto"/>
        <w:ind w:firstLine="480" w:firstLineChars="200"/>
        <w:rPr>
          <w:rFonts w:eastAsia="黑体"/>
          <w:b w:val="0"/>
          <w:color w:val="auto"/>
          <w:sz w:val="24"/>
          <w:szCs w:val="24"/>
          <w:highlight w:val="none"/>
        </w:rPr>
      </w:pPr>
      <w:bookmarkStart w:id="453" w:name="_Toc32835735"/>
      <w:r>
        <w:rPr>
          <w:rFonts w:eastAsia="黑体"/>
          <w:b w:val="0"/>
          <w:color w:val="auto"/>
          <w:sz w:val="24"/>
          <w:szCs w:val="24"/>
          <w:highlight w:val="none"/>
        </w:rPr>
        <w:t>19.5 提出索赔的期限</w:t>
      </w:r>
      <w:bookmarkEnd w:id="453"/>
    </w:p>
    <w:p w14:paraId="5766A876">
      <w:pPr>
        <w:spacing w:line="360" w:lineRule="auto"/>
        <w:ind w:firstLine="480" w:firstLineChars="200"/>
        <w:rPr>
          <w:rFonts w:eastAsia="仿宋_GB2312"/>
          <w:color w:val="auto"/>
          <w:kern w:val="0"/>
          <w:sz w:val="24"/>
          <w:szCs w:val="24"/>
          <w:highlight w:val="none"/>
        </w:rPr>
      </w:pPr>
      <w:r>
        <w:rPr>
          <w:rFonts w:eastAsia="仿宋_GB2312"/>
          <w:color w:val="auto"/>
          <w:kern w:val="0"/>
          <w:sz w:val="24"/>
          <w:szCs w:val="24"/>
          <w:highlight w:val="none"/>
        </w:rPr>
        <w:t>（1）承包人按第14.2款</w:t>
      </w:r>
      <w:r>
        <w:rPr>
          <w:rFonts w:hint="eastAsia" w:eastAsia="仿宋_GB2312"/>
          <w:color w:val="auto"/>
          <w:kern w:val="0"/>
          <w:sz w:val="24"/>
          <w:szCs w:val="24"/>
          <w:highlight w:val="none"/>
        </w:rPr>
        <w:t>〔</w:t>
      </w:r>
      <w:r>
        <w:rPr>
          <w:rFonts w:eastAsia="仿宋_GB2312"/>
          <w:color w:val="auto"/>
          <w:kern w:val="0"/>
          <w:sz w:val="24"/>
          <w:szCs w:val="24"/>
          <w:highlight w:val="none"/>
        </w:rPr>
        <w:t>竣工结算审核</w:t>
      </w:r>
      <w:r>
        <w:rPr>
          <w:rFonts w:hint="eastAsia" w:eastAsia="仿宋_GB2312"/>
          <w:color w:val="auto"/>
          <w:kern w:val="0"/>
          <w:sz w:val="24"/>
          <w:szCs w:val="24"/>
          <w:highlight w:val="none"/>
        </w:rPr>
        <w:t>〕</w:t>
      </w:r>
      <w:r>
        <w:rPr>
          <w:rFonts w:eastAsia="仿宋_GB2312"/>
          <w:color w:val="auto"/>
          <w:kern w:val="0"/>
          <w:sz w:val="24"/>
          <w:szCs w:val="24"/>
          <w:highlight w:val="none"/>
        </w:rPr>
        <w:t>约定接收竣工付款证书后，应被视为已无权再提出在工程接收证书颁发前所发生的任何索赔。</w:t>
      </w:r>
    </w:p>
    <w:p w14:paraId="7FA6458E">
      <w:pPr>
        <w:spacing w:line="360" w:lineRule="auto"/>
        <w:ind w:firstLine="480" w:firstLineChars="200"/>
        <w:rPr>
          <w:rFonts w:eastAsia="仿宋_GB2312"/>
          <w:color w:val="auto"/>
          <w:kern w:val="0"/>
          <w:sz w:val="24"/>
          <w:szCs w:val="24"/>
          <w:highlight w:val="none"/>
        </w:rPr>
      </w:pPr>
      <w:r>
        <w:rPr>
          <w:rFonts w:eastAsia="仿宋_GB2312"/>
          <w:color w:val="auto"/>
          <w:kern w:val="0"/>
          <w:sz w:val="24"/>
          <w:szCs w:val="24"/>
          <w:highlight w:val="none"/>
        </w:rPr>
        <w:t>（2）承包人按第14.4款</w:t>
      </w:r>
      <w:r>
        <w:rPr>
          <w:rFonts w:hint="eastAsia" w:eastAsia="仿宋_GB2312"/>
          <w:color w:val="auto"/>
          <w:kern w:val="0"/>
          <w:sz w:val="24"/>
          <w:szCs w:val="24"/>
          <w:highlight w:val="none"/>
        </w:rPr>
        <w:t>〔</w:t>
      </w:r>
      <w:r>
        <w:rPr>
          <w:rFonts w:eastAsia="仿宋_GB2312"/>
          <w:color w:val="auto"/>
          <w:kern w:val="0"/>
          <w:sz w:val="24"/>
          <w:szCs w:val="24"/>
          <w:highlight w:val="none"/>
        </w:rPr>
        <w:t>最终结清</w:t>
      </w:r>
      <w:r>
        <w:rPr>
          <w:rFonts w:hint="eastAsia" w:eastAsia="仿宋_GB2312"/>
          <w:color w:val="auto"/>
          <w:kern w:val="0"/>
          <w:sz w:val="24"/>
          <w:szCs w:val="24"/>
          <w:highlight w:val="none"/>
        </w:rPr>
        <w:t>〕</w:t>
      </w:r>
      <w:r>
        <w:rPr>
          <w:rFonts w:eastAsia="仿宋_GB2312"/>
          <w:color w:val="auto"/>
          <w:kern w:val="0"/>
          <w:sz w:val="24"/>
          <w:szCs w:val="24"/>
          <w:highlight w:val="none"/>
        </w:rPr>
        <w:t>提交的最终结清申请单中，只限于提出工程接收证书颁发后发生的索赔。提出索赔的期限自接受最终结清证书时终止。</w:t>
      </w:r>
    </w:p>
    <w:p w14:paraId="34A06BBA">
      <w:pPr>
        <w:pStyle w:val="6"/>
        <w:spacing w:before="120" w:after="120" w:line="360" w:lineRule="auto"/>
        <w:rPr>
          <w:rFonts w:ascii="Times New Roman" w:hAnsi="Times New Roman" w:eastAsia="黑体"/>
          <w:b w:val="0"/>
          <w:color w:val="auto"/>
          <w:sz w:val="24"/>
          <w:szCs w:val="24"/>
          <w:highlight w:val="none"/>
        </w:rPr>
      </w:pPr>
      <w:bookmarkStart w:id="454" w:name="_Toc32835736"/>
      <w:r>
        <w:rPr>
          <w:rFonts w:ascii="Times New Roman" w:hAnsi="Times New Roman" w:eastAsia="黑体"/>
          <w:b w:val="0"/>
          <w:color w:val="auto"/>
          <w:sz w:val="24"/>
          <w:szCs w:val="24"/>
          <w:highlight w:val="none"/>
        </w:rPr>
        <w:t>20</w:t>
      </w:r>
      <w:bookmarkStart w:id="455" w:name="_Toc296503146"/>
      <w:bookmarkStart w:id="456" w:name="_Toc337558840"/>
      <w:bookmarkStart w:id="457" w:name="_Toc296346647"/>
      <w:r>
        <w:rPr>
          <w:rFonts w:ascii="Times New Roman" w:hAnsi="Times New Roman" w:eastAsia="黑体"/>
          <w:b w:val="0"/>
          <w:color w:val="auto"/>
          <w:sz w:val="24"/>
          <w:szCs w:val="24"/>
          <w:highlight w:val="none"/>
        </w:rPr>
        <w:t>. 争议解决</w:t>
      </w:r>
      <w:bookmarkEnd w:id="454"/>
    </w:p>
    <w:bookmarkEnd w:id="455"/>
    <w:bookmarkEnd w:id="456"/>
    <w:bookmarkEnd w:id="457"/>
    <w:p w14:paraId="1151CC28">
      <w:pPr>
        <w:pStyle w:val="7"/>
        <w:spacing w:before="120" w:after="120" w:line="360" w:lineRule="auto"/>
        <w:ind w:firstLine="480" w:firstLineChars="200"/>
        <w:rPr>
          <w:rFonts w:eastAsia="黑体"/>
          <w:b w:val="0"/>
          <w:color w:val="auto"/>
          <w:sz w:val="24"/>
          <w:szCs w:val="24"/>
          <w:highlight w:val="none"/>
        </w:rPr>
      </w:pPr>
      <w:bookmarkStart w:id="458" w:name="_Toc32835737"/>
      <w:bookmarkStart w:id="459" w:name="_Toc337558841"/>
      <w:bookmarkStart w:id="460" w:name="_Toc296503147"/>
      <w:bookmarkStart w:id="461" w:name="_Toc296346648"/>
      <w:r>
        <w:rPr>
          <w:rFonts w:eastAsia="黑体"/>
          <w:b w:val="0"/>
          <w:color w:val="auto"/>
          <w:sz w:val="24"/>
          <w:szCs w:val="24"/>
          <w:highlight w:val="none"/>
        </w:rPr>
        <w:t>20.1和解</w:t>
      </w:r>
      <w:bookmarkEnd w:id="458"/>
    </w:p>
    <w:bookmarkEnd w:id="459"/>
    <w:bookmarkEnd w:id="460"/>
    <w:bookmarkEnd w:id="461"/>
    <w:p w14:paraId="6B2789B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合同当事人可以就争议自行和解，自行和解达成协议的经双方签字并盖章后作为合同补充文件，双方均应遵照执行。</w:t>
      </w:r>
    </w:p>
    <w:p w14:paraId="59DA4CE5">
      <w:pPr>
        <w:pStyle w:val="7"/>
        <w:spacing w:before="120" w:after="120" w:line="360" w:lineRule="auto"/>
        <w:ind w:firstLine="480" w:firstLineChars="200"/>
        <w:rPr>
          <w:rFonts w:eastAsia="黑体"/>
          <w:b w:val="0"/>
          <w:color w:val="auto"/>
          <w:sz w:val="24"/>
          <w:szCs w:val="24"/>
          <w:highlight w:val="none"/>
        </w:rPr>
      </w:pPr>
      <w:bookmarkStart w:id="462" w:name="_Toc32835738"/>
      <w:r>
        <w:rPr>
          <w:rFonts w:eastAsia="黑体"/>
          <w:b w:val="0"/>
          <w:color w:val="auto"/>
          <w:sz w:val="24"/>
          <w:szCs w:val="24"/>
          <w:highlight w:val="none"/>
        </w:rPr>
        <w:t>20</w:t>
      </w:r>
      <w:bookmarkStart w:id="463" w:name="_Toc296346649"/>
      <w:bookmarkStart w:id="464" w:name="_Toc296503148"/>
      <w:bookmarkStart w:id="465" w:name="_Toc337558842"/>
      <w:r>
        <w:rPr>
          <w:rFonts w:eastAsia="黑体"/>
          <w:b w:val="0"/>
          <w:color w:val="auto"/>
          <w:sz w:val="24"/>
          <w:szCs w:val="24"/>
          <w:highlight w:val="none"/>
        </w:rPr>
        <w:t>.2调解</w:t>
      </w:r>
      <w:bookmarkEnd w:id="462"/>
    </w:p>
    <w:bookmarkEnd w:id="463"/>
    <w:bookmarkEnd w:id="464"/>
    <w:bookmarkEnd w:id="465"/>
    <w:p w14:paraId="59E89EDD">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合同当事人可以就争议请求建设行政主管部门</w:t>
      </w:r>
      <w:r>
        <w:rPr>
          <w:rFonts w:hint="eastAsia" w:eastAsia="仿宋_GB2312"/>
          <w:color w:val="auto"/>
          <w:kern w:val="0"/>
          <w:sz w:val="24"/>
          <w:szCs w:val="24"/>
          <w:highlight w:val="none"/>
        </w:rPr>
        <w:t>、行业协会</w:t>
      </w:r>
      <w:r>
        <w:rPr>
          <w:rFonts w:eastAsia="仿宋_GB2312"/>
          <w:color w:val="auto"/>
          <w:kern w:val="0"/>
          <w:sz w:val="24"/>
          <w:szCs w:val="24"/>
          <w:highlight w:val="none"/>
        </w:rPr>
        <w:t>或</w:t>
      </w:r>
      <w:r>
        <w:rPr>
          <w:rFonts w:hint="eastAsia" w:eastAsia="仿宋_GB2312"/>
          <w:color w:val="auto"/>
          <w:kern w:val="0"/>
          <w:sz w:val="24"/>
          <w:szCs w:val="24"/>
          <w:highlight w:val="none"/>
        </w:rPr>
        <w:t>其他</w:t>
      </w:r>
      <w:r>
        <w:rPr>
          <w:rFonts w:eastAsia="仿宋_GB2312"/>
          <w:color w:val="auto"/>
          <w:kern w:val="0"/>
          <w:sz w:val="24"/>
          <w:szCs w:val="24"/>
          <w:highlight w:val="none"/>
        </w:rPr>
        <w:t>第三方进行调解，调解达成协议的，经双方签字并盖章后作为合同补充文件，双方均应遵照执行。</w:t>
      </w:r>
    </w:p>
    <w:p w14:paraId="56607993">
      <w:pPr>
        <w:pStyle w:val="7"/>
        <w:spacing w:before="120" w:after="120" w:line="360" w:lineRule="auto"/>
        <w:ind w:firstLine="480" w:firstLineChars="200"/>
        <w:rPr>
          <w:rFonts w:eastAsia="黑体"/>
          <w:b w:val="0"/>
          <w:color w:val="auto"/>
          <w:sz w:val="24"/>
          <w:szCs w:val="24"/>
          <w:highlight w:val="none"/>
        </w:rPr>
      </w:pPr>
      <w:bookmarkStart w:id="466" w:name="_Toc32835739"/>
      <w:bookmarkStart w:id="467" w:name="_Toc296503149"/>
      <w:bookmarkStart w:id="468" w:name="_Toc296346650"/>
      <w:bookmarkStart w:id="469" w:name="_Toc337558843"/>
      <w:r>
        <w:rPr>
          <w:rFonts w:eastAsia="黑体"/>
          <w:b w:val="0"/>
          <w:color w:val="auto"/>
          <w:sz w:val="24"/>
          <w:szCs w:val="24"/>
          <w:highlight w:val="none"/>
        </w:rPr>
        <w:t>20.3争议评审</w:t>
      </w:r>
      <w:bookmarkEnd w:id="466"/>
    </w:p>
    <w:bookmarkEnd w:id="467"/>
    <w:bookmarkEnd w:id="468"/>
    <w:bookmarkEnd w:id="469"/>
    <w:p w14:paraId="3694530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合同当事人在专用合同条款中约定采取争议评审方式解决争议</w:t>
      </w:r>
      <w:r>
        <w:rPr>
          <w:rFonts w:hint="eastAsia" w:eastAsia="仿宋_GB2312"/>
          <w:color w:val="auto"/>
          <w:kern w:val="0"/>
          <w:sz w:val="24"/>
          <w:szCs w:val="24"/>
          <w:highlight w:val="none"/>
        </w:rPr>
        <w:t>以及评审规则，并</w:t>
      </w:r>
      <w:r>
        <w:rPr>
          <w:rFonts w:eastAsia="仿宋_GB2312"/>
          <w:color w:val="auto"/>
          <w:kern w:val="0"/>
          <w:sz w:val="24"/>
          <w:szCs w:val="24"/>
          <w:highlight w:val="none"/>
        </w:rPr>
        <w:t xml:space="preserve">按下列约定执行： </w:t>
      </w:r>
    </w:p>
    <w:p w14:paraId="1A72CA4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20.3.1 争议评审小组的确定</w:t>
      </w:r>
    </w:p>
    <w:p w14:paraId="37BDCBA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53043943">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eastAsia="仿宋_GB2312"/>
          <w:color w:val="auto"/>
          <w:kern w:val="0"/>
          <w:sz w:val="24"/>
          <w:szCs w:val="24"/>
          <w:highlight w:val="none"/>
        </w:rPr>
        <w:t>评审</w:t>
      </w:r>
      <w:r>
        <w:rPr>
          <w:rFonts w:eastAsia="仿宋_GB2312"/>
          <w:color w:val="auto"/>
          <w:kern w:val="0"/>
          <w:sz w:val="24"/>
          <w:szCs w:val="24"/>
          <w:highlight w:val="none"/>
        </w:rPr>
        <w:t xml:space="preserve">机构指定第三名首席争议评审员。 </w:t>
      </w:r>
    </w:p>
    <w:p w14:paraId="598E38D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除专用合同条款另有约定外，评审员报酬由发包人和承包人各承担一半。</w:t>
      </w:r>
    </w:p>
    <w:p w14:paraId="32982C6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20.3.2 争议评审小组的决定</w:t>
      </w:r>
    </w:p>
    <w:p w14:paraId="0E15F01C">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F90DEA4">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20.3.3 争议评审小组决定的效力</w:t>
      </w:r>
    </w:p>
    <w:p w14:paraId="0D69A611">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争议评审小组作出的书面决定经合同当事人签字确认后，对双方具有约束力，双方应遵照执行。</w:t>
      </w:r>
    </w:p>
    <w:p w14:paraId="77DEB868">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任何一方当事人不接受争议评审小组决定</w:t>
      </w:r>
      <w:r>
        <w:rPr>
          <w:rFonts w:hint="eastAsia" w:eastAsia="仿宋_GB2312"/>
          <w:color w:val="auto"/>
          <w:kern w:val="0"/>
          <w:sz w:val="24"/>
          <w:szCs w:val="24"/>
          <w:highlight w:val="none"/>
        </w:rPr>
        <w:t>或不履行争议评审小组决定的</w:t>
      </w:r>
      <w:r>
        <w:rPr>
          <w:rFonts w:eastAsia="仿宋_GB2312"/>
          <w:color w:val="auto"/>
          <w:kern w:val="0"/>
          <w:sz w:val="24"/>
          <w:szCs w:val="24"/>
          <w:highlight w:val="none"/>
        </w:rPr>
        <w:t>，双方可选择采用其他争议解决方式。</w:t>
      </w:r>
    </w:p>
    <w:p w14:paraId="1A6A24BC">
      <w:pPr>
        <w:pStyle w:val="7"/>
        <w:spacing w:before="120" w:after="120" w:line="360" w:lineRule="auto"/>
        <w:ind w:firstLine="480" w:firstLineChars="200"/>
        <w:rPr>
          <w:rFonts w:eastAsia="黑体"/>
          <w:b w:val="0"/>
          <w:color w:val="auto"/>
          <w:sz w:val="24"/>
          <w:szCs w:val="24"/>
          <w:highlight w:val="none"/>
        </w:rPr>
      </w:pPr>
      <w:bookmarkStart w:id="470" w:name="_Toc32835740"/>
      <w:bookmarkStart w:id="471" w:name="_Toc296503150"/>
      <w:bookmarkStart w:id="472" w:name="_Toc337558844"/>
      <w:bookmarkStart w:id="473" w:name="_Toc296346651"/>
      <w:r>
        <w:rPr>
          <w:rFonts w:eastAsia="黑体"/>
          <w:b w:val="0"/>
          <w:color w:val="auto"/>
          <w:sz w:val="24"/>
          <w:szCs w:val="24"/>
          <w:highlight w:val="none"/>
        </w:rPr>
        <w:t>20.4仲裁或诉讼</w:t>
      </w:r>
      <w:bookmarkEnd w:id="470"/>
    </w:p>
    <w:bookmarkEnd w:id="471"/>
    <w:bookmarkEnd w:id="472"/>
    <w:bookmarkEnd w:id="473"/>
    <w:p w14:paraId="71EA63AB">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因合同及合同有关事项产生的争议，合同当事人可以在专用合同条款中约定以下一种方式解决争议：</w:t>
      </w:r>
    </w:p>
    <w:p w14:paraId="65CCB842">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（1）向约定的仲裁委员会申请仲裁；</w:t>
      </w:r>
    </w:p>
    <w:p w14:paraId="120B7FB9">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（2）向有管辖权的人民法院起诉。</w:t>
      </w:r>
    </w:p>
    <w:p w14:paraId="388F87CF">
      <w:pPr>
        <w:pStyle w:val="7"/>
        <w:spacing w:before="120" w:after="120" w:line="360" w:lineRule="auto"/>
        <w:ind w:firstLine="480" w:firstLineChars="200"/>
        <w:rPr>
          <w:rFonts w:eastAsia="黑体"/>
          <w:b w:val="0"/>
          <w:color w:val="auto"/>
          <w:sz w:val="24"/>
          <w:szCs w:val="24"/>
          <w:highlight w:val="none"/>
        </w:rPr>
      </w:pPr>
      <w:bookmarkStart w:id="474" w:name="_Toc32835741"/>
      <w:bookmarkStart w:id="475" w:name="_Toc296346653"/>
      <w:bookmarkStart w:id="476" w:name="_Toc337558845"/>
      <w:bookmarkStart w:id="477" w:name="_Toc296503152"/>
      <w:r>
        <w:rPr>
          <w:rFonts w:eastAsia="黑体"/>
          <w:b w:val="0"/>
          <w:color w:val="auto"/>
          <w:sz w:val="24"/>
          <w:szCs w:val="24"/>
          <w:highlight w:val="none"/>
        </w:rPr>
        <w:t>20.5争议解决条款效力</w:t>
      </w:r>
      <w:bookmarkEnd w:id="474"/>
    </w:p>
    <w:bookmarkEnd w:id="475"/>
    <w:bookmarkEnd w:id="476"/>
    <w:bookmarkEnd w:id="477"/>
    <w:p w14:paraId="179A407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 xml:space="preserve">合同有关争议解决的条款独立存在，合同的变更、解除、终止、无效或者被撤销均不影响其效力。 </w:t>
      </w:r>
    </w:p>
    <w:p w14:paraId="2ECAAEC9">
      <w:pPr>
        <w:pStyle w:val="5"/>
        <w:jc w:val="center"/>
        <w:rPr>
          <w:rFonts w:ascii="华文中宋" w:hAnsi="华文中宋" w:eastAsia="华文中宋"/>
          <w:color w:val="auto"/>
          <w:sz w:val="36"/>
          <w:szCs w:val="36"/>
          <w:highlight w:val="none"/>
        </w:rPr>
      </w:pPr>
      <w:r>
        <w:rPr>
          <w:rFonts w:ascii="华文中宋" w:hAnsi="华文中宋" w:eastAsia="华文中宋"/>
          <w:color w:val="auto"/>
          <w:sz w:val="36"/>
          <w:szCs w:val="36"/>
          <w:highlight w:val="none"/>
        </w:rPr>
        <w:br w:type="page"/>
      </w:r>
      <w:bookmarkStart w:id="478" w:name="_Toc32835742"/>
      <w:r>
        <w:rPr>
          <w:rFonts w:ascii="华文中宋" w:hAnsi="华文中宋" w:eastAsia="华文中宋"/>
          <w:color w:val="auto"/>
          <w:sz w:val="36"/>
          <w:szCs w:val="36"/>
          <w:highlight w:val="none"/>
        </w:rPr>
        <w:t xml:space="preserve">第三部分 </w:t>
      </w:r>
      <w:r>
        <w:rPr>
          <w:rFonts w:hint="eastAsia" w:ascii="华文中宋" w:hAnsi="华文中宋" w:eastAsia="华文中宋"/>
          <w:color w:val="auto"/>
          <w:sz w:val="36"/>
          <w:szCs w:val="36"/>
          <w:highlight w:val="none"/>
        </w:rPr>
        <w:t>专用合同条款</w:t>
      </w:r>
      <w:bookmarkEnd w:id="478"/>
    </w:p>
    <w:p w14:paraId="08A8B769">
      <w:pPr>
        <w:pStyle w:val="6"/>
        <w:spacing w:before="120" w:after="120" w:line="360" w:lineRule="auto"/>
        <w:rPr>
          <w:rFonts w:ascii="Times New Roman" w:hAnsi="Times New Roman" w:eastAsia="黑体"/>
          <w:b w:val="0"/>
          <w:color w:val="auto"/>
          <w:sz w:val="24"/>
          <w:szCs w:val="24"/>
          <w:highlight w:val="none"/>
        </w:rPr>
      </w:pPr>
      <w:bookmarkStart w:id="479" w:name="_Toc32835743"/>
      <w:r>
        <w:rPr>
          <w:rFonts w:ascii="Times New Roman" w:hAnsi="Times New Roman" w:eastAsia="黑体"/>
          <w:b w:val="0"/>
          <w:color w:val="auto"/>
          <w:sz w:val="24"/>
          <w:szCs w:val="24"/>
          <w:highlight w:val="none"/>
        </w:rPr>
        <w:t>1</w:t>
      </w:r>
      <w:bookmarkStart w:id="480" w:name="_Toc296890984"/>
      <w:bookmarkStart w:id="481" w:name="_Toc296346657"/>
      <w:bookmarkStart w:id="482" w:name="_Toc292559361"/>
      <w:bookmarkStart w:id="483" w:name="_Toc296503156"/>
      <w:bookmarkStart w:id="484" w:name="_Toc297048342"/>
      <w:bookmarkStart w:id="485" w:name="_Toc296891196"/>
      <w:bookmarkStart w:id="486" w:name="_Toc292559866"/>
      <w:bookmarkStart w:id="487" w:name="_Toc296347155"/>
      <w:bookmarkStart w:id="488" w:name="_Toc297120456"/>
      <w:bookmarkStart w:id="489" w:name="_Toc296944495"/>
      <w:r>
        <w:rPr>
          <w:rFonts w:ascii="Times New Roman" w:hAnsi="Times New Roman" w:eastAsia="黑体"/>
          <w:b w:val="0"/>
          <w:color w:val="auto"/>
          <w:sz w:val="24"/>
          <w:szCs w:val="24"/>
          <w:highlight w:val="none"/>
        </w:rPr>
        <w:t>. 一般约定</w:t>
      </w:r>
      <w:bookmarkEnd w:id="479"/>
    </w:p>
    <w:bookmarkEnd w:id="480"/>
    <w:bookmarkEnd w:id="481"/>
    <w:bookmarkEnd w:id="482"/>
    <w:bookmarkEnd w:id="483"/>
    <w:bookmarkEnd w:id="484"/>
    <w:bookmarkEnd w:id="485"/>
    <w:bookmarkEnd w:id="486"/>
    <w:bookmarkEnd w:id="487"/>
    <w:bookmarkEnd w:id="488"/>
    <w:bookmarkEnd w:id="489"/>
    <w:p w14:paraId="191AB966">
      <w:pPr>
        <w:spacing w:after="120" w:line="360" w:lineRule="auto"/>
        <w:ind w:firstLine="480" w:firstLineChars="200"/>
        <w:outlineLvl w:val="0"/>
        <w:rPr>
          <w:rFonts w:eastAsia="黑体"/>
          <w:color w:val="auto"/>
          <w:sz w:val="24"/>
          <w:szCs w:val="24"/>
          <w:highlight w:val="none"/>
        </w:rPr>
      </w:pPr>
      <w:bookmarkStart w:id="490" w:name="_Toc32835744"/>
      <w:r>
        <w:rPr>
          <w:rFonts w:eastAsia="黑体"/>
          <w:color w:val="auto"/>
          <w:sz w:val="24"/>
          <w:szCs w:val="24"/>
          <w:highlight w:val="none"/>
        </w:rPr>
        <w:t>1.1 词语定义</w:t>
      </w:r>
      <w:bookmarkEnd w:id="490"/>
    </w:p>
    <w:p w14:paraId="1A76600A">
      <w:pPr>
        <w:spacing w:line="360" w:lineRule="auto"/>
        <w:ind w:firstLine="480" w:firstLineChars="200"/>
        <w:rPr>
          <w:rFonts w:eastAsia="仿宋_GB2312"/>
          <w:color w:val="auto"/>
          <w:kern w:val="0"/>
          <w:sz w:val="24"/>
          <w:szCs w:val="24"/>
          <w:highlight w:val="none"/>
        </w:rPr>
      </w:pPr>
      <w:r>
        <w:rPr>
          <w:rFonts w:eastAsia="仿宋_GB2312"/>
          <w:color w:val="auto"/>
          <w:kern w:val="0"/>
          <w:sz w:val="24"/>
          <w:szCs w:val="24"/>
          <w:highlight w:val="none"/>
        </w:rPr>
        <w:t>1.1.1合同</w:t>
      </w:r>
    </w:p>
    <w:p w14:paraId="06A53E0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通用条款</w:t>
      </w:r>
      <w:r>
        <w:rPr>
          <w:rFonts w:hint="eastAsia" w:eastAsia="仿宋_GB2312"/>
          <w:color w:val="auto"/>
          <w:kern w:val="0"/>
          <w:sz w:val="24"/>
          <w:szCs w:val="24"/>
          <w:highlight w:val="none"/>
        </w:rPr>
        <w:t>1.1.1.7不适用</w:t>
      </w:r>
      <w:r>
        <w:rPr>
          <w:rFonts w:hint="eastAsia" w:eastAsia="仿宋_GB2312"/>
          <w:color w:val="auto"/>
          <w:sz w:val="24"/>
          <w:szCs w:val="24"/>
          <w:highlight w:val="none"/>
        </w:rPr>
        <w:t>，替换为：</w:t>
      </w:r>
    </w:p>
    <w:p w14:paraId="4C69216C">
      <w:pPr>
        <w:spacing w:line="360" w:lineRule="auto"/>
        <w:ind w:firstLine="480" w:firstLineChars="200"/>
        <w:rPr>
          <w:rFonts w:hint="eastAsia" w:eastAsia="仿宋_GB2312"/>
          <w:color w:val="auto"/>
          <w:kern w:val="0"/>
          <w:sz w:val="24"/>
          <w:szCs w:val="24"/>
          <w:highlight w:val="none"/>
        </w:rPr>
      </w:pPr>
      <w:r>
        <w:rPr>
          <w:rFonts w:hint="eastAsia" w:eastAsia="仿宋_GB2312"/>
          <w:color w:val="auto"/>
          <w:kern w:val="0"/>
          <w:sz w:val="24"/>
          <w:szCs w:val="24"/>
          <w:highlight w:val="none"/>
        </w:rPr>
        <w:t xml:space="preserve">1.1.1.7 </w:t>
      </w:r>
      <w:r>
        <w:rPr>
          <w:rFonts w:eastAsia="仿宋_GB2312"/>
          <w:color w:val="auto"/>
          <w:kern w:val="0"/>
          <w:sz w:val="24"/>
          <w:szCs w:val="24"/>
          <w:highlight w:val="none"/>
        </w:rPr>
        <w:t>图纸：是指构成合同的图纸，包括由发包人按照合同约定提供或经发包人批准的设计文件、</w:t>
      </w:r>
      <w:r>
        <w:rPr>
          <w:rFonts w:hint="eastAsia" w:eastAsia="仿宋_GB2312"/>
          <w:color w:val="auto"/>
          <w:kern w:val="0"/>
          <w:sz w:val="24"/>
          <w:szCs w:val="24"/>
          <w:highlight w:val="none"/>
        </w:rPr>
        <w:t>施工图、</w:t>
      </w:r>
      <w:r>
        <w:rPr>
          <w:rFonts w:eastAsia="仿宋_GB2312"/>
          <w:color w:val="auto"/>
          <w:kern w:val="0"/>
          <w:sz w:val="24"/>
          <w:szCs w:val="24"/>
          <w:highlight w:val="none"/>
        </w:rPr>
        <w:t>鸟瞰图及模型等，</w:t>
      </w:r>
      <w:r>
        <w:rPr>
          <w:rFonts w:hint="eastAsia" w:eastAsia="仿宋_GB2312"/>
          <w:color w:val="auto"/>
          <w:kern w:val="0"/>
          <w:sz w:val="24"/>
          <w:szCs w:val="24"/>
          <w:highlight w:val="none"/>
        </w:rPr>
        <w:t>以及在合同履行过程中形成的图纸文件。所有图纸需经发包人盖章方为有效文件。</w:t>
      </w:r>
    </w:p>
    <w:p w14:paraId="3402B607">
      <w:pPr>
        <w:spacing w:line="360" w:lineRule="auto"/>
        <w:ind w:firstLine="480" w:firstLineChars="200"/>
        <w:rPr>
          <w:rFonts w:eastAsia="仿宋_GB2312"/>
          <w:color w:val="auto"/>
          <w:sz w:val="24"/>
          <w:szCs w:val="24"/>
          <w:highlight w:val="none"/>
          <w:u w:val="single"/>
        </w:rPr>
      </w:pPr>
      <w:r>
        <w:rPr>
          <w:rFonts w:eastAsia="仿宋_GB2312"/>
          <w:color w:val="auto"/>
          <w:kern w:val="0"/>
          <w:sz w:val="24"/>
          <w:szCs w:val="24"/>
          <w:highlight w:val="none"/>
        </w:rPr>
        <w:t>1.1.1.10其他合同文件包括：</w:t>
      </w:r>
      <w:r>
        <w:rPr>
          <w:rFonts w:hint="eastAsia" w:eastAsia="仿宋_GB2312"/>
          <w:color w:val="auto"/>
          <w:sz w:val="24"/>
          <w:szCs w:val="24"/>
          <w:highlight w:val="none"/>
        </w:rPr>
        <w:t>发包人、承包人有关工程的洽商、变更、会议记录和文件（主要包括合同履行过程中的有关通知、指令、工程会议纪要等）等</w:t>
      </w:r>
      <w:r>
        <w:rPr>
          <w:rFonts w:eastAsia="仿宋_GB2312"/>
          <w:color w:val="auto"/>
          <w:sz w:val="24"/>
          <w:szCs w:val="24"/>
          <w:highlight w:val="none"/>
        </w:rPr>
        <w:t>。</w:t>
      </w:r>
    </w:p>
    <w:p w14:paraId="3F8FDAC2">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1.1.2 合同当事人及其他相关方</w:t>
      </w:r>
    </w:p>
    <w:p w14:paraId="50410C80">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通用条款1.1.2.3</w:t>
      </w:r>
      <w:r>
        <w:rPr>
          <w:rFonts w:eastAsia="仿宋_GB2312"/>
          <w:color w:val="auto"/>
          <w:sz w:val="24"/>
          <w:szCs w:val="24"/>
          <w:highlight w:val="none"/>
        </w:rPr>
        <w:t>补充：</w:t>
      </w:r>
    </w:p>
    <w:p w14:paraId="659EC350">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除特别说明之外的“承包人”在本合同内亦称为“总承包人”。总承包人对工程质量、工期及施工现场的安全生产、文明施工等工作负总责。</w:t>
      </w:r>
    </w:p>
    <w:p w14:paraId="0846DF64">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1.1.2.4监理人：</w:t>
      </w:r>
    </w:p>
    <w:p w14:paraId="67CCF0F8">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名    称：</w:t>
      </w:r>
      <w:r>
        <w:rPr>
          <w:rFonts w:hint="eastAsia" w:eastAsia="仿宋_GB2312"/>
          <w:color w:val="auto"/>
          <w:sz w:val="24"/>
          <w:szCs w:val="24"/>
          <w:highlight w:val="none"/>
          <w:u w:val="single"/>
        </w:rPr>
        <w:t xml:space="preserve">    广州广骏工程监理有限公司</w:t>
      </w:r>
      <w:r>
        <w:rPr>
          <w:rFonts w:eastAsia="仿宋_GB2312"/>
          <w:color w:val="auto"/>
          <w:sz w:val="24"/>
          <w:szCs w:val="24"/>
          <w:highlight w:val="none"/>
          <w:u w:val="single"/>
        </w:rPr>
        <w:t xml:space="preserve">     </w:t>
      </w:r>
      <w:r>
        <w:rPr>
          <w:rFonts w:eastAsia="仿宋_GB2312"/>
          <w:color w:val="auto"/>
          <w:sz w:val="24"/>
          <w:szCs w:val="24"/>
          <w:highlight w:val="none"/>
        </w:rPr>
        <w:t>；</w:t>
      </w:r>
    </w:p>
    <w:p w14:paraId="4C30C31C">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资质类别和等级：</w:t>
      </w:r>
      <w:r>
        <w:rPr>
          <w:rFonts w:hint="eastAsia" w:eastAsia="仿宋_GB2312"/>
          <w:color w:val="auto"/>
          <w:sz w:val="24"/>
          <w:szCs w:val="24"/>
          <w:highlight w:val="none"/>
          <w:u w:val="single"/>
        </w:rPr>
        <w:t>工程监理综合资质</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rPr>
        <w:t>；</w:t>
      </w:r>
    </w:p>
    <w:p w14:paraId="2CD6C2DB">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联系电话：</w:t>
      </w:r>
      <w:r>
        <w:rPr>
          <w:rFonts w:hint="eastAsia" w:eastAsia="仿宋_GB2312"/>
          <w:color w:val="auto"/>
          <w:sz w:val="24"/>
          <w:szCs w:val="24"/>
          <w:highlight w:val="none"/>
          <w:u w:val="single"/>
        </w:rPr>
        <w:t xml:space="preserve">另行通知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w:t>
      </w:r>
      <w:r>
        <w:rPr>
          <w:rFonts w:eastAsia="仿宋_GB2312"/>
          <w:color w:val="auto"/>
          <w:sz w:val="24"/>
          <w:szCs w:val="24"/>
          <w:highlight w:val="none"/>
        </w:rPr>
        <w:t>电子信箱：</w:t>
      </w:r>
      <w:r>
        <w:rPr>
          <w:rFonts w:hint="eastAsia" w:eastAsia="仿宋_GB2312"/>
          <w:color w:val="auto"/>
          <w:sz w:val="24"/>
          <w:szCs w:val="24"/>
          <w:highlight w:val="none"/>
          <w:u w:val="single"/>
        </w:rPr>
        <w:t>另行通知</w:t>
      </w:r>
      <w:r>
        <w:rPr>
          <w:rFonts w:eastAsia="仿宋_GB2312"/>
          <w:color w:val="auto"/>
          <w:sz w:val="24"/>
          <w:szCs w:val="24"/>
          <w:highlight w:val="none"/>
          <w:u w:val="single"/>
        </w:rPr>
        <w:t xml:space="preserve"> </w:t>
      </w:r>
      <w:r>
        <w:rPr>
          <w:rFonts w:eastAsia="仿宋_GB2312"/>
          <w:color w:val="auto"/>
          <w:sz w:val="24"/>
          <w:szCs w:val="24"/>
          <w:highlight w:val="none"/>
        </w:rPr>
        <w:t>；</w:t>
      </w:r>
    </w:p>
    <w:p w14:paraId="0268C275">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通信地址：</w:t>
      </w:r>
      <w:r>
        <w:rPr>
          <w:rFonts w:hint="eastAsia" w:eastAsia="仿宋_GB2312"/>
          <w:color w:val="auto"/>
          <w:sz w:val="24"/>
          <w:szCs w:val="24"/>
          <w:highlight w:val="none"/>
          <w:u w:val="single"/>
        </w:rPr>
        <w:t>另行通知</w:t>
      </w:r>
      <w:r>
        <w:rPr>
          <w:rFonts w:eastAsia="仿宋_GB2312"/>
          <w:color w:val="auto"/>
          <w:sz w:val="24"/>
          <w:szCs w:val="24"/>
          <w:highlight w:val="none"/>
          <w:u w:val="single"/>
        </w:rPr>
        <w:t xml:space="preserve">  </w:t>
      </w:r>
      <w:r>
        <w:rPr>
          <w:rFonts w:eastAsia="仿宋_GB2312"/>
          <w:color w:val="auto"/>
          <w:sz w:val="24"/>
          <w:szCs w:val="24"/>
          <w:highlight w:val="none"/>
        </w:rPr>
        <w:t>。</w:t>
      </w:r>
    </w:p>
    <w:p w14:paraId="63E088E8">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1.1.2.5 设计人：</w:t>
      </w:r>
    </w:p>
    <w:p w14:paraId="7F3C7493">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名    称：</w:t>
      </w:r>
      <w:r>
        <w:rPr>
          <w:rFonts w:hint="eastAsia" w:eastAsia="仿宋_GB2312"/>
          <w:color w:val="auto"/>
          <w:sz w:val="24"/>
          <w:szCs w:val="24"/>
          <w:highlight w:val="none"/>
          <w:u w:val="single"/>
        </w:rPr>
        <w:t xml:space="preserve">    深圳市物业国际建筑设计有限公司</w:t>
      </w:r>
      <w:r>
        <w:rPr>
          <w:rFonts w:eastAsia="仿宋_GB2312"/>
          <w:color w:val="auto"/>
          <w:sz w:val="24"/>
          <w:szCs w:val="24"/>
          <w:highlight w:val="none"/>
          <w:u w:val="single"/>
        </w:rPr>
        <w:t xml:space="preserve">    </w:t>
      </w:r>
      <w:r>
        <w:rPr>
          <w:rFonts w:eastAsia="仿宋_GB2312"/>
          <w:color w:val="auto"/>
          <w:sz w:val="24"/>
          <w:szCs w:val="24"/>
          <w:highlight w:val="none"/>
        </w:rPr>
        <w:t>；</w:t>
      </w:r>
    </w:p>
    <w:p w14:paraId="03EA8ADC">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资质类别和等级：</w:t>
      </w:r>
      <w:r>
        <w:rPr>
          <w:rFonts w:hint="eastAsia" w:eastAsia="仿宋_GB2312"/>
          <w:color w:val="auto"/>
          <w:sz w:val="24"/>
          <w:szCs w:val="24"/>
          <w:highlight w:val="none"/>
          <w:u w:val="single"/>
        </w:rPr>
        <w:t xml:space="preserve">工程设计综合甲级资质                  </w:t>
      </w:r>
      <w:r>
        <w:rPr>
          <w:rFonts w:eastAsia="仿宋_GB2312"/>
          <w:color w:val="auto"/>
          <w:sz w:val="24"/>
          <w:szCs w:val="24"/>
          <w:highlight w:val="none"/>
        </w:rPr>
        <w:t>；</w:t>
      </w:r>
    </w:p>
    <w:p w14:paraId="5766C027">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联系电话：</w:t>
      </w:r>
      <w:r>
        <w:rPr>
          <w:rFonts w:hint="eastAsia" w:eastAsia="仿宋_GB2312"/>
          <w:color w:val="auto"/>
          <w:sz w:val="24"/>
          <w:szCs w:val="24"/>
          <w:highlight w:val="none"/>
          <w:u w:val="single"/>
        </w:rPr>
        <w:t xml:space="preserve">另行通知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rPr>
        <w:t>电子信箱：</w:t>
      </w:r>
      <w:r>
        <w:rPr>
          <w:rFonts w:hint="eastAsia" w:eastAsia="仿宋_GB2312"/>
          <w:color w:val="auto"/>
          <w:sz w:val="24"/>
          <w:szCs w:val="24"/>
          <w:highlight w:val="none"/>
          <w:u w:val="single"/>
        </w:rPr>
        <w:t>另行通知</w:t>
      </w:r>
      <w:r>
        <w:rPr>
          <w:rFonts w:eastAsia="仿宋_GB2312"/>
          <w:color w:val="auto"/>
          <w:sz w:val="24"/>
          <w:szCs w:val="24"/>
          <w:highlight w:val="none"/>
          <w:u w:val="single"/>
        </w:rPr>
        <w:t xml:space="preserve">     </w:t>
      </w:r>
      <w:r>
        <w:rPr>
          <w:rFonts w:eastAsia="仿宋_GB2312"/>
          <w:color w:val="auto"/>
          <w:sz w:val="24"/>
          <w:szCs w:val="24"/>
          <w:highlight w:val="none"/>
        </w:rPr>
        <w:t>；</w:t>
      </w:r>
    </w:p>
    <w:p w14:paraId="48E34D88">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通信地址：</w:t>
      </w:r>
      <w:r>
        <w:rPr>
          <w:rFonts w:hint="eastAsia" w:eastAsia="仿宋_GB2312"/>
          <w:color w:val="auto"/>
          <w:sz w:val="24"/>
          <w:szCs w:val="24"/>
          <w:highlight w:val="none"/>
          <w:u w:val="single"/>
        </w:rPr>
        <w:t>另行通知</w:t>
      </w:r>
      <w:r>
        <w:rPr>
          <w:rFonts w:eastAsia="仿宋_GB2312"/>
          <w:color w:val="auto"/>
          <w:sz w:val="24"/>
          <w:szCs w:val="24"/>
          <w:highlight w:val="none"/>
          <w:u w:val="single"/>
        </w:rPr>
        <w:t xml:space="preserve">    </w:t>
      </w:r>
      <w:r>
        <w:rPr>
          <w:rFonts w:eastAsia="仿宋_GB2312"/>
          <w:color w:val="auto"/>
          <w:sz w:val="24"/>
          <w:szCs w:val="24"/>
          <w:highlight w:val="none"/>
        </w:rPr>
        <w:t>。</w:t>
      </w:r>
    </w:p>
    <w:p w14:paraId="0D551AE1">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1.1.3 工程和设备</w:t>
      </w:r>
    </w:p>
    <w:p w14:paraId="366F08E4">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1.1.3.7 作为施工现场组成部分的其他场所包括：</w:t>
      </w:r>
      <w:r>
        <w:rPr>
          <w:rFonts w:hint="eastAsia" w:eastAsia="仿宋_GB2312"/>
          <w:color w:val="auto"/>
          <w:sz w:val="24"/>
          <w:szCs w:val="24"/>
          <w:highlight w:val="none"/>
          <w:u w:val="single"/>
        </w:rPr>
        <w:t xml:space="preserve">     无    </w:t>
      </w:r>
      <w:r>
        <w:rPr>
          <w:rFonts w:eastAsia="仿宋_GB2312"/>
          <w:color w:val="auto"/>
          <w:sz w:val="24"/>
          <w:szCs w:val="24"/>
          <w:highlight w:val="none"/>
        </w:rPr>
        <w:t>。</w:t>
      </w:r>
    </w:p>
    <w:p w14:paraId="2B23182F">
      <w:pPr>
        <w:spacing w:line="360" w:lineRule="auto"/>
        <w:ind w:firstLine="480" w:firstLineChars="200"/>
        <w:jc w:val="left"/>
        <w:rPr>
          <w:rFonts w:eastAsia="仿宋_GB2312"/>
          <w:color w:val="auto"/>
          <w:sz w:val="24"/>
          <w:szCs w:val="24"/>
          <w:highlight w:val="none"/>
          <w:u w:val="single"/>
        </w:rPr>
      </w:pPr>
      <w:r>
        <w:rPr>
          <w:rFonts w:eastAsia="仿宋_GB2312"/>
          <w:color w:val="auto"/>
          <w:kern w:val="0"/>
          <w:sz w:val="24"/>
          <w:szCs w:val="24"/>
          <w:highlight w:val="none"/>
        </w:rPr>
        <w:t>1.1.3.9 永久占地包括：</w:t>
      </w:r>
      <w:r>
        <w:rPr>
          <w:rFonts w:hint="eastAsia" w:eastAsia="仿宋_GB2312"/>
          <w:color w:val="auto"/>
          <w:sz w:val="24"/>
          <w:szCs w:val="24"/>
          <w:highlight w:val="none"/>
          <w:u w:val="single"/>
        </w:rPr>
        <w:t xml:space="preserve">建筑红线范围内为实施工程所需占用地块 </w:t>
      </w:r>
      <w:r>
        <w:rPr>
          <w:rFonts w:eastAsia="仿宋_GB2312"/>
          <w:color w:val="auto"/>
          <w:sz w:val="24"/>
          <w:szCs w:val="24"/>
          <w:highlight w:val="none"/>
        </w:rPr>
        <w:t>。</w:t>
      </w:r>
    </w:p>
    <w:p w14:paraId="4F6422F3">
      <w:pPr>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1.1.3.10 临时占地包括：</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为实施工程需要临时占用的土地。临时占地租用及相关手续办理费用视为已包含在签约合同价中</w:t>
      </w:r>
      <w:r>
        <w:rPr>
          <w:rFonts w:eastAsia="仿宋_GB2312"/>
          <w:color w:val="auto"/>
          <w:kern w:val="0"/>
          <w:sz w:val="24"/>
          <w:szCs w:val="24"/>
          <w:highlight w:val="none"/>
        </w:rPr>
        <w:t>。</w:t>
      </w:r>
    </w:p>
    <w:p w14:paraId="4B33F5C9">
      <w:pPr>
        <w:spacing w:line="360" w:lineRule="auto"/>
        <w:ind w:firstLine="480" w:firstLineChars="200"/>
        <w:jc w:val="left"/>
        <w:rPr>
          <w:rFonts w:hint="eastAsia" w:eastAsia="仿宋_GB2312"/>
          <w:color w:val="auto"/>
          <w:kern w:val="0"/>
          <w:sz w:val="24"/>
          <w:szCs w:val="24"/>
          <w:highlight w:val="none"/>
        </w:rPr>
      </w:pPr>
      <w:r>
        <w:rPr>
          <w:rFonts w:hint="eastAsia" w:eastAsia="仿宋_GB2312"/>
          <w:color w:val="auto"/>
          <w:kern w:val="0"/>
          <w:sz w:val="24"/>
          <w:szCs w:val="24"/>
          <w:highlight w:val="none"/>
        </w:rPr>
        <w:t>增加1.1.4.8条款，具体如下：</w:t>
      </w:r>
    </w:p>
    <w:p w14:paraId="5B781B6A">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1.1.4.8节点工期：指在经发包人和监理人批准的施工组织设计或者工程工期网络计划中载明的承包人按总日历天数（包括法定节假日）计算完成某一阶段或某一工序的承包天数。按工期网络计划的一般线路和关键线路分为：一般节点工期和关键节点工期。</w:t>
      </w:r>
    </w:p>
    <w:p w14:paraId="413BCDEE">
      <w:pPr>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增加</w:t>
      </w:r>
      <w:r>
        <w:rPr>
          <w:rFonts w:eastAsia="仿宋_GB2312"/>
          <w:color w:val="auto"/>
          <w:kern w:val="0"/>
          <w:sz w:val="24"/>
          <w:szCs w:val="24"/>
          <w:highlight w:val="none"/>
        </w:rPr>
        <w:t>1.1.7</w:t>
      </w:r>
      <w:r>
        <w:rPr>
          <w:rFonts w:hint="eastAsia" w:eastAsia="仿宋_GB2312"/>
          <w:color w:val="auto"/>
          <w:kern w:val="0"/>
          <w:sz w:val="24"/>
          <w:szCs w:val="24"/>
          <w:highlight w:val="none"/>
        </w:rPr>
        <w:t>~</w:t>
      </w:r>
      <w:r>
        <w:rPr>
          <w:rFonts w:eastAsia="仿宋_GB2312"/>
          <w:color w:val="auto"/>
          <w:kern w:val="0"/>
          <w:sz w:val="24"/>
          <w:szCs w:val="24"/>
          <w:highlight w:val="none"/>
        </w:rPr>
        <w:t>1.1.</w:t>
      </w:r>
      <w:r>
        <w:rPr>
          <w:rFonts w:hint="eastAsia" w:eastAsia="仿宋_GB2312"/>
          <w:color w:val="auto"/>
          <w:kern w:val="0"/>
          <w:sz w:val="24"/>
          <w:szCs w:val="24"/>
          <w:highlight w:val="none"/>
        </w:rPr>
        <w:t>22条款，具体如下：</w:t>
      </w:r>
    </w:p>
    <w:p w14:paraId="29E31C55">
      <w:pPr>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 xml:space="preserve">1.1.7 </w:t>
      </w:r>
      <w:r>
        <w:rPr>
          <w:rFonts w:hint="eastAsia" w:eastAsia="仿宋_GB2312"/>
          <w:color w:val="auto"/>
          <w:kern w:val="0"/>
          <w:sz w:val="24"/>
          <w:szCs w:val="24"/>
          <w:highlight w:val="none"/>
        </w:rPr>
        <w:t>暂估价专业工程：</w:t>
      </w:r>
      <w:r>
        <w:rPr>
          <w:rFonts w:hint="eastAsia" w:eastAsia="仿宋_GB2312"/>
          <w:bCs/>
          <w:color w:val="auto"/>
          <w:sz w:val="24"/>
          <w:szCs w:val="24"/>
          <w:highlight w:val="none"/>
        </w:rPr>
        <w:t>是指属于本次合同范围，以暂估价形式报价的专业工程，这些专业工程是与本项目相关的或构成本项目的一部分。</w:t>
      </w:r>
    </w:p>
    <w:p w14:paraId="3DD20457">
      <w:pPr>
        <w:spacing w:line="360" w:lineRule="auto"/>
        <w:ind w:firstLine="480" w:firstLineChars="200"/>
        <w:jc w:val="left"/>
        <w:rPr>
          <w:rFonts w:hint="eastAsia" w:eastAsia="仿宋_GB2312"/>
          <w:bCs/>
          <w:color w:val="auto"/>
          <w:sz w:val="24"/>
          <w:szCs w:val="24"/>
          <w:highlight w:val="none"/>
        </w:rPr>
      </w:pPr>
      <w:r>
        <w:rPr>
          <w:rFonts w:hint="eastAsia" w:eastAsia="仿宋_GB2312"/>
          <w:color w:val="auto"/>
          <w:kern w:val="0"/>
          <w:sz w:val="24"/>
          <w:szCs w:val="24"/>
          <w:highlight w:val="none"/>
        </w:rPr>
        <w:t>1.1.8暂估价专业工程承包人（下称“指定分包人”）：</w:t>
      </w:r>
      <w:r>
        <w:rPr>
          <w:rFonts w:eastAsia="仿宋_GB2312"/>
          <w:color w:val="auto"/>
          <w:kern w:val="0"/>
          <w:sz w:val="24"/>
          <w:szCs w:val="24"/>
          <w:highlight w:val="none"/>
        </w:rPr>
        <w:t>指</w:t>
      </w:r>
      <w:r>
        <w:rPr>
          <w:rFonts w:hint="eastAsia" w:eastAsia="仿宋_GB2312"/>
          <w:color w:val="auto"/>
          <w:kern w:val="0"/>
          <w:sz w:val="24"/>
          <w:szCs w:val="24"/>
          <w:highlight w:val="none"/>
        </w:rPr>
        <w:t>负责实施暂估价专业工程的施工单位或供应商，为承包人的分包人</w:t>
      </w:r>
      <w:r>
        <w:rPr>
          <w:rFonts w:hint="eastAsia" w:eastAsia="仿宋_GB2312"/>
          <w:bCs/>
          <w:color w:val="auto"/>
          <w:sz w:val="24"/>
          <w:szCs w:val="24"/>
          <w:highlight w:val="none"/>
        </w:rPr>
        <w:t>。承包人负责对其进行施工总承包管理、提供总承包配合服务，承包人和</w:t>
      </w:r>
      <w:r>
        <w:rPr>
          <w:rFonts w:hint="eastAsia" w:eastAsia="仿宋_GB2312"/>
          <w:color w:val="auto"/>
          <w:kern w:val="0"/>
          <w:sz w:val="24"/>
          <w:szCs w:val="24"/>
          <w:highlight w:val="none"/>
        </w:rPr>
        <w:t>暂估价专业承包人</w:t>
      </w:r>
      <w:r>
        <w:rPr>
          <w:rFonts w:hint="eastAsia" w:eastAsia="仿宋_GB2312"/>
          <w:bCs/>
          <w:color w:val="auto"/>
          <w:sz w:val="24"/>
          <w:szCs w:val="24"/>
          <w:highlight w:val="none"/>
        </w:rPr>
        <w:t>对专业工程的质量、进度、安全生产、文明施工等工作承担连带责任。</w:t>
      </w:r>
    </w:p>
    <w:p w14:paraId="1194400A">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w:t>
      </w:r>
      <w:r>
        <w:rPr>
          <w:rFonts w:hint="eastAsia" w:eastAsia="仿宋_GB2312"/>
          <w:color w:val="auto"/>
          <w:kern w:val="0"/>
          <w:sz w:val="24"/>
          <w:szCs w:val="24"/>
          <w:highlight w:val="none"/>
        </w:rPr>
        <w:t>9</w:t>
      </w:r>
      <w:r>
        <w:rPr>
          <w:rFonts w:eastAsia="仿宋_GB2312"/>
          <w:color w:val="auto"/>
          <w:kern w:val="0"/>
          <w:sz w:val="24"/>
          <w:szCs w:val="24"/>
          <w:highlight w:val="none"/>
        </w:rPr>
        <w:t xml:space="preserve"> 平行发包工程：指由发包人依法另行招标</w:t>
      </w:r>
      <w:r>
        <w:rPr>
          <w:rFonts w:hint="eastAsia" w:eastAsia="仿宋_GB2312"/>
          <w:color w:val="auto"/>
          <w:kern w:val="0"/>
          <w:sz w:val="24"/>
          <w:szCs w:val="24"/>
          <w:highlight w:val="none"/>
        </w:rPr>
        <w:t>或委托</w:t>
      </w:r>
      <w:r>
        <w:rPr>
          <w:rFonts w:eastAsia="仿宋_GB2312"/>
          <w:color w:val="auto"/>
          <w:kern w:val="0"/>
          <w:sz w:val="24"/>
          <w:szCs w:val="24"/>
          <w:highlight w:val="none"/>
        </w:rPr>
        <w:t>的其它专业工程，这些专业工程是与本项目相关的或构成本项目的一部分。</w:t>
      </w:r>
    </w:p>
    <w:p w14:paraId="5310FC5C">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1.1.</w:t>
      </w:r>
      <w:r>
        <w:rPr>
          <w:rFonts w:hint="eastAsia" w:eastAsia="仿宋_GB2312"/>
          <w:color w:val="auto"/>
          <w:kern w:val="0"/>
          <w:sz w:val="24"/>
          <w:szCs w:val="24"/>
          <w:highlight w:val="none"/>
        </w:rPr>
        <w:t>10</w:t>
      </w:r>
      <w:r>
        <w:rPr>
          <w:rFonts w:eastAsia="仿宋_GB2312"/>
          <w:color w:val="auto"/>
          <w:kern w:val="0"/>
          <w:sz w:val="24"/>
          <w:szCs w:val="24"/>
          <w:highlight w:val="none"/>
        </w:rPr>
        <w:t xml:space="preserve"> 平行发包工程承包人：指与发包人直接签订合同，负责</w:t>
      </w:r>
      <w:r>
        <w:rPr>
          <w:rFonts w:hint="eastAsia" w:eastAsia="仿宋_GB2312"/>
          <w:color w:val="auto"/>
          <w:kern w:val="0"/>
          <w:sz w:val="24"/>
          <w:szCs w:val="24"/>
          <w:highlight w:val="none"/>
        </w:rPr>
        <w:t>实施</w:t>
      </w:r>
      <w:r>
        <w:rPr>
          <w:rFonts w:eastAsia="仿宋_GB2312"/>
          <w:color w:val="auto"/>
          <w:kern w:val="0"/>
          <w:sz w:val="24"/>
          <w:szCs w:val="24"/>
          <w:highlight w:val="none"/>
        </w:rPr>
        <w:t>本项目平行发包工程</w:t>
      </w:r>
      <w:r>
        <w:rPr>
          <w:rFonts w:hint="eastAsia" w:eastAsia="仿宋_GB2312"/>
          <w:color w:val="auto"/>
          <w:kern w:val="0"/>
          <w:sz w:val="24"/>
          <w:szCs w:val="24"/>
          <w:highlight w:val="none"/>
        </w:rPr>
        <w:t>的</w:t>
      </w:r>
      <w:r>
        <w:rPr>
          <w:rFonts w:eastAsia="仿宋_GB2312"/>
          <w:color w:val="auto"/>
          <w:kern w:val="0"/>
          <w:sz w:val="24"/>
          <w:szCs w:val="24"/>
          <w:highlight w:val="none"/>
        </w:rPr>
        <w:t>施工单位</w:t>
      </w:r>
      <w:r>
        <w:rPr>
          <w:rFonts w:hint="eastAsia" w:eastAsia="仿宋_GB2312"/>
          <w:color w:val="auto"/>
          <w:kern w:val="0"/>
          <w:sz w:val="24"/>
          <w:szCs w:val="24"/>
          <w:highlight w:val="none"/>
        </w:rPr>
        <w:t>或供应商</w:t>
      </w:r>
      <w:r>
        <w:rPr>
          <w:rFonts w:eastAsia="仿宋_GB2312"/>
          <w:color w:val="auto"/>
          <w:kern w:val="0"/>
          <w:sz w:val="24"/>
          <w:szCs w:val="24"/>
          <w:highlight w:val="none"/>
        </w:rPr>
        <w:t>。可能会与承包人同步在现场施工。承包人负责对其进行施工总承包管理、提供总承包配合服务，承包人与平行发包工程承包人必须签订总包管理协议书，明确各自的工程质量、工程进度、现场安全生产及文明施工方面的权利、义务。承包人和平行发包工程承包人对平行发包工程的质量、进度、安全生产、文明施工等工作承担连带责任。平行发包工程承包人必须服从承包人的管理，因其不服从管理导致生产质量、安全事故或其他不良行为的，由平行发包工程承包人承担主要责任。</w:t>
      </w:r>
    </w:p>
    <w:p w14:paraId="6B41EBA0">
      <w:pPr>
        <w:spacing w:line="360" w:lineRule="auto"/>
        <w:ind w:firstLine="480" w:firstLineChars="200"/>
        <w:jc w:val="left"/>
        <w:rPr>
          <w:rFonts w:hint="eastAsia" w:eastAsia="仿宋_GB2312"/>
          <w:color w:val="auto"/>
          <w:kern w:val="0"/>
          <w:sz w:val="24"/>
          <w:szCs w:val="24"/>
          <w:highlight w:val="none"/>
        </w:rPr>
      </w:pPr>
      <w:r>
        <w:rPr>
          <w:rFonts w:hint="eastAsia" w:eastAsia="仿宋_GB2312"/>
          <w:color w:val="auto"/>
          <w:kern w:val="0"/>
          <w:sz w:val="24"/>
          <w:szCs w:val="24"/>
          <w:highlight w:val="none"/>
        </w:rPr>
        <w:t>1.1.11 中标价格：指中标通知书中列明的，发包人接受中标人（承包人）实施、完成并保修合同工程的价格。</w:t>
      </w:r>
    </w:p>
    <w:p w14:paraId="25DEE1C6">
      <w:pPr>
        <w:spacing w:line="360" w:lineRule="auto"/>
        <w:ind w:firstLine="480" w:firstLineChars="200"/>
        <w:jc w:val="left"/>
        <w:rPr>
          <w:rFonts w:hint="eastAsia" w:eastAsia="仿宋_GB2312"/>
          <w:color w:val="auto"/>
          <w:kern w:val="0"/>
          <w:sz w:val="24"/>
          <w:szCs w:val="24"/>
          <w:highlight w:val="none"/>
        </w:rPr>
      </w:pPr>
      <w:r>
        <w:rPr>
          <w:rFonts w:hint="eastAsia" w:eastAsia="仿宋_GB2312"/>
          <w:color w:val="auto"/>
          <w:kern w:val="0"/>
          <w:sz w:val="24"/>
          <w:szCs w:val="24"/>
          <w:highlight w:val="none"/>
        </w:rPr>
        <w:t>1.1.12 分部分项工程费：指为实施、完成并保修永久工程，发生于工程实体项目所需的人工费、材料费、机械使用费、管理费、利润和风险费用。</w:t>
      </w:r>
    </w:p>
    <w:p w14:paraId="1578412D">
      <w:pPr>
        <w:spacing w:line="360" w:lineRule="auto"/>
        <w:ind w:firstLine="480" w:firstLineChars="200"/>
        <w:jc w:val="left"/>
        <w:rPr>
          <w:rFonts w:hint="eastAsia" w:eastAsia="仿宋_GB2312"/>
          <w:color w:val="auto"/>
          <w:kern w:val="0"/>
          <w:sz w:val="24"/>
          <w:szCs w:val="24"/>
          <w:highlight w:val="none"/>
        </w:rPr>
      </w:pPr>
      <w:r>
        <w:rPr>
          <w:rFonts w:hint="eastAsia" w:eastAsia="仿宋_GB2312"/>
          <w:color w:val="auto"/>
          <w:kern w:val="0"/>
          <w:sz w:val="24"/>
          <w:szCs w:val="24"/>
          <w:highlight w:val="none"/>
        </w:rPr>
        <w:t>1.1.13  措施项目费：指为实施、完成并保修合同工程，发生于合同工程施工准备和施工过程中的技术、生活、安全、环境保护等方面的非工程实体项目费用。</w:t>
      </w:r>
    </w:p>
    <w:p w14:paraId="7597C16E">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 xml:space="preserve">1.3法律 </w:t>
      </w:r>
    </w:p>
    <w:p w14:paraId="23F81E37">
      <w:pPr>
        <w:spacing w:line="360" w:lineRule="auto"/>
        <w:ind w:firstLine="480" w:firstLineChars="200"/>
        <w:rPr>
          <w:rFonts w:ascii="仿宋" w:hAnsi="仿宋" w:eastAsia="仿宋"/>
          <w:color w:val="auto"/>
          <w:kern w:val="0"/>
          <w:sz w:val="22"/>
          <w:highlight w:val="none"/>
        </w:rPr>
      </w:pPr>
      <w:r>
        <w:rPr>
          <w:rFonts w:eastAsia="仿宋_GB2312"/>
          <w:color w:val="auto"/>
          <w:sz w:val="24"/>
          <w:szCs w:val="24"/>
          <w:highlight w:val="none"/>
        </w:rPr>
        <w:t>适用于合同的其他规范性文件：</w:t>
      </w:r>
      <w:r>
        <w:rPr>
          <w:rFonts w:hint="eastAsia" w:eastAsia="仿宋_GB2312"/>
          <w:color w:val="auto"/>
          <w:sz w:val="24"/>
          <w:szCs w:val="24"/>
          <w:highlight w:val="none"/>
          <w:u w:val="single"/>
        </w:rPr>
        <w:t>现行国家</w:t>
      </w:r>
      <w:r>
        <w:rPr>
          <w:rFonts w:eastAsia="仿宋_GB2312"/>
          <w:color w:val="auto"/>
          <w:sz w:val="24"/>
          <w:szCs w:val="24"/>
          <w:highlight w:val="none"/>
          <w:u w:val="single"/>
        </w:rPr>
        <w:t>法律、行政法规、部门规章，以及工程所在地的地方性法规、</w:t>
      </w:r>
      <w:r>
        <w:rPr>
          <w:rFonts w:hint="eastAsia" w:eastAsia="仿宋_GB2312"/>
          <w:color w:val="auto"/>
          <w:sz w:val="24"/>
          <w:szCs w:val="24"/>
          <w:highlight w:val="none"/>
          <w:u w:val="single"/>
        </w:rPr>
        <w:t>管理办法</w:t>
      </w:r>
      <w:r>
        <w:rPr>
          <w:rFonts w:eastAsia="仿宋_GB2312"/>
          <w:color w:val="auto"/>
          <w:sz w:val="24"/>
          <w:szCs w:val="24"/>
          <w:highlight w:val="none"/>
          <w:u w:val="single"/>
        </w:rPr>
        <w:t>、单行条例和地方政府规章等。</w:t>
      </w:r>
      <w:r>
        <w:rPr>
          <w:rFonts w:hint="eastAsia" w:eastAsia="仿宋_GB2312"/>
          <w:color w:val="auto"/>
          <w:sz w:val="24"/>
          <w:szCs w:val="24"/>
          <w:highlight w:val="none"/>
          <w:u w:val="single"/>
        </w:rPr>
        <w:t>包括但不限于《中华人民共和国建筑法》、《中华人民共和国民法典》、《建设工程质量管理条例》等</w:t>
      </w:r>
      <w:r>
        <w:rPr>
          <w:rFonts w:eastAsia="仿宋_GB2312"/>
          <w:color w:val="auto"/>
          <w:sz w:val="24"/>
          <w:szCs w:val="24"/>
          <w:highlight w:val="none"/>
        </w:rPr>
        <w:t>。</w:t>
      </w:r>
    </w:p>
    <w:p w14:paraId="570C6B71">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1.4 标准和规范</w:t>
      </w:r>
    </w:p>
    <w:p w14:paraId="1FC42027">
      <w:pPr>
        <w:spacing w:line="360" w:lineRule="auto"/>
        <w:ind w:firstLine="480" w:firstLineChars="200"/>
        <w:outlineLvl w:val="0"/>
        <w:rPr>
          <w:rFonts w:hint="eastAsia" w:eastAsia="仿宋_GB2312"/>
          <w:color w:val="auto"/>
          <w:sz w:val="24"/>
          <w:szCs w:val="24"/>
          <w:highlight w:val="none"/>
        </w:rPr>
      </w:pPr>
      <w:bookmarkStart w:id="491" w:name="_Toc32835745"/>
      <w:r>
        <w:rPr>
          <w:rFonts w:eastAsia="仿宋_GB2312"/>
          <w:color w:val="auto"/>
          <w:sz w:val="24"/>
          <w:szCs w:val="24"/>
          <w:highlight w:val="none"/>
        </w:rPr>
        <w:t>1.4.1适用于工程的标准规范包括：</w:t>
      </w:r>
      <w:bookmarkEnd w:id="491"/>
    </w:p>
    <w:p w14:paraId="09849D54">
      <w:pPr>
        <w:spacing w:line="360" w:lineRule="auto"/>
        <w:ind w:firstLine="480" w:firstLineChars="200"/>
        <w:outlineLvl w:val="0"/>
        <w:rPr>
          <w:rFonts w:hint="eastAsia" w:eastAsia="仿宋_GB2312"/>
          <w:color w:val="auto"/>
          <w:kern w:val="0"/>
          <w:sz w:val="24"/>
          <w:szCs w:val="24"/>
          <w:highlight w:val="none"/>
        </w:rPr>
      </w:pPr>
      <w:bookmarkStart w:id="492" w:name="_Toc32835746"/>
      <w:r>
        <w:rPr>
          <w:rFonts w:hint="eastAsia" w:eastAsia="仿宋_GB2312"/>
          <w:color w:val="auto"/>
          <w:kern w:val="0"/>
          <w:sz w:val="24"/>
          <w:szCs w:val="24"/>
          <w:highlight w:val="none"/>
        </w:rPr>
        <w:t>(1) 中华人民共和国现行有效的建筑设计和施工标准、规范、建设项目管理、验收标准；</w:t>
      </w:r>
      <w:bookmarkEnd w:id="492"/>
    </w:p>
    <w:p w14:paraId="3684E95A">
      <w:pPr>
        <w:spacing w:line="360" w:lineRule="auto"/>
        <w:ind w:firstLine="480" w:firstLineChars="200"/>
        <w:outlineLvl w:val="0"/>
        <w:rPr>
          <w:rFonts w:hint="eastAsia" w:eastAsia="仿宋_GB2312"/>
          <w:color w:val="auto"/>
          <w:kern w:val="0"/>
          <w:sz w:val="24"/>
          <w:szCs w:val="24"/>
          <w:highlight w:val="none"/>
        </w:rPr>
      </w:pPr>
      <w:bookmarkStart w:id="493" w:name="_Toc32835747"/>
      <w:r>
        <w:rPr>
          <w:rFonts w:hint="eastAsia" w:eastAsia="仿宋_GB2312"/>
          <w:color w:val="auto"/>
          <w:kern w:val="0"/>
          <w:sz w:val="24"/>
          <w:szCs w:val="24"/>
          <w:highlight w:val="none"/>
        </w:rPr>
        <w:t>(2) 建筑行业的相关设计和施工标准、规范；</w:t>
      </w:r>
      <w:bookmarkEnd w:id="493"/>
    </w:p>
    <w:p w14:paraId="737487B7">
      <w:pPr>
        <w:spacing w:line="360" w:lineRule="auto"/>
        <w:ind w:firstLine="480" w:firstLineChars="200"/>
        <w:outlineLvl w:val="0"/>
        <w:rPr>
          <w:rFonts w:hint="eastAsia" w:eastAsia="仿宋_GB2312"/>
          <w:color w:val="auto"/>
          <w:kern w:val="0"/>
          <w:sz w:val="24"/>
          <w:szCs w:val="24"/>
          <w:highlight w:val="none"/>
        </w:rPr>
      </w:pPr>
      <w:bookmarkStart w:id="494" w:name="_Toc32835748"/>
      <w:r>
        <w:rPr>
          <w:rFonts w:hint="eastAsia" w:eastAsia="仿宋_GB2312"/>
          <w:color w:val="auto"/>
          <w:kern w:val="0"/>
          <w:sz w:val="24"/>
          <w:szCs w:val="24"/>
          <w:highlight w:val="none"/>
        </w:rPr>
        <w:t>(3) 广东省政府及广东省建委的有关标准、规范及有关规定；</w:t>
      </w:r>
      <w:bookmarkEnd w:id="494"/>
    </w:p>
    <w:p w14:paraId="30B14ABD">
      <w:pPr>
        <w:spacing w:line="360" w:lineRule="auto"/>
        <w:ind w:firstLine="480" w:firstLineChars="200"/>
        <w:outlineLvl w:val="0"/>
        <w:rPr>
          <w:rFonts w:hint="eastAsia" w:eastAsia="仿宋_GB2312"/>
          <w:color w:val="auto"/>
          <w:kern w:val="0"/>
          <w:sz w:val="24"/>
          <w:szCs w:val="24"/>
          <w:highlight w:val="none"/>
        </w:rPr>
      </w:pPr>
      <w:bookmarkStart w:id="495" w:name="_Toc32835749"/>
      <w:r>
        <w:rPr>
          <w:rFonts w:hint="eastAsia" w:eastAsia="仿宋_GB2312"/>
          <w:color w:val="auto"/>
          <w:kern w:val="0"/>
          <w:sz w:val="24"/>
          <w:szCs w:val="24"/>
          <w:highlight w:val="none"/>
        </w:rPr>
        <w:t>(4) 云浮市政府及云浮市建委的有关标准、规范及有关规定；</w:t>
      </w:r>
      <w:bookmarkEnd w:id="495"/>
    </w:p>
    <w:p w14:paraId="017B80F2">
      <w:pPr>
        <w:spacing w:line="360" w:lineRule="auto"/>
        <w:ind w:firstLine="480" w:firstLineChars="200"/>
        <w:outlineLvl w:val="0"/>
        <w:rPr>
          <w:rFonts w:hint="eastAsia" w:eastAsia="仿宋_GB2312"/>
          <w:color w:val="auto"/>
          <w:kern w:val="0"/>
          <w:sz w:val="24"/>
          <w:szCs w:val="24"/>
          <w:highlight w:val="none"/>
        </w:rPr>
      </w:pPr>
      <w:bookmarkStart w:id="496" w:name="_Toc32835750"/>
      <w:r>
        <w:rPr>
          <w:rFonts w:hint="eastAsia" w:eastAsia="仿宋_GB2312"/>
          <w:color w:val="auto"/>
          <w:kern w:val="0"/>
          <w:sz w:val="24"/>
          <w:szCs w:val="24"/>
          <w:highlight w:val="none"/>
        </w:rPr>
        <w:t>(5) 签约合同价和工期视为已包括执行较严格标准所需的费用、利润和时间，承包人已充分预见，并承担由此导致的一切风险和费用、工期损失；</w:t>
      </w:r>
      <w:bookmarkEnd w:id="496"/>
    </w:p>
    <w:p w14:paraId="2E32329F">
      <w:pPr>
        <w:spacing w:line="360" w:lineRule="auto"/>
        <w:ind w:firstLine="480" w:firstLineChars="200"/>
        <w:outlineLvl w:val="0"/>
        <w:rPr>
          <w:rFonts w:hint="eastAsia" w:eastAsia="仿宋_GB2312"/>
          <w:color w:val="auto"/>
          <w:kern w:val="0"/>
          <w:sz w:val="24"/>
          <w:szCs w:val="24"/>
          <w:highlight w:val="none"/>
        </w:rPr>
      </w:pPr>
      <w:bookmarkStart w:id="497" w:name="_Toc32835751"/>
      <w:r>
        <w:rPr>
          <w:rFonts w:hint="eastAsia" w:eastAsia="仿宋_GB2312"/>
          <w:color w:val="auto"/>
          <w:kern w:val="0"/>
          <w:sz w:val="24"/>
          <w:szCs w:val="24"/>
          <w:highlight w:val="none"/>
        </w:rPr>
        <w:t>(6) 绿色建筑要求的标准规范；</w:t>
      </w:r>
      <w:bookmarkEnd w:id="497"/>
    </w:p>
    <w:p w14:paraId="0C5BD546">
      <w:pPr>
        <w:spacing w:line="360" w:lineRule="auto"/>
        <w:ind w:firstLine="480" w:firstLineChars="200"/>
        <w:outlineLvl w:val="0"/>
        <w:rPr>
          <w:rFonts w:hint="eastAsia" w:eastAsia="仿宋_GB2312"/>
          <w:color w:val="auto"/>
          <w:kern w:val="0"/>
          <w:sz w:val="24"/>
          <w:szCs w:val="24"/>
          <w:highlight w:val="none"/>
        </w:rPr>
      </w:pPr>
      <w:bookmarkStart w:id="498" w:name="_Toc32835752"/>
      <w:r>
        <w:rPr>
          <w:rFonts w:hint="eastAsia" w:eastAsia="仿宋_GB2312"/>
          <w:color w:val="auto"/>
          <w:kern w:val="0"/>
          <w:sz w:val="24"/>
          <w:szCs w:val="24"/>
          <w:highlight w:val="none"/>
        </w:rPr>
        <w:t>(7)</w:t>
      </w:r>
      <w:bookmarkEnd w:id="498"/>
      <w:bookmarkStart w:id="499" w:name="_Toc32835753"/>
      <w:r>
        <w:rPr>
          <w:rFonts w:hint="eastAsia" w:eastAsia="仿宋_GB2312"/>
          <w:color w:val="auto"/>
          <w:kern w:val="0"/>
          <w:sz w:val="24"/>
          <w:szCs w:val="24"/>
          <w:highlight w:val="none"/>
        </w:rPr>
        <w:t>其它标准规范详见合同文件及合同相关附件。</w:t>
      </w:r>
      <w:bookmarkEnd w:id="499"/>
    </w:p>
    <w:p w14:paraId="4CD25302">
      <w:pPr>
        <w:spacing w:line="360" w:lineRule="auto"/>
        <w:ind w:firstLine="480" w:firstLineChars="200"/>
        <w:outlineLvl w:val="0"/>
        <w:rPr>
          <w:rFonts w:eastAsia="仿宋_GB2312"/>
          <w:color w:val="auto"/>
          <w:kern w:val="0"/>
          <w:sz w:val="24"/>
          <w:szCs w:val="24"/>
          <w:highlight w:val="none"/>
        </w:rPr>
      </w:pPr>
      <w:bookmarkStart w:id="500" w:name="_Toc32835754"/>
      <w:r>
        <w:rPr>
          <w:rFonts w:hint="eastAsia" w:eastAsia="仿宋_GB2312"/>
          <w:color w:val="auto"/>
          <w:kern w:val="0"/>
          <w:sz w:val="24"/>
          <w:szCs w:val="24"/>
          <w:highlight w:val="none"/>
        </w:rPr>
        <w:t>若现行标准、规范不能完全满足本工程施工需要，根据本工程具体情况，发包人将参照近期同类项目制定标准、规范，或将由发包人组织专家论证制定标准、规范经批准后执行；当合同期内发生相关标准、规范变更或修改的，按国家有关规定执行。现行（合同履行期间）的国家、行业及地方有关标准、规范，与发包人设计技术条款要求不一致时，采用较严格标准，签约合同价和工期视为已包括执行上述要求和较严格标准所需的费用、利润和时间，承包人已充分预见，并承担由此导致的一切风险和费用、工期损失；</w:t>
      </w:r>
      <w:bookmarkEnd w:id="500"/>
    </w:p>
    <w:p w14:paraId="559D39DE">
      <w:pPr>
        <w:spacing w:line="360" w:lineRule="auto"/>
        <w:ind w:firstLine="480" w:firstLineChars="200"/>
        <w:outlineLvl w:val="0"/>
        <w:rPr>
          <w:rFonts w:hint="eastAsia" w:eastAsia="仿宋_GB2312"/>
          <w:color w:val="auto"/>
          <w:sz w:val="24"/>
          <w:szCs w:val="24"/>
          <w:highlight w:val="none"/>
        </w:rPr>
      </w:pPr>
      <w:bookmarkStart w:id="501" w:name="_Toc32835755"/>
      <w:r>
        <w:rPr>
          <w:rFonts w:eastAsia="仿宋_GB2312"/>
          <w:color w:val="auto"/>
          <w:kern w:val="0"/>
          <w:sz w:val="24"/>
          <w:szCs w:val="24"/>
          <w:highlight w:val="none"/>
        </w:rPr>
        <w:t>1.4.</w:t>
      </w:r>
      <w:r>
        <w:rPr>
          <w:rFonts w:hint="eastAsia" w:eastAsia="仿宋_GB2312"/>
          <w:color w:val="auto"/>
          <w:kern w:val="0"/>
          <w:sz w:val="24"/>
          <w:szCs w:val="24"/>
          <w:highlight w:val="none"/>
        </w:rPr>
        <w:t>3</w:t>
      </w:r>
      <w:r>
        <w:rPr>
          <w:rFonts w:eastAsia="仿宋_GB2312"/>
          <w:color w:val="auto"/>
          <w:kern w:val="0"/>
          <w:sz w:val="24"/>
          <w:szCs w:val="24"/>
          <w:highlight w:val="none"/>
        </w:rPr>
        <w:t xml:space="preserve"> </w:t>
      </w:r>
      <w:bookmarkEnd w:id="501"/>
      <w:r>
        <w:rPr>
          <w:rFonts w:eastAsia="仿宋_GB2312"/>
          <w:color w:val="auto"/>
          <w:sz w:val="24"/>
          <w:szCs w:val="24"/>
          <w:highlight w:val="none"/>
        </w:rPr>
        <w:t>发包人对工程的技术标准和功能要求的特殊要求：</w:t>
      </w:r>
    </w:p>
    <w:p w14:paraId="5CD6FC3B">
      <w:pPr>
        <w:numPr>
          <w:ilvl w:val="0"/>
          <w:numId w:val="4"/>
        </w:numPr>
        <w:spacing w:line="360" w:lineRule="auto"/>
        <w:ind w:firstLine="480" w:firstLineChars="200"/>
        <w:rPr>
          <w:rFonts w:hint="eastAsia" w:eastAsia="仿宋_GB2312"/>
          <w:color w:val="auto"/>
          <w:kern w:val="0"/>
          <w:sz w:val="24"/>
          <w:szCs w:val="24"/>
          <w:highlight w:val="none"/>
        </w:rPr>
      </w:pPr>
      <w:r>
        <w:rPr>
          <w:rFonts w:hint="eastAsia" w:eastAsia="仿宋_GB2312"/>
          <w:color w:val="auto"/>
          <w:kern w:val="0"/>
          <w:sz w:val="24"/>
          <w:szCs w:val="24"/>
          <w:highlight w:val="none"/>
        </w:rPr>
        <w:t>本款所述工程规范及标准之间或其与设计技术文件之间的要求不一致时，均采用较严格的标准，签约合同价和工期视为已包括执行较严格标准所需的费用、利润和时间，承包人已充分预见，并承担由此导致的一切风险和费用、工期损失。</w:t>
      </w:r>
    </w:p>
    <w:p w14:paraId="69260170">
      <w:pPr>
        <w:spacing w:line="360" w:lineRule="auto"/>
        <w:ind w:firstLine="480" w:firstLineChars="200"/>
        <w:rPr>
          <w:rFonts w:hint="eastAsia" w:eastAsia="仿宋_GB2312"/>
          <w:color w:val="auto"/>
          <w:kern w:val="0"/>
          <w:sz w:val="24"/>
          <w:szCs w:val="24"/>
          <w:highlight w:val="none"/>
        </w:rPr>
      </w:pPr>
      <w:r>
        <w:rPr>
          <w:rFonts w:hint="eastAsia" w:eastAsia="仿宋_GB2312"/>
          <w:color w:val="auto"/>
          <w:kern w:val="0"/>
          <w:sz w:val="24"/>
          <w:szCs w:val="24"/>
          <w:highlight w:val="none"/>
        </w:rPr>
        <w:t>（2）当合同履行期间适用于工程的标准、规范及规程变更或更改的，均按国家、行业或工程所在地的有关规定执行。</w:t>
      </w:r>
    </w:p>
    <w:p w14:paraId="110B2409">
      <w:pPr>
        <w:spacing w:line="360" w:lineRule="auto"/>
        <w:ind w:firstLine="482" w:firstLineChars="200"/>
        <w:rPr>
          <w:rFonts w:hint="eastAsia" w:eastAsia="仿宋_GB2312"/>
          <w:b/>
          <w:bCs/>
          <w:color w:val="auto"/>
          <w:kern w:val="0"/>
          <w:sz w:val="24"/>
          <w:szCs w:val="24"/>
          <w:highlight w:val="none"/>
        </w:rPr>
      </w:pPr>
      <w:r>
        <w:rPr>
          <w:rFonts w:hint="eastAsia" w:eastAsia="仿宋_GB2312"/>
          <w:b/>
          <w:bCs/>
          <w:color w:val="auto"/>
          <w:kern w:val="0"/>
          <w:sz w:val="24"/>
          <w:szCs w:val="24"/>
          <w:highlight w:val="none"/>
        </w:rPr>
        <w:t>增加1.4.4条款，具体如下：</w:t>
      </w:r>
    </w:p>
    <w:p w14:paraId="7EB5DA52">
      <w:pPr>
        <w:spacing w:line="360" w:lineRule="auto"/>
        <w:ind w:firstLine="480" w:firstLineChars="200"/>
        <w:rPr>
          <w:rFonts w:eastAsia="仿宋_GB2312"/>
          <w:color w:val="auto"/>
          <w:kern w:val="0"/>
          <w:sz w:val="24"/>
          <w:szCs w:val="24"/>
          <w:highlight w:val="none"/>
          <w:u w:val="single"/>
        </w:rPr>
      </w:pPr>
      <w:r>
        <w:rPr>
          <w:rStyle w:val="23"/>
          <w:rFonts w:hint="eastAsia" w:eastAsia="仿宋_GB2312"/>
          <w:color w:val="auto"/>
          <w:kern w:val="0"/>
          <w:sz w:val="24"/>
          <w:szCs w:val="24"/>
          <w:highlight w:val="none"/>
          <w:u w:val="single"/>
        </w:rPr>
        <w:t>1.4.4</w:t>
      </w:r>
      <w:r>
        <w:rPr>
          <w:rFonts w:hint="eastAsia" w:eastAsia="仿宋_GB2312"/>
          <w:color w:val="auto"/>
          <w:kern w:val="0"/>
          <w:sz w:val="24"/>
          <w:szCs w:val="24"/>
          <w:highlight w:val="none"/>
          <w:u w:val="single"/>
        </w:rPr>
        <w:t xml:space="preserve"> </w:t>
      </w:r>
      <w:r>
        <w:rPr>
          <w:rStyle w:val="23"/>
          <w:rFonts w:hint="eastAsia" w:eastAsia="仿宋_GB2312"/>
          <w:color w:val="auto"/>
          <w:kern w:val="0"/>
          <w:sz w:val="24"/>
          <w:szCs w:val="24"/>
          <w:highlight w:val="none"/>
          <w:u w:val="single"/>
        </w:rPr>
        <w:t>承包人必须接受发包人</w:t>
      </w:r>
      <w:r>
        <w:rPr>
          <w:rFonts w:hint="eastAsia" w:eastAsia="仿宋_GB2312"/>
          <w:color w:val="auto"/>
          <w:kern w:val="0"/>
          <w:sz w:val="24"/>
          <w:szCs w:val="24"/>
          <w:highlight w:val="none"/>
          <w:u w:val="single"/>
        </w:rPr>
        <w:t>或发包人聘请的第三方</w:t>
      </w:r>
      <w:r>
        <w:rPr>
          <w:rStyle w:val="23"/>
          <w:rFonts w:hint="eastAsia" w:eastAsia="仿宋_GB2312"/>
          <w:color w:val="auto"/>
          <w:kern w:val="0"/>
          <w:sz w:val="24"/>
          <w:szCs w:val="24"/>
          <w:highlight w:val="none"/>
          <w:u w:val="single"/>
        </w:rPr>
        <w:t>对本工程的监督，并无条件配合发包人指定的审计机构的审计。</w:t>
      </w:r>
    </w:p>
    <w:p w14:paraId="6F0957DE">
      <w:pPr>
        <w:spacing w:after="120" w:line="360" w:lineRule="auto"/>
        <w:ind w:firstLine="480" w:firstLineChars="200"/>
        <w:outlineLvl w:val="0"/>
        <w:rPr>
          <w:rFonts w:eastAsia="黑体"/>
          <w:color w:val="auto"/>
          <w:sz w:val="24"/>
          <w:szCs w:val="24"/>
          <w:highlight w:val="none"/>
        </w:rPr>
      </w:pPr>
      <w:bookmarkStart w:id="502" w:name="_Toc32835758"/>
      <w:r>
        <w:rPr>
          <w:rFonts w:eastAsia="黑体"/>
          <w:color w:val="auto"/>
          <w:sz w:val="24"/>
          <w:szCs w:val="24"/>
          <w:highlight w:val="none"/>
        </w:rPr>
        <w:t>1.</w:t>
      </w:r>
      <w:r>
        <w:rPr>
          <w:rFonts w:hint="eastAsia" w:eastAsia="黑体"/>
          <w:color w:val="auto"/>
          <w:sz w:val="24"/>
          <w:szCs w:val="24"/>
          <w:highlight w:val="none"/>
        </w:rPr>
        <w:t>5</w:t>
      </w:r>
      <w:r>
        <w:rPr>
          <w:rFonts w:eastAsia="黑体"/>
          <w:color w:val="auto"/>
          <w:sz w:val="24"/>
          <w:szCs w:val="24"/>
          <w:highlight w:val="none"/>
        </w:rPr>
        <w:t xml:space="preserve"> 合同文件的优先顺序</w:t>
      </w:r>
      <w:bookmarkEnd w:id="502"/>
    </w:p>
    <w:p w14:paraId="4C0E9814">
      <w:pPr>
        <w:spacing w:line="360" w:lineRule="auto"/>
        <w:ind w:firstLine="480" w:firstLineChars="200"/>
        <w:rPr>
          <w:rFonts w:hint="eastAsia" w:eastAsia="仿宋_GB2312"/>
          <w:color w:val="auto"/>
          <w:sz w:val="24"/>
          <w:szCs w:val="24"/>
          <w:highlight w:val="none"/>
          <w:u w:val="single"/>
        </w:rPr>
      </w:pPr>
      <w:r>
        <w:rPr>
          <w:rFonts w:eastAsia="仿宋_GB2312"/>
          <w:color w:val="auto"/>
          <w:sz w:val="24"/>
          <w:szCs w:val="24"/>
          <w:highlight w:val="none"/>
        </w:rPr>
        <w:t>合同文件组成及优先顺序为：</w:t>
      </w:r>
      <w:r>
        <w:rPr>
          <w:rFonts w:hint="eastAsia" w:eastAsia="仿宋_GB2312"/>
          <w:color w:val="auto"/>
          <w:sz w:val="24"/>
          <w:szCs w:val="24"/>
          <w:highlight w:val="none"/>
          <w:u w:val="single"/>
        </w:rPr>
        <w:t>详见合同协议书第六条约定。</w:t>
      </w:r>
    </w:p>
    <w:p w14:paraId="079A2BC9">
      <w:pPr>
        <w:spacing w:line="360" w:lineRule="auto"/>
        <w:ind w:firstLine="480" w:firstLineChars="200"/>
        <w:rPr>
          <w:rFonts w:eastAsia="黑体"/>
          <w:color w:val="auto"/>
          <w:sz w:val="24"/>
          <w:szCs w:val="24"/>
          <w:highlight w:val="none"/>
        </w:rPr>
      </w:pPr>
      <w:r>
        <w:rPr>
          <w:rFonts w:eastAsia="黑体"/>
          <w:color w:val="auto"/>
          <w:sz w:val="24"/>
          <w:szCs w:val="24"/>
          <w:highlight w:val="none"/>
        </w:rPr>
        <w:t>1.6 图纸和承包人文件</w:t>
      </w:r>
      <w:r>
        <w:rPr>
          <w:rFonts w:eastAsia="黑体"/>
          <w:color w:val="auto"/>
          <w:sz w:val="24"/>
          <w:szCs w:val="24"/>
          <w:highlight w:val="none"/>
        </w:rPr>
        <w:tab/>
      </w:r>
    </w:p>
    <w:p w14:paraId="6AE54088">
      <w:pPr>
        <w:spacing w:line="360" w:lineRule="auto"/>
        <w:ind w:left="596" w:leftChars="284"/>
        <w:jc w:val="left"/>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 xml:space="preserve">1.6.1 </w:t>
      </w:r>
      <w:r>
        <w:rPr>
          <w:rFonts w:hint="eastAsia" w:eastAsia="仿宋_GB2312"/>
          <w:color w:val="auto"/>
          <w:sz w:val="24"/>
          <w:szCs w:val="24"/>
          <w:highlight w:val="none"/>
        </w:rPr>
        <w:t>条不适用，替换为：</w:t>
      </w:r>
    </w:p>
    <w:p w14:paraId="3DD34F57">
      <w:pPr>
        <w:spacing w:line="360" w:lineRule="auto"/>
        <w:ind w:firstLine="480" w:firstLineChars="200"/>
        <w:rPr>
          <w:rFonts w:hint="eastAsia" w:eastAsia="仿宋_GB2312"/>
          <w:color w:val="auto"/>
          <w:kern w:val="0"/>
          <w:sz w:val="24"/>
          <w:szCs w:val="24"/>
          <w:highlight w:val="none"/>
        </w:rPr>
      </w:pPr>
      <w:r>
        <w:rPr>
          <w:rFonts w:hint="eastAsia" w:eastAsia="仿宋_GB2312"/>
          <w:color w:val="auto"/>
          <w:kern w:val="0"/>
          <w:sz w:val="24"/>
          <w:szCs w:val="24"/>
          <w:highlight w:val="none"/>
        </w:rPr>
        <w:t>1.6.1 图纸的提供和交底</w:t>
      </w:r>
    </w:p>
    <w:p w14:paraId="6F7F4A83">
      <w:pPr>
        <w:spacing w:line="360" w:lineRule="auto"/>
        <w:ind w:firstLine="480" w:firstLineChars="200"/>
        <w:rPr>
          <w:rFonts w:hint="eastAsia" w:eastAsia="仿宋_GB2312"/>
          <w:color w:val="auto"/>
          <w:sz w:val="24"/>
          <w:szCs w:val="24"/>
          <w:highlight w:val="none"/>
        </w:rPr>
      </w:pPr>
      <w:r>
        <w:rPr>
          <w:rFonts w:hint="eastAsia" w:eastAsia="仿宋_GB2312"/>
          <w:color w:val="auto"/>
          <w:kern w:val="0"/>
          <w:sz w:val="24"/>
          <w:szCs w:val="24"/>
          <w:highlight w:val="none"/>
        </w:rPr>
        <w:t>1.6.1.1发包人向承包人提供图纸的期限：本合同签订生效后10天内发包人免费向承包人提供属承包人施工范围的施工图5套，并组织承包人、监理人和设计人进行图纸会审和设计交底。如承包人需增加图纸数量的，发包人可代为办理，发生的费用由承包人承担。承包人不得私自向设计人购买图纸，无论何种情况，承包人在本工程中使用的图纸都必须经过发包人的确认（确认方式为发包人书面通知）。如发包人未能按时提供施工图造成工</w:t>
      </w:r>
      <w:r>
        <w:rPr>
          <w:rFonts w:hint="eastAsia" w:eastAsia="仿宋_GB2312"/>
          <w:color w:val="auto"/>
          <w:sz w:val="24"/>
          <w:szCs w:val="24"/>
          <w:highlight w:val="none"/>
        </w:rPr>
        <w:t>期延误的，按专用条款第7.5条规定处理。</w:t>
      </w:r>
    </w:p>
    <w:p w14:paraId="38B2C4D0">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涉及工程分部分项验收（基础、主体验收等）、规划验收、消防报建及验收、人防验收、防雷验收、绿建验收、环保验收、卫生验收、节能验收、竣工验收、工程资料验收等所有验收和竣工图的编制所发生的一切费用都已包含在签约合同价中，承包人在投标时必须综合考虑。</w:t>
      </w:r>
    </w:p>
    <w:p w14:paraId="0EFB44E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涉及专业深化图纸的，承包人向发包人和监理人提供专业深化纸质图纸（含CAD及PDF格式），该部分图纸为发包人及监理人的施工管理所用，所需费用已包括在签约合同价中。</w:t>
      </w:r>
    </w:p>
    <w:p w14:paraId="2720EF2F">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1.6.1.2</w:t>
      </w:r>
      <w:r>
        <w:rPr>
          <w:rFonts w:hint="eastAsia" w:eastAsia="仿宋_GB2312"/>
          <w:color w:val="auto"/>
          <w:sz w:val="24"/>
          <w:szCs w:val="24"/>
          <w:highlight w:val="none"/>
        </w:rPr>
        <w:t>对图纸的保密要求：由发包人提供的图纸、文件等，未经发包人书面许可，承包人不得用于本工程以外的项目或者转借、出让、泄露给第三方。保密措施费用由承包人自行承担。</w:t>
      </w:r>
    </w:p>
    <w:p w14:paraId="4AF84DF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1.6.1</w:t>
      </w:r>
      <w:r>
        <w:rPr>
          <w:rFonts w:eastAsia="仿宋_GB2312"/>
          <w:color w:val="auto"/>
          <w:sz w:val="24"/>
          <w:szCs w:val="24"/>
          <w:highlight w:val="none"/>
        </w:rPr>
        <w:t>.</w:t>
      </w:r>
      <w:r>
        <w:rPr>
          <w:rFonts w:hint="eastAsia" w:eastAsia="仿宋_GB2312"/>
          <w:color w:val="auto"/>
          <w:sz w:val="24"/>
          <w:szCs w:val="24"/>
          <w:highlight w:val="none"/>
        </w:rPr>
        <w:t>3在展开任何工作或订购任何材料设备前，承包人须核实图纸及现场所有尺寸，及审核现场、图纸、标准、规范之间有没有不符，若发现有任何错漏、疏忽或偏差，必须立即以书面形式通知发包人和监理人，由发包人给予指示。发包人的任何指示皆不会免除或减轻承包人按合同所承担的义务和责任。发包人不负责承包人未有充分履行上述审核义务而引致的施工及施工后补救所需材料设备、人工、工作及进度拖延的损失。</w:t>
      </w:r>
    </w:p>
    <w:p w14:paraId="13C101C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通用条款1.6.3不适用，替换为：</w:t>
      </w:r>
    </w:p>
    <w:p w14:paraId="2DD0F18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1.6.3 图纸的修改和补充</w:t>
      </w:r>
    </w:p>
    <w:p w14:paraId="46140FB9">
      <w:pPr>
        <w:spacing w:line="360" w:lineRule="auto"/>
        <w:ind w:firstLine="480" w:firstLineChars="200"/>
        <w:rPr>
          <w:rFonts w:eastAsia="仿宋_GB2312"/>
          <w:color w:val="auto"/>
          <w:kern w:val="0"/>
          <w:sz w:val="24"/>
          <w:szCs w:val="24"/>
          <w:highlight w:val="none"/>
          <w:shd w:val="pct10" w:color="auto" w:fill="FFFFFF"/>
        </w:rPr>
      </w:pPr>
      <w:r>
        <w:rPr>
          <w:rFonts w:hint="eastAsia" w:eastAsia="仿宋_GB2312"/>
          <w:color w:val="auto"/>
          <w:sz w:val="24"/>
          <w:szCs w:val="24"/>
          <w:highlight w:val="none"/>
        </w:rPr>
        <w:t>图纸需要修改和补充的，应经图纸原设计人及发包人同意，设计变更通知单（含修改图纸，如有）由发包人发放给监理人及承包人，</w:t>
      </w:r>
      <w:r>
        <w:rPr>
          <w:rFonts w:eastAsia="仿宋_GB2312"/>
          <w:color w:val="auto"/>
          <w:sz w:val="24"/>
          <w:szCs w:val="24"/>
          <w:highlight w:val="none"/>
        </w:rPr>
        <w:t>承包人应按设计变更通知单施工。</w:t>
      </w:r>
    </w:p>
    <w:p w14:paraId="65973F09">
      <w:pPr>
        <w:spacing w:after="120" w:line="360" w:lineRule="auto"/>
        <w:ind w:firstLine="480" w:firstLineChars="200"/>
        <w:outlineLvl w:val="0"/>
        <w:rPr>
          <w:rFonts w:eastAsia="黑体"/>
          <w:color w:val="auto"/>
          <w:sz w:val="24"/>
          <w:szCs w:val="24"/>
          <w:highlight w:val="none"/>
        </w:rPr>
      </w:pPr>
      <w:bookmarkStart w:id="503" w:name="_Toc32835762"/>
      <w:r>
        <w:rPr>
          <w:rFonts w:eastAsia="黑体"/>
          <w:color w:val="auto"/>
          <w:sz w:val="24"/>
          <w:szCs w:val="24"/>
          <w:highlight w:val="none"/>
        </w:rPr>
        <w:t>1.10 交通运输</w:t>
      </w:r>
      <w:bookmarkEnd w:id="503"/>
    </w:p>
    <w:p w14:paraId="3A6FD248">
      <w:pPr>
        <w:spacing w:after="120" w:line="360" w:lineRule="auto"/>
        <w:ind w:firstLine="480" w:firstLineChars="200"/>
        <w:outlineLvl w:val="0"/>
        <w:rPr>
          <w:rFonts w:hint="eastAsia" w:eastAsia="黑体"/>
          <w:color w:val="auto"/>
          <w:sz w:val="24"/>
          <w:szCs w:val="24"/>
          <w:highlight w:val="none"/>
        </w:rPr>
      </w:pPr>
      <w:bookmarkStart w:id="504" w:name="_Toc32835763"/>
      <w:bookmarkStart w:id="505" w:name="_Toc318581157"/>
      <w:r>
        <w:rPr>
          <w:rFonts w:hint="eastAsia" w:eastAsia="黑体"/>
          <w:color w:val="auto"/>
          <w:sz w:val="24"/>
          <w:szCs w:val="24"/>
          <w:highlight w:val="none"/>
        </w:rPr>
        <w:t>通用条款</w:t>
      </w:r>
      <w:r>
        <w:rPr>
          <w:rFonts w:eastAsia="黑体"/>
          <w:color w:val="auto"/>
          <w:sz w:val="24"/>
          <w:szCs w:val="24"/>
          <w:highlight w:val="none"/>
        </w:rPr>
        <w:t xml:space="preserve">1.10.1 </w:t>
      </w:r>
      <w:r>
        <w:rPr>
          <w:rFonts w:hint="eastAsia" w:eastAsia="黑体"/>
          <w:color w:val="auto"/>
          <w:sz w:val="24"/>
          <w:szCs w:val="24"/>
          <w:highlight w:val="none"/>
        </w:rPr>
        <w:t>条不适用，替换为：</w:t>
      </w:r>
      <w:bookmarkEnd w:id="504"/>
    </w:p>
    <w:p w14:paraId="101BCD18">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w:t>
      </w:r>
      <w:bookmarkStart w:id="506" w:name="_Toc318581155"/>
      <w:bookmarkStart w:id="507" w:name="_Toc303539100"/>
      <w:bookmarkStart w:id="508" w:name="_Toc300934943"/>
      <w:bookmarkStart w:id="509" w:name="_Toc312677986"/>
      <w:bookmarkStart w:id="510" w:name="_Toc304295521"/>
      <w:r>
        <w:rPr>
          <w:rFonts w:eastAsia="仿宋_GB2312"/>
          <w:color w:val="auto"/>
          <w:sz w:val="24"/>
          <w:szCs w:val="24"/>
          <w:highlight w:val="none"/>
        </w:rPr>
        <w:t>.10.1 出入现场的权利</w:t>
      </w:r>
    </w:p>
    <w:p w14:paraId="6B0502CD">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关于出入现场的权利的约定：</w:t>
      </w:r>
      <w:r>
        <w:rPr>
          <w:rFonts w:hint="eastAsia" w:eastAsia="仿宋_GB2312"/>
          <w:color w:val="auto"/>
          <w:sz w:val="24"/>
          <w:szCs w:val="24"/>
          <w:highlight w:val="none"/>
        </w:rPr>
        <w:t>根据施工需要，发包人委托承包人负责取得出入施工现场所需的批准手续和全部权利，以及取得因施工所需修建道路的权利。发包人应协助承包人办理场外道路的手续。本条款约定的工作内容所产生的全部费用〔包括但不限于手续费用、建设费用、临时道路占用费及恢复原状费用（如有）等〕和利润已充分考虑并包含于签约合同价内,发包人无需另外支付其它费用。</w:t>
      </w:r>
    </w:p>
    <w:p w14:paraId="57883C1B">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承包人应在订立合同前经发包人同意后查勘施工现场，并根据工程规模及技术参数合理预见工程施工所需的进出施工现场的方式、手段、路径等。因承包人未</w:t>
      </w:r>
      <w:r>
        <w:rPr>
          <w:rFonts w:hint="eastAsia" w:eastAsia="仿宋_GB2312"/>
          <w:color w:val="auto"/>
          <w:sz w:val="24"/>
          <w:szCs w:val="24"/>
          <w:highlight w:val="none"/>
        </w:rPr>
        <w:t>合理</w:t>
      </w:r>
      <w:r>
        <w:rPr>
          <w:rFonts w:eastAsia="仿宋_GB2312"/>
          <w:color w:val="auto"/>
          <w:sz w:val="24"/>
          <w:szCs w:val="24"/>
          <w:highlight w:val="none"/>
        </w:rPr>
        <w:t>预见所增加的费用和（或）延误的工期</w:t>
      </w:r>
      <w:r>
        <w:rPr>
          <w:rFonts w:hint="eastAsia" w:eastAsia="仿宋_GB2312"/>
          <w:color w:val="auto"/>
          <w:sz w:val="24"/>
          <w:szCs w:val="24"/>
          <w:highlight w:val="none"/>
        </w:rPr>
        <w:t>责任</w:t>
      </w:r>
      <w:r>
        <w:rPr>
          <w:rFonts w:eastAsia="仿宋_GB2312"/>
          <w:color w:val="auto"/>
          <w:sz w:val="24"/>
          <w:szCs w:val="24"/>
          <w:highlight w:val="none"/>
        </w:rPr>
        <w:t>由承包人承担。</w:t>
      </w:r>
    </w:p>
    <w:p w14:paraId="24E44F09">
      <w:pPr>
        <w:spacing w:after="120" w:line="360" w:lineRule="auto"/>
        <w:ind w:firstLine="480" w:firstLineChars="200"/>
        <w:outlineLvl w:val="0"/>
        <w:rPr>
          <w:rFonts w:hint="eastAsia" w:eastAsia="黑体"/>
          <w:color w:val="auto"/>
          <w:sz w:val="24"/>
          <w:szCs w:val="24"/>
          <w:highlight w:val="none"/>
        </w:rPr>
      </w:pPr>
      <w:bookmarkStart w:id="511" w:name="_Toc32835764"/>
      <w:r>
        <w:rPr>
          <w:rFonts w:hint="eastAsia" w:eastAsia="黑体"/>
          <w:color w:val="auto"/>
          <w:sz w:val="24"/>
          <w:szCs w:val="24"/>
          <w:highlight w:val="none"/>
        </w:rPr>
        <w:t>通用条款</w:t>
      </w:r>
      <w:r>
        <w:rPr>
          <w:rFonts w:eastAsia="黑体"/>
          <w:color w:val="auto"/>
          <w:sz w:val="24"/>
          <w:szCs w:val="24"/>
          <w:highlight w:val="none"/>
        </w:rPr>
        <w:t>1.10.</w:t>
      </w:r>
      <w:r>
        <w:rPr>
          <w:rFonts w:hint="eastAsia" w:eastAsia="黑体"/>
          <w:color w:val="auto"/>
          <w:sz w:val="24"/>
          <w:szCs w:val="24"/>
          <w:highlight w:val="none"/>
        </w:rPr>
        <w:t>2</w:t>
      </w:r>
      <w:r>
        <w:rPr>
          <w:rFonts w:eastAsia="黑体"/>
          <w:color w:val="auto"/>
          <w:sz w:val="24"/>
          <w:szCs w:val="24"/>
          <w:highlight w:val="none"/>
        </w:rPr>
        <w:t xml:space="preserve"> </w:t>
      </w:r>
      <w:r>
        <w:rPr>
          <w:rFonts w:hint="eastAsia" w:eastAsia="黑体"/>
          <w:color w:val="auto"/>
          <w:sz w:val="24"/>
          <w:szCs w:val="24"/>
          <w:highlight w:val="none"/>
        </w:rPr>
        <w:t>条不适用，替换为：</w:t>
      </w:r>
      <w:bookmarkEnd w:id="511"/>
    </w:p>
    <w:p w14:paraId="0EEDE585">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1.10.</w:t>
      </w:r>
      <w:r>
        <w:rPr>
          <w:rFonts w:hint="eastAsia" w:eastAsia="仿宋_GB2312"/>
          <w:color w:val="auto"/>
          <w:sz w:val="24"/>
          <w:szCs w:val="24"/>
          <w:highlight w:val="none"/>
        </w:rPr>
        <w:t>2</w:t>
      </w:r>
      <w:r>
        <w:rPr>
          <w:rFonts w:eastAsia="仿宋_GB2312"/>
          <w:color w:val="auto"/>
          <w:sz w:val="24"/>
          <w:szCs w:val="24"/>
          <w:highlight w:val="none"/>
        </w:rPr>
        <w:t xml:space="preserve"> </w:t>
      </w:r>
      <w:r>
        <w:rPr>
          <w:rFonts w:hint="eastAsia" w:eastAsia="仿宋_GB2312"/>
          <w:color w:val="auto"/>
          <w:sz w:val="24"/>
          <w:szCs w:val="24"/>
          <w:highlight w:val="none"/>
        </w:rPr>
        <w:t>场外交通</w:t>
      </w:r>
    </w:p>
    <w:p w14:paraId="50BD5314">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承包人应自行取得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承包人自行完善或调整施工方案经监理人和发包人审核批准后实施（如需相关政府部门审批的，应报送相关政府部门审批），由此产生的费用已包含在签约合同价内。</w:t>
      </w:r>
    </w:p>
    <w:p w14:paraId="6A129591">
      <w:pPr>
        <w:spacing w:after="120" w:line="360" w:lineRule="auto"/>
        <w:ind w:firstLine="480" w:firstLineChars="200"/>
        <w:outlineLvl w:val="0"/>
        <w:rPr>
          <w:rFonts w:hint="eastAsia" w:eastAsia="黑体"/>
          <w:color w:val="auto"/>
          <w:sz w:val="24"/>
          <w:szCs w:val="24"/>
          <w:highlight w:val="none"/>
        </w:rPr>
      </w:pPr>
      <w:bookmarkStart w:id="512" w:name="_Toc32835765"/>
      <w:r>
        <w:rPr>
          <w:rFonts w:hint="eastAsia" w:eastAsia="黑体"/>
          <w:color w:val="auto"/>
          <w:sz w:val="24"/>
          <w:szCs w:val="24"/>
          <w:highlight w:val="none"/>
        </w:rPr>
        <w:t>通用条款</w:t>
      </w:r>
      <w:r>
        <w:rPr>
          <w:rFonts w:eastAsia="黑体"/>
          <w:color w:val="auto"/>
          <w:sz w:val="24"/>
          <w:szCs w:val="24"/>
          <w:highlight w:val="none"/>
        </w:rPr>
        <w:t>1.10.</w:t>
      </w:r>
      <w:r>
        <w:rPr>
          <w:rFonts w:hint="eastAsia" w:eastAsia="黑体"/>
          <w:color w:val="auto"/>
          <w:sz w:val="24"/>
          <w:szCs w:val="24"/>
          <w:highlight w:val="none"/>
        </w:rPr>
        <w:t>3</w:t>
      </w:r>
      <w:r>
        <w:rPr>
          <w:rFonts w:eastAsia="黑体"/>
          <w:color w:val="auto"/>
          <w:sz w:val="24"/>
          <w:szCs w:val="24"/>
          <w:highlight w:val="none"/>
        </w:rPr>
        <w:t xml:space="preserve"> </w:t>
      </w:r>
      <w:r>
        <w:rPr>
          <w:rFonts w:hint="eastAsia" w:eastAsia="黑体"/>
          <w:color w:val="auto"/>
          <w:sz w:val="24"/>
          <w:szCs w:val="24"/>
          <w:highlight w:val="none"/>
        </w:rPr>
        <w:t>条不适用，替换为：</w:t>
      </w:r>
      <w:bookmarkEnd w:id="512"/>
    </w:p>
    <w:p w14:paraId="7EEBBF5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1.10.3场内交通</w:t>
      </w:r>
    </w:p>
    <w:p w14:paraId="655DF223">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承包人于投标时已视察工地充分了解现有的场内交通情况，发包人仅负责将按现场现状场地移交给承包人，并由承包人自行负责工程施工所需的场内道路、堆场、加工场等场地和交通设施的建设、修改，并视工程进度迁移及拆除，所需费用已包含在签约合同价中。</w:t>
      </w:r>
    </w:p>
    <w:p w14:paraId="758A6173">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承包人也须视工程施工需要自费对施工场地及临时道路作填硬质渣土、浇筑混凝土路面等加固加硬处理，以满足雨天施工、重型机械作业及材料设备运行安全需要。发包人和监理人可以为实现合同目的使用承包人修建的场内临时道路和交通设施。</w:t>
      </w:r>
    </w:p>
    <w:p w14:paraId="2109F221">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承包人自进场施工起至本工程竣工验收止，应保证临时道路（或通道）的畅通安全及整洁。保证沿线相关单位、居民的行车畅通，如封闭沿线单位、居民进入拟施工道路的出入口，须按原道路宽度，修建临时道路，解决沿线单位、居民出入拟施工道路的问题，相关费用包含在签约合同价中，若承包人无法保证，则发包人可另行委托其他单位实施上述工作，相关费用由承包人负责，承包人同意发包人有权从应支付给承包人的工程款中直接扣回。</w:t>
      </w:r>
    </w:p>
    <w:p w14:paraId="4CB98278">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关于场外交通和场内交通的边界的约定</w:t>
      </w:r>
      <w:r>
        <w:rPr>
          <w:rFonts w:hint="eastAsia" w:eastAsia="仿宋_GB2312"/>
          <w:color w:val="auto"/>
          <w:sz w:val="24"/>
          <w:szCs w:val="24"/>
          <w:highlight w:val="none"/>
        </w:rPr>
        <w:t>：用地红线 。</w:t>
      </w:r>
    </w:p>
    <w:bookmarkEnd w:id="506"/>
    <w:bookmarkEnd w:id="507"/>
    <w:bookmarkEnd w:id="508"/>
    <w:bookmarkEnd w:id="509"/>
    <w:bookmarkEnd w:id="510"/>
    <w:p w14:paraId="4A6B38F8">
      <w:pPr>
        <w:spacing w:line="360" w:lineRule="auto"/>
        <w:ind w:firstLine="480" w:firstLineChars="200"/>
        <w:jc w:val="left"/>
        <w:rPr>
          <w:rFonts w:eastAsia="仿宋_GB2312"/>
          <w:color w:val="auto"/>
          <w:sz w:val="24"/>
          <w:szCs w:val="24"/>
          <w:highlight w:val="none"/>
        </w:rPr>
      </w:pPr>
      <w:bookmarkStart w:id="513" w:name="_Toc300934944"/>
      <w:bookmarkStart w:id="514" w:name="_Toc304295522"/>
      <w:bookmarkStart w:id="515" w:name="_Toc312677987"/>
      <w:bookmarkStart w:id="516" w:name="_Toc318581156"/>
      <w:bookmarkStart w:id="517" w:name="_Toc303539101"/>
      <w:r>
        <w:rPr>
          <w:rFonts w:eastAsia="仿宋_GB2312"/>
          <w:color w:val="auto"/>
          <w:sz w:val="24"/>
          <w:szCs w:val="24"/>
          <w:highlight w:val="none"/>
        </w:rPr>
        <w:t>关于发包人向承包人免费提供满足工程施工需要的场内道路和交通设施的约定：</w:t>
      </w:r>
      <w:r>
        <w:rPr>
          <w:rFonts w:hint="eastAsia" w:eastAsia="仿宋_GB2312"/>
          <w:color w:val="auto"/>
          <w:sz w:val="24"/>
          <w:szCs w:val="24"/>
          <w:highlight w:val="none"/>
        </w:rPr>
        <w:t>无</w:t>
      </w:r>
      <w:r>
        <w:rPr>
          <w:rFonts w:eastAsia="仿宋_GB2312"/>
          <w:color w:val="auto"/>
          <w:sz w:val="24"/>
          <w:szCs w:val="24"/>
          <w:highlight w:val="none"/>
        </w:rPr>
        <w:t>。</w:t>
      </w:r>
      <w:bookmarkEnd w:id="513"/>
      <w:bookmarkEnd w:id="514"/>
      <w:bookmarkEnd w:id="515"/>
      <w:bookmarkEnd w:id="516"/>
      <w:bookmarkEnd w:id="517"/>
      <w:r>
        <w:rPr>
          <w:rFonts w:eastAsia="仿宋_GB2312"/>
          <w:color w:val="auto"/>
          <w:sz w:val="24"/>
          <w:szCs w:val="24"/>
          <w:highlight w:val="none"/>
        </w:rPr>
        <w:t xml:space="preserve">  </w:t>
      </w:r>
    </w:p>
    <w:p w14:paraId="3A4CE1EA">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1.10.4超大件和超重件的运输</w:t>
      </w:r>
    </w:p>
    <w:p w14:paraId="19FBFD50">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运输超大件或超重件所需的道路和桥梁临时加固改造费用和其他有关费用由</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承包人</w:t>
      </w:r>
      <w:r>
        <w:rPr>
          <w:rFonts w:eastAsia="仿宋_GB2312"/>
          <w:color w:val="auto"/>
          <w:sz w:val="24"/>
          <w:szCs w:val="24"/>
          <w:highlight w:val="none"/>
          <w:u w:val="single"/>
        </w:rPr>
        <w:t xml:space="preserve">  </w:t>
      </w:r>
      <w:r>
        <w:rPr>
          <w:rFonts w:eastAsia="仿宋_GB2312"/>
          <w:color w:val="auto"/>
          <w:sz w:val="24"/>
          <w:szCs w:val="24"/>
          <w:highlight w:val="none"/>
        </w:rPr>
        <w:t>承担。</w:t>
      </w:r>
    </w:p>
    <w:bookmarkEnd w:id="505"/>
    <w:p w14:paraId="4AA7A0F8">
      <w:pPr>
        <w:spacing w:line="360" w:lineRule="auto"/>
        <w:ind w:firstLine="482" w:firstLineChars="200"/>
        <w:outlineLvl w:val="0"/>
        <w:rPr>
          <w:rFonts w:hint="eastAsia" w:eastAsia="仿宋_GB2312"/>
          <w:color w:val="auto"/>
          <w:kern w:val="0"/>
          <w:sz w:val="24"/>
          <w:szCs w:val="24"/>
          <w:highlight w:val="none"/>
        </w:rPr>
      </w:pPr>
      <w:bookmarkStart w:id="518" w:name="_Toc32835767"/>
      <w:r>
        <w:rPr>
          <w:rFonts w:hint="eastAsia" w:eastAsia="仿宋_GB2312"/>
          <w:b/>
          <w:bCs/>
          <w:color w:val="auto"/>
          <w:kern w:val="0"/>
          <w:sz w:val="24"/>
          <w:szCs w:val="24"/>
          <w:highlight w:val="none"/>
        </w:rPr>
        <w:t>增加1.11.5条款，具体如下：</w:t>
      </w:r>
      <w:bookmarkEnd w:id="518"/>
    </w:p>
    <w:p w14:paraId="600109D3">
      <w:pPr>
        <w:spacing w:line="360" w:lineRule="auto"/>
        <w:ind w:firstLine="480" w:firstLineChars="200"/>
        <w:outlineLvl w:val="0"/>
        <w:rPr>
          <w:rFonts w:eastAsia="仿宋_GB2312"/>
          <w:color w:val="auto"/>
          <w:sz w:val="24"/>
          <w:szCs w:val="24"/>
          <w:highlight w:val="none"/>
        </w:rPr>
      </w:pPr>
      <w:bookmarkStart w:id="519" w:name="_Toc32835768"/>
      <w:r>
        <w:rPr>
          <w:rFonts w:eastAsia="仿宋_GB2312"/>
          <w:color w:val="auto"/>
          <w:sz w:val="24"/>
          <w:szCs w:val="24"/>
          <w:highlight w:val="none"/>
        </w:rPr>
        <w:t>1.11.5</w:t>
      </w:r>
      <w:r>
        <w:rPr>
          <w:rFonts w:hint="eastAsia" w:eastAsia="仿宋_GB2312"/>
          <w:color w:val="auto"/>
          <w:sz w:val="24"/>
          <w:szCs w:val="24"/>
          <w:highlight w:val="none"/>
        </w:rPr>
        <w:t>承包人在实施、完成并保修合同工程过程中所采用的施工工艺、施工机械和自身供应的材料设备等，如因其商标、图案、工艺、材料的使用等发生侵犯第三人专利权、商标权或其他知识产权的行为，并引起索赔或诉讼，承包人应当负责解决，并赔偿由此给发包人造成的一切损失及费用，包括但不限于发包人因上述侵权之诉或指控中所产生的赔偿费用及利息、诉讼费、律师费、交通费、调查费等。如果在侵权指控的审理或处理过程中有关机关禁止上述侵权行为的，承包人应当采取一切措施使本合同工程继续正常实施。承包人采取相关措施不能免除其就发包人因此遭受的损失进行赔偿及承担违约责任的义务。</w:t>
      </w:r>
      <w:bookmarkEnd w:id="519"/>
    </w:p>
    <w:p w14:paraId="70238D8E">
      <w:pPr>
        <w:spacing w:after="120" w:line="360" w:lineRule="auto"/>
        <w:ind w:firstLine="480" w:firstLineChars="200"/>
        <w:rPr>
          <w:rFonts w:hint="eastAsia" w:eastAsia="黑体"/>
          <w:color w:val="auto"/>
          <w:sz w:val="24"/>
          <w:szCs w:val="24"/>
          <w:highlight w:val="none"/>
        </w:rPr>
      </w:pPr>
      <w:r>
        <w:rPr>
          <w:rFonts w:eastAsia="黑体"/>
          <w:color w:val="auto"/>
          <w:sz w:val="24"/>
          <w:szCs w:val="24"/>
          <w:highlight w:val="none"/>
        </w:rPr>
        <w:t>1.13工程量清单错误的修正</w:t>
      </w:r>
    </w:p>
    <w:p w14:paraId="4819734E">
      <w:pPr>
        <w:spacing w:line="360" w:lineRule="auto"/>
        <w:ind w:firstLine="482" w:firstLineChars="200"/>
        <w:rPr>
          <w:rFonts w:hint="eastAsia" w:eastAsia="仿宋_GB2312"/>
          <w:b/>
          <w:bCs/>
          <w:color w:val="auto"/>
          <w:sz w:val="24"/>
          <w:szCs w:val="24"/>
          <w:highlight w:val="none"/>
        </w:rPr>
      </w:pPr>
      <w:r>
        <w:rPr>
          <w:rFonts w:hint="eastAsia" w:eastAsia="仿宋_GB2312"/>
          <w:b/>
          <w:bCs/>
          <w:color w:val="auto"/>
          <w:sz w:val="24"/>
          <w:szCs w:val="24"/>
          <w:highlight w:val="none"/>
        </w:rPr>
        <w:t>通用条款</w:t>
      </w:r>
      <w:r>
        <w:rPr>
          <w:rFonts w:eastAsia="仿宋_GB2312"/>
          <w:b/>
          <w:bCs/>
          <w:color w:val="auto"/>
          <w:sz w:val="24"/>
          <w:szCs w:val="24"/>
          <w:highlight w:val="none"/>
        </w:rPr>
        <w:t>1.</w:t>
      </w:r>
      <w:r>
        <w:rPr>
          <w:rFonts w:hint="eastAsia" w:eastAsia="仿宋_GB2312"/>
          <w:b/>
          <w:bCs/>
          <w:color w:val="auto"/>
          <w:sz w:val="24"/>
          <w:szCs w:val="24"/>
          <w:highlight w:val="none"/>
        </w:rPr>
        <w:t>13条不适用，替换为：</w:t>
      </w:r>
    </w:p>
    <w:p w14:paraId="2EE1B14D">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1.13工程量清单错误的修正</w:t>
      </w:r>
    </w:p>
    <w:p w14:paraId="0E323E8C">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1.13.1 发包人于招标文件提供的工程量清单已经过承包人复核及确认。若有任何差异或错漏之处，承包人应已于投标答疑中提出，而发包人也于回复答疑中澄清及修正了工程量清单。</w:t>
      </w:r>
    </w:p>
    <w:p w14:paraId="1B316348">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1.13.2属于单价包干的项目，工程量清单的数量偏差在合同签订阶段不作调整，合同履行期间按发包人确认的工程量套用合同单价作相应调整。</w:t>
      </w:r>
    </w:p>
    <w:p w14:paraId="29729AC0">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1.13.3属于总价包干的项目，招标图纸与工程量清单的数量偏差视作已考虑于签约合同价内，承包人不得因数量的偏差提出调整合同数量、单价、价款或其他任何补偿的要求，发包人不会回复或考虑该等要求。</w:t>
      </w:r>
    </w:p>
    <w:p w14:paraId="01D3F898">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1.13.4承包人于投标文件提交的工程量清单计价有算术错误的，按以下方式修正，修正后的综合单价供日后计算中期付款、变更和结算之用（出现第</w:t>
      </w:r>
      <w:r>
        <w:rPr>
          <w:rFonts w:eastAsia="仿宋_GB2312"/>
          <w:color w:val="auto"/>
          <w:sz w:val="24"/>
          <w:szCs w:val="24"/>
          <w:highlight w:val="none"/>
        </w:rPr>
        <w:t>1.14.</w:t>
      </w:r>
      <w:r>
        <w:rPr>
          <w:rFonts w:hint="eastAsia" w:eastAsia="仿宋_GB2312"/>
          <w:color w:val="auto"/>
          <w:sz w:val="24"/>
          <w:szCs w:val="24"/>
          <w:highlight w:val="none"/>
        </w:rPr>
        <w:t>1条款的项目除外）：</w:t>
      </w:r>
    </w:p>
    <w:p w14:paraId="28A65C30">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（1）投标文件经济标算术复核办法按招标文件所述方法，按就低不就高原则调整；</w:t>
      </w:r>
    </w:p>
    <w:p w14:paraId="428256FC">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（2）若投标文件于专家评审时未有按上述方法修正错误的，中标单位于签署合同前仍需按上述方法修正算术错误。但修正后的结果与中标价的差异，视为包干的算术误差，暂</w:t>
      </w:r>
      <w:r>
        <w:rPr>
          <w:rFonts w:eastAsia="仿宋_GB2312"/>
          <w:color w:val="auto"/>
          <w:sz w:val="24"/>
          <w:szCs w:val="24"/>
          <w:highlight w:val="none"/>
        </w:rPr>
        <w:t>维持中标价不变</w:t>
      </w:r>
      <w:r>
        <w:rPr>
          <w:rFonts w:hint="eastAsia" w:eastAsia="仿宋_GB2312"/>
          <w:color w:val="auto"/>
          <w:sz w:val="24"/>
          <w:szCs w:val="24"/>
          <w:highlight w:val="none"/>
        </w:rPr>
        <w:t>，待结算时再加</w:t>
      </w:r>
      <w:r>
        <w:rPr>
          <w:rFonts w:eastAsia="仿宋_GB2312"/>
          <w:color w:val="auto"/>
          <w:sz w:val="24"/>
          <w:szCs w:val="24"/>
          <w:highlight w:val="none"/>
        </w:rPr>
        <w:t>/减到结算价款内</w:t>
      </w:r>
      <w:r>
        <w:rPr>
          <w:rFonts w:hint="eastAsia" w:eastAsia="仿宋_GB2312"/>
          <w:color w:val="auto"/>
          <w:sz w:val="24"/>
          <w:szCs w:val="24"/>
          <w:highlight w:val="none"/>
        </w:rPr>
        <w:t>。</w:t>
      </w:r>
    </w:p>
    <w:p w14:paraId="1EC69B35">
      <w:pPr>
        <w:spacing w:line="360" w:lineRule="auto"/>
        <w:ind w:firstLine="482" w:firstLineChars="200"/>
        <w:outlineLvl w:val="0"/>
        <w:rPr>
          <w:rFonts w:hint="eastAsia" w:eastAsia="仿宋_GB2312"/>
          <w:b/>
          <w:bCs/>
          <w:color w:val="auto"/>
          <w:kern w:val="0"/>
          <w:sz w:val="24"/>
          <w:szCs w:val="24"/>
          <w:highlight w:val="none"/>
        </w:rPr>
      </w:pPr>
      <w:r>
        <w:rPr>
          <w:rFonts w:hint="eastAsia" w:eastAsia="仿宋_GB2312"/>
          <w:b/>
          <w:bCs/>
          <w:color w:val="auto"/>
          <w:kern w:val="0"/>
          <w:sz w:val="24"/>
          <w:szCs w:val="24"/>
          <w:highlight w:val="none"/>
        </w:rPr>
        <w:t>增加</w:t>
      </w:r>
      <w:r>
        <w:rPr>
          <w:rFonts w:eastAsia="仿宋_GB2312"/>
          <w:b/>
          <w:bCs/>
          <w:color w:val="auto"/>
          <w:kern w:val="0"/>
          <w:sz w:val="24"/>
          <w:szCs w:val="24"/>
          <w:highlight w:val="none"/>
        </w:rPr>
        <w:t>1.1</w:t>
      </w:r>
      <w:r>
        <w:rPr>
          <w:rFonts w:hint="eastAsia" w:eastAsia="仿宋_GB2312"/>
          <w:b/>
          <w:bCs/>
          <w:color w:val="auto"/>
          <w:kern w:val="0"/>
          <w:sz w:val="24"/>
          <w:szCs w:val="24"/>
          <w:highlight w:val="none"/>
        </w:rPr>
        <w:t>4条款，具体如下：</w:t>
      </w:r>
    </w:p>
    <w:p w14:paraId="71B18AB9">
      <w:pPr>
        <w:ind w:firstLine="482" w:firstLineChars="200"/>
        <w:outlineLvl w:val="0"/>
        <w:rPr>
          <w:rFonts w:ascii="Times New Roman" w:hAnsi="Times New Roman" w:eastAsia="仿宋_GB2312"/>
          <w:b/>
          <w:bCs/>
          <w:color w:val="auto"/>
          <w:sz w:val="24"/>
          <w:szCs w:val="24"/>
          <w:highlight w:val="none"/>
        </w:rPr>
      </w:pPr>
      <w:bookmarkStart w:id="520" w:name="_Toc32835769"/>
      <w:r>
        <w:rPr>
          <w:rFonts w:ascii="Times New Roman" w:hAnsi="Times New Roman" w:eastAsia="仿宋_GB2312"/>
          <w:b/>
          <w:bCs/>
          <w:color w:val="auto"/>
          <w:sz w:val="24"/>
          <w:szCs w:val="24"/>
          <w:highlight w:val="none"/>
        </w:rPr>
        <w:t>1.14 不合理报价</w:t>
      </w:r>
    </w:p>
    <w:p w14:paraId="46B6F218">
      <w:pPr>
        <w:ind w:firstLine="480" w:firstLineChars="200"/>
        <w:rPr>
          <w:rFonts w:hint="eastAsia" w:eastAsia="仿宋_GB2312"/>
          <w:color w:val="auto"/>
          <w:sz w:val="24"/>
          <w:szCs w:val="24"/>
          <w:highlight w:val="none"/>
          <w:u w:val="single"/>
        </w:rPr>
      </w:pPr>
      <w:r>
        <w:rPr>
          <w:rFonts w:hint="eastAsia" w:eastAsia="仿宋_GB2312"/>
          <w:color w:val="auto"/>
          <w:sz w:val="24"/>
          <w:szCs w:val="24"/>
          <w:highlight w:val="none"/>
        </w:rPr>
        <w:t>在整个合同执行期间，发包人有权对承包人投标时的投标报价进行合理性复核校对，对于承包人在投标时明显高于2018年定额相应水平及材料信息价的不合理投标报价进行调整，具体如下：</w:t>
      </w:r>
      <w:r>
        <w:rPr>
          <w:rFonts w:hint="eastAsia" w:eastAsia="仿宋_GB2312"/>
          <w:color w:val="auto"/>
          <w:sz w:val="24"/>
          <w:szCs w:val="24"/>
          <w:highlight w:val="none"/>
        </w:rPr>
        <w:br w:type="textWrapping"/>
      </w:r>
      <w:r>
        <w:rPr>
          <w:rFonts w:hint="eastAsia" w:eastAsia="仿宋_GB2312"/>
          <w:color w:val="auto"/>
          <w:sz w:val="24"/>
          <w:szCs w:val="24"/>
          <w:highlight w:val="none"/>
        </w:rPr>
        <w:t xml:space="preserve">   （1）合同清单工程量范围内的，发包人不调整清单单价，按中标综合单价执行；</w:t>
      </w:r>
      <w:r>
        <w:rPr>
          <w:rFonts w:hint="eastAsia" w:eastAsia="仿宋_GB2312"/>
          <w:color w:val="auto"/>
          <w:sz w:val="24"/>
          <w:szCs w:val="24"/>
          <w:highlight w:val="none"/>
        </w:rPr>
        <w:br w:type="textWrapping"/>
      </w:r>
      <w:r>
        <w:rPr>
          <w:rFonts w:hint="eastAsia" w:eastAsia="仿宋_GB2312"/>
          <w:color w:val="auto"/>
          <w:sz w:val="24"/>
          <w:szCs w:val="24"/>
          <w:highlight w:val="none"/>
        </w:rPr>
        <w:t xml:space="preserve">   （2）超出合同清单工程量10%以外，发包人有权对超出10%以外部分的单价保留重新定价的权利，承包人不得提出异议和抗辩，否则，承包人承担严重违约，发包人有权因此解除合同。</w:t>
      </w:r>
    </w:p>
    <w:p w14:paraId="6AB90598">
      <w:pPr>
        <w:pStyle w:val="6"/>
        <w:spacing w:before="120" w:after="120" w:line="360" w:lineRule="auto"/>
        <w:rPr>
          <w:rFonts w:hint="eastAsia" w:ascii="Times New Roman" w:hAnsi="Times New Roman" w:eastAsia="黑体"/>
          <w:b w:val="0"/>
          <w:color w:val="auto"/>
          <w:sz w:val="24"/>
          <w:szCs w:val="24"/>
          <w:highlight w:val="none"/>
        </w:rPr>
      </w:pPr>
      <w:r>
        <w:rPr>
          <w:rFonts w:ascii="Times New Roman" w:hAnsi="Times New Roman" w:eastAsia="黑体"/>
          <w:b w:val="0"/>
          <w:color w:val="auto"/>
          <w:sz w:val="24"/>
          <w:szCs w:val="24"/>
          <w:highlight w:val="none"/>
        </w:rPr>
        <w:t>2</w:t>
      </w:r>
      <w:bookmarkStart w:id="521" w:name="_Toc296346658"/>
      <w:bookmarkStart w:id="522" w:name="_Toc297048343"/>
      <w:bookmarkStart w:id="523" w:name="_Toc296890985"/>
      <w:bookmarkStart w:id="524" w:name="_Toc292559867"/>
      <w:bookmarkStart w:id="525" w:name="_Toc296503157"/>
      <w:bookmarkStart w:id="526" w:name="_Toc296347156"/>
      <w:bookmarkStart w:id="527" w:name="_Toc296944496"/>
      <w:bookmarkStart w:id="528" w:name="_Toc296891197"/>
      <w:bookmarkStart w:id="529" w:name="_Toc292559362"/>
      <w:bookmarkStart w:id="530" w:name="_Toc297120457"/>
      <w:r>
        <w:rPr>
          <w:rFonts w:ascii="Times New Roman" w:hAnsi="Times New Roman" w:eastAsia="黑体"/>
          <w:b w:val="0"/>
          <w:color w:val="auto"/>
          <w:sz w:val="24"/>
          <w:szCs w:val="24"/>
          <w:highlight w:val="none"/>
        </w:rPr>
        <w:t>. 发包人</w:t>
      </w:r>
      <w:bookmarkEnd w:id="520"/>
    </w:p>
    <w:p w14:paraId="21B88843">
      <w:pPr>
        <w:spacing w:line="360" w:lineRule="auto"/>
        <w:ind w:firstLine="480" w:firstLineChars="200"/>
        <w:rPr>
          <w:rFonts w:hint="eastAsia" w:eastAsia="仿宋_GB2312"/>
          <w:color w:val="auto"/>
          <w:sz w:val="24"/>
          <w:szCs w:val="24"/>
          <w:highlight w:val="none"/>
        </w:rPr>
      </w:pPr>
      <w:bookmarkStart w:id="531" w:name="_Toc9229"/>
      <w:r>
        <w:rPr>
          <w:rFonts w:hint="eastAsia" w:eastAsia="仿宋_GB2312"/>
          <w:color w:val="auto"/>
          <w:sz w:val="24"/>
          <w:szCs w:val="24"/>
          <w:highlight w:val="none"/>
        </w:rPr>
        <w:t>通用条款2.1条不适用，替换为：</w:t>
      </w:r>
    </w:p>
    <w:p w14:paraId="2427FB98">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2.1 许可或批准</w:t>
      </w:r>
      <w:bookmarkEnd w:id="531"/>
    </w:p>
    <w:p w14:paraId="037082C4">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承包人应无条件接受</w:t>
      </w:r>
      <w:r>
        <w:rPr>
          <w:rFonts w:eastAsia="仿宋_GB2312"/>
          <w:color w:val="auto"/>
          <w:sz w:val="24"/>
          <w:szCs w:val="24"/>
          <w:highlight w:val="none"/>
        </w:rPr>
        <w:t>发包人</w:t>
      </w:r>
      <w:r>
        <w:rPr>
          <w:rFonts w:hint="eastAsia" w:eastAsia="仿宋_GB2312"/>
          <w:color w:val="auto"/>
          <w:sz w:val="24"/>
          <w:szCs w:val="24"/>
          <w:highlight w:val="none"/>
        </w:rPr>
        <w:t>的委托，代表发包人</w:t>
      </w:r>
      <w:r>
        <w:rPr>
          <w:rFonts w:eastAsia="仿宋_GB2312"/>
          <w:color w:val="auto"/>
          <w:sz w:val="24"/>
          <w:szCs w:val="24"/>
          <w:highlight w:val="none"/>
        </w:rPr>
        <w:t>办理法律规定</w:t>
      </w:r>
      <w:r>
        <w:rPr>
          <w:rFonts w:hint="eastAsia" w:eastAsia="仿宋_GB2312"/>
          <w:color w:val="auto"/>
          <w:sz w:val="24"/>
          <w:szCs w:val="24"/>
          <w:highlight w:val="none"/>
        </w:rPr>
        <w:t>应</w:t>
      </w:r>
      <w:r>
        <w:rPr>
          <w:rFonts w:eastAsia="仿宋_GB2312"/>
          <w:color w:val="auto"/>
          <w:sz w:val="24"/>
          <w:szCs w:val="24"/>
          <w:highlight w:val="none"/>
        </w:rPr>
        <w:t>由</w:t>
      </w:r>
      <w:r>
        <w:rPr>
          <w:rFonts w:hint="eastAsia" w:eastAsia="仿宋_GB2312"/>
          <w:color w:val="auto"/>
          <w:sz w:val="24"/>
          <w:szCs w:val="24"/>
          <w:highlight w:val="none"/>
        </w:rPr>
        <w:t>发包人</w:t>
      </w:r>
      <w:r>
        <w:rPr>
          <w:rFonts w:eastAsia="仿宋_GB2312"/>
          <w:color w:val="auto"/>
          <w:sz w:val="24"/>
          <w:szCs w:val="24"/>
          <w:highlight w:val="none"/>
        </w:rPr>
        <w:t>办理的许可、批准或备案，</w:t>
      </w:r>
      <w:r>
        <w:rPr>
          <w:rFonts w:hint="eastAsia" w:eastAsia="仿宋_GB2312"/>
          <w:color w:val="auto"/>
          <w:sz w:val="24"/>
          <w:szCs w:val="24"/>
          <w:highlight w:val="none"/>
        </w:rPr>
        <w:t>并不得影响工程施工，</w:t>
      </w:r>
      <w:r>
        <w:rPr>
          <w:rFonts w:eastAsia="仿宋_GB2312"/>
          <w:color w:val="auto"/>
          <w:sz w:val="24"/>
          <w:szCs w:val="24"/>
          <w:highlight w:val="none"/>
        </w:rPr>
        <w:t>包括但不限于</w:t>
      </w:r>
      <w:r>
        <w:rPr>
          <w:rFonts w:hint="eastAsia" w:eastAsia="仿宋_GB2312"/>
          <w:color w:val="auto"/>
          <w:sz w:val="24"/>
          <w:szCs w:val="24"/>
          <w:highlight w:val="none"/>
        </w:rPr>
        <w:t>建设工程质量安全监督登记、购买印花税、合同备案（如需）、施工许可证、夜间施工许可、施工噪声排污许可、临时及永久性排水许可、报监手续、建筑废弃物处置证、余泥排放证、停水、停电、中断道路交通、人防监督登记、白蚁防治登记及备案、临时占用道路和人行道、开通路口审批、绿化迁移等手续。发包人委托给承包人负责的工作，承包人已在投标时审慎报价，所发生费用除法律法规及政府有关规定应由发包人缴交的行政管理费用外，其他所需费用已包含在签约合同价款中。由于承包人原因未能及时办理施工许可等造成工期延误、不能按期开工的，由承包人承担违约责任，</w:t>
      </w:r>
      <w:r>
        <w:rPr>
          <w:rFonts w:eastAsia="仿宋_GB2312"/>
          <w:color w:val="auto"/>
          <w:sz w:val="24"/>
          <w:szCs w:val="24"/>
          <w:highlight w:val="none"/>
        </w:rPr>
        <w:t>发包人应协助承包人办理法律规定的有关施工证件和批件。</w:t>
      </w:r>
    </w:p>
    <w:p w14:paraId="6534B92E">
      <w:pPr>
        <w:spacing w:line="360" w:lineRule="auto"/>
        <w:ind w:firstLine="480" w:firstLineChars="200"/>
        <w:rPr>
          <w:rFonts w:eastAsia="仿宋_GB2312"/>
          <w:color w:val="auto"/>
          <w:sz w:val="24"/>
          <w:szCs w:val="24"/>
          <w:highlight w:val="none"/>
          <w:u w:val="single"/>
        </w:rPr>
      </w:pPr>
      <w:r>
        <w:rPr>
          <w:rFonts w:eastAsia="仿宋_GB2312"/>
          <w:color w:val="auto"/>
          <w:sz w:val="24"/>
          <w:szCs w:val="24"/>
          <w:highlight w:val="none"/>
        </w:rPr>
        <w:t>因发包人原因未能及时办理完毕前述许可、批准或备案，</w:t>
      </w:r>
      <w:r>
        <w:rPr>
          <w:rFonts w:hint="eastAsia" w:eastAsia="仿宋_GB2312"/>
          <w:color w:val="auto"/>
          <w:sz w:val="24"/>
          <w:szCs w:val="24"/>
          <w:highlight w:val="none"/>
        </w:rPr>
        <w:t>导致工期延误的，按合同专用条款7.5条约定处理</w:t>
      </w:r>
      <w:r>
        <w:rPr>
          <w:rFonts w:eastAsia="仿宋_GB2312"/>
          <w:color w:val="auto"/>
          <w:sz w:val="24"/>
          <w:szCs w:val="24"/>
          <w:highlight w:val="none"/>
        </w:rPr>
        <w:t>。</w:t>
      </w:r>
    </w:p>
    <w:p w14:paraId="6A2201C4">
      <w:pPr>
        <w:rPr>
          <w:color w:val="auto"/>
          <w:sz w:val="18"/>
          <w:szCs w:val="20"/>
          <w:highlight w:val="none"/>
        </w:rPr>
      </w:pPr>
    </w:p>
    <w:bookmarkEnd w:id="521"/>
    <w:bookmarkEnd w:id="522"/>
    <w:bookmarkEnd w:id="523"/>
    <w:bookmarkEnd w:id="524"/>
    <w:bookmarkEnd w:id="525"/>
    <w:bookmarkEnd w:id="526"/>
    <w:bookmarkEnd w:id="527"/>
    <w:bookmarkEnd w:id="528"/>
    <w:bookmarkEnd w:id="529"/>
    <w:bookmarkEnd w:id="530"/>
    <w:p w14:paraId="330D3F6D">
      <w:pPr>
        <w:spacing w:after="120" w:line="360" w:lineRule="auto"/>
        <w:ind w:firstLine="480" w:firstLineChars="200"/>
        <w:outlineLvl w:val="0"/>
        <w:rPr>
          <w:rFonts w:eastAsia="黑体"/>
          <w:color w:val="auto"/>
          <w:sz w:val="24"/>
          <w:szCs w:val="24"/>
          <w:highlight w:val="none"/>
        </w:rPr>
      </w:pPr>
      <w:bookmarkStart w:id="532" w:name="_Toc32835770"/>
      <w:r>
        <w:rPr>
          <w:rFonts w:eastAsia="黑体"/>
          <w:color w:val="auto"/>
          <w:sz w:val="24"/>
          <w:szCs w:val="24"/>
          <w:highlight w:val="none"/>
        </w:rPr>
        <w:t>2.2 发包人代表</w:t>
      </w:r>
      <w:bookmarkEnd w:id="532"/>
    </w:p>
    <w:p w14:paraId="08329C3A">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发包人代表：</w:t>
      </w:r>
    </w:p>
    <w:p w14:paraId="0C572BAB">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姓    名：</w:t>
      </w:r>
      <w:r>
        <w:rPr>
          <w:rFonts w:eastAsia="仿宋_GB2312"/>
          <w:color w:val="auto"/>
          <w:sz w:val="24"/>
          <w:szCs w:val="24"/>
          <w:highlight w:val="none"/>
          <w:u w:val="single"/>
        </w:rPr>
        <w:t xml:space="preserve"> 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w:t>
      </w:r>
      <w:r>
        <w:rPr>
          <w:rFonts w:eastAsia="仿宋_GB2312"/>
          <w:color w:val="auto"/>
          <w:sz w:val="24"/>
          <w:szCs w:val="24"/>
          <w:highlight w:val="none"/>
        </w:rPr>
        <w:t>；</w:t>
      </w:r>
    </w:p>
    <w:p w14:paraId="3AAA782A">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联系电话：</w:t>
      </w:r>
      <w:r>
        <w:rPr>
          <w:rFonts w:eastAsia="仿宋_GB2312"/>
          <w:color w:val="auto"/>
          <w:sz w:val="24"/>
          <w:szCs w:val="24"/>
          <w:highlight w:val="none"/>
          <w:u w:val="single"/>
        </w:rPr>
        <w:t xml:space="preserve">   </w:t>
      </w:r>
      <w:r>
        <w:rPr>
          <w:rFonts w:eastAsia="仿宋_GB2312"/>
          <w:color w:val="auto"/>
          <w:sz w:val="24"/>
          <w:szCs w:val="24"/>
          <w:highlight w:val="none"/>
        </w:rPr>
        <w:t>；电子信箱：</w:t>
      </w:r>
      <w:r>
        <w:rPr>
          <w:rFonts w:eastAsia="仿宋_GB2312"/>
          <w:color w:val="auto"/>
          <w:sz w:val="24"/>
          <w:szCs w:val="24"/>
          <w:highlight w:val="none"/>
          <w:u w:val="single"/>
        </w:rPr>
        <w:t>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w:t>
      </w:r>
      <w:r>
        <w:rPr>
          <w:rFonts w:eastAsia="仿宋_GB2312"/>
          <w:color w:val="auto"/>
          <w:sz w:val="24"/>
          <w:szCs w:val="24"/>
          <w:highlight w:val="none"/>
        </w:rPr>
        <w:t>；</w:t>
      </w:r>
    </w:p>
    <w:p w14:paraId="6B1C3825">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通信地址：</w:t>
      </w:r>
      <w:r>
        <w:rPr>
          <w:rFonts w:eastAsia="仿宋_GB2312"/>
          <w:color w:val="auto"/>
          <w:sz w:val="24"/>
          <w:szCs w:val="24"/>
          <w:highlight w:val="none"/>
          <w:u w:val="single"/>
        </w:rPr>
        <w:t></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 </w:t>
      </w:r>
      <w:r>
        <w:rPr>
          <w:rFonts w:eastAsia="仿宋_GB2312"/>
          <w:color w:val="auto"/>
          <w:sz w:val="24"/>
          <w:szCs w:val="24"/>
          <w:highlight w:val="none"/>
        </w:rPr>
        <w:t>。</w:t>
      </w:r>
    </w:p>
    <w:p w14:paraId="59E24C2C">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发包人对发包人代表的授权范围如下：</w:t>
      </w:r>
      <w:r>
        <w:rPr>
          <w:rFonts w:hint="eastAsia" w:eastAsia="仿宋_GB2312"/>
          <w:color w:val="auto"/>
          <w:sz w:val="24"/>
          <w:szCs w:val="24"/>
          <w:highlight w:val="none"/>
          <w:u w:val="single"/>
        </w:rPr>
        <w:t>合同履行时另行确定</w:t>
      </w:r>
      <w:r>
        <w:rPr>
          <w:rFonts w:eastAsia="仿宋_GB2312"/>
          <w:color w:val="auto"/>
          <w:sz w:val="24"/>
          <w:szCs w:val="24"/>
          <w:highlight w:val="none"/>
          <w:u w:val="single"/>
        </w:rPr>
        <w:t xml:space="preserve"> </w:t>
      </w:r>
      <w:r>
        <w:rPr>
          <w:rFonts w:eastAsia="仿宋_GB2312"/>
          <w:color w:val="auto"/>
          <w:sz w:val="24"/>
          <w:szCs w:val="24"/>
          <w:highlight w:val="none"/>
        </w:rPr>
        <w:t>。</w:t>
      </w:r>
    </w:p>
    <w:p w14:paraId="3393B9AA">
      <w:pPr>
        <w:spacing w:after="120" w:line="360" w:lineRule="auto"/>
        <w:ind w:firstLine="480" w:firstLineChars="200"/>
        <w:outlineLvl w:val="0"/>
        <w:rPr>
          <w:rFonts w:eastAsia="黑体"/>
          <w:color w:val="auto"/>
          <w:sz w:val="24"/>
          <w:szCs w:val="24"/>
          <w:highlight w:val="none"/>
        </w:rPr>
      </w:pPr>
      <w:bookmarkStart w:id="533" w:name="_Toc32835771"/>
      <w:r>
        <w:rPr>
          <w:rFonts w:eastAsia="黑体"/>
          <w:color w:val="auto"/>
          <w:sz w:val="24"/>
          <w:szCs w:val="24"/>
          <w:highlight w:val="none"/>
        </w:rPr>
        <w:t>2.4 施工现场、施工条件和基础资料的提供</w:t>
      </w:r>
      <w:bookmarkEnd w:id="533"/>
    </w:p>
    <w:p w14:paraId="6BFDC705">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2.4.1 提供施工现场</w:t>
      </w:r>
    </w:p>
    <w:p w14:paraId="73BAE0A0">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关于发包人移交施工现场的期限要求：</w:t>
      </w:r>
      <w:r>
        <w:rPr>
          <w:rFonts w:hint="eastAsia" w:eastAsia="仿宋_GB2312"/>
          <w:color w:val="auto"/>
          <w:sz w:val="24"/>
          <w:szCs w:val="24"/>
          <w:highlight w:val="none"/>
          <w:u w:val="single"/>
        </w:rPr>
        <w:t xml:space="preserve">于开工日期7天前    </w:t>
      </w:r>
      <w:r>
        <w:rPr>
          <w:rFonts w:eastAsia="仿宋_GB2312"/>
          <w:color w:val="auto"/>
          <w:sz w:val="24"/>
          <w:szCs w:val="24"/>
          <w:highlight w:val="none"/>
        </w:rPr>
        <w:t>。</w:t>
      </w:r>
    </w:p>
    <w:p w14:paraId="33CD9E91">
      <w:pPr>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通用条款2.4.2~2.4.3条不适用，替换为：</w:t>
      </w:r>
    </w:p>
    <w:p w14:paraId="582E58F3">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2.4.2~2.4.3</w:t>
      </w:r>
      <w:r>
        <w:rPr>
          <w:rFonts w:eastAsia="仿宋_GB2312"/>
          <w:color w:val="auto"/>
          <w:sz w:val="24"/>
          <w:szCs w:val="24"/>
          <w:highlight w:val="none"/>
        </w:rPr>
        <w:t>提供施工条件</w:t>
      </w:r>
      <w:r>
        <w:rPr>
          <w:rFonts w:hint="eastAsia" w:eastAsia="仿宋_GB2312"/>
          <w:color w:val="auto"/>
          <w:sz w:val="24"/>
          <w:szCs w:val="24"/>
          <w:highlight w:val="none"/>
        </w:rPr>
        <w:t>及基础资料</w:t>
      </w:r>
    </w:p>
    <w:p w14:paraId="17AE273D">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发包人仅负责提供以下施工所需要的条件和基础资料，其它施工所需要的条件均由承包人自行负责解决：</w:t>
      </w:r>
    </w:p>
    <w:p w14:paraId="66CD4807">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提供现场现有的临时用水、用电接驳点，但在合同履行期间，临时用水及用电的维护、更改或扩容（如需）、恢复（如有）等均由承包人负责，所需费用已综合考虑在签约合同价中。由承包人直接向有关部门缴纳水、电费直至合同工程竣工验收并交付发包人后。</w:t>
      </w:r>
    </w:p>
    <w:p w14:paraId="5EAA468E">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（2）提供施工的工程地质勘察资料，以及红线以内供水、排水、供电、供气、供热、通信、广播电视等地下管线资料，供承包人参考。但承包人须自行自费复核该等资料的准确性。</w:t>
      </w:r>
    </w:p>
    <w:p w14:paraId="106E74C6">
      <w:pPr>
        <w:spacing w:line="360" w:lineRule="auto"/>
        <w:ind w:firstLine="480" w:firstLineChars="200"/>
        <w:jc w:val="left"/>
        <w:rPr>
          <w:rFonts w:hint="eastAsia" w:eastAsia="仿宋_GB2312"/>
          <w:color w:val="auto"/>
          <w:sz w:val="24"/>
          <w:szCs w:val="24"/>
          <w:highlight w:val="none"/>
          <w:u w:val="single"/>
        </w:rPr>
      </w:pPr>
      <w:r>
        <w:rPr>
          <w:rFonts w:hint="eastAsia" w:eastAsia="仿宋_GB2312"/>
          <w:color w:val="auto"/>
          <w:sz w:val="24"/>
          <w:szCs w:val="24"/>
          <w:highlight w:val="none"/>
        </w:rPr>
        <w:t>（3）组织现场交验并以书面形式移交水准点与坐标控制点给承包人，但承包人须自行自费复核该等资料的准确性。</w:t>
      </w:r>
    </w:p>
    <w:p w14:paraId="0808F55D">
      <w:pPr>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通用条款2.4.4条不适用，替换为：</w:t>
      </w:r>
    </w:p>
    <w:p w14:paraId="27F23CC9">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2.4.4逾期提供的责任</w:t>
      </w:r>
    </w:p>
    <w:p w14:paraId="0F30CF22">
      <w:pPr>
        <w:spacing w:line="360" w:lineRule="auto"/>
        <w:ind w:firstLine="480" w:firstLineChars="200"/>
        <w:jc w:val="left"/>
        <w:rPr>
          <w:rFonts w:hint="eastAsia" w:eastAsia="仿宋_GB2312"/>
          <w:color w:val="auto"/>
          <w:sz w:val="24"/>
          <w:szCs w:val="24"/>
          <w:highlight w:val="none"/>
          <w:u w:val="single"/>
        </w:rPr>
      </w:pPr>
      <w:r>
        <w:rPr>
          <w:rFonts w:hint="eastAsia" w:eastAsia="仿宋_GB2312"/>
          <w:color w:val="auto"/>
          <w:sz w:val="24"/>
          <w:szCs w:val="24"/>
          <w:highlight w:val="none"/>
        </w:rPr>
        <w:t>因发包人原因未能按合同约定及时向承包人提供施工现场、施工条件、基础资料引致费用增加或工期延误的，按合同专用条款第7.5条约定执行。</w:t>
      </w:r>
    </w:p>
    <w:p w14:paraId="3335AA28">
      <w:pPr>
        <w:spacing w:line="360" w:lineRule="auto"/>
        <w:ind w:firstLine="482" w:firstLineChars="200"/>
        <w:jc w:val="left"/>
        <w:rPr>
          <w:rFonts w:hint="eastAsia" w:eastAsia="仿宋_GB2312"/>
          <w:color w:val="auto"/>
          <w:sz w:val="24"/>
          <w:szCs w:val="24"/>
          <w:highlight w:val="none"/>
        </w:rPr>
      </w:pPr>
      <w:r>
        <w:rPr>
          <w:rFonts w:hint="eastAsia" w:eastAsia="仿宋_GB2312"/>
          <w:b/>
          <w:bCs/>
          <w:color w:val="auto"/>
          <w:sz w:val="24"/>
          <w:szCs w:val="24"/>
          <w:highlight w:val="none"/>
        </w:rPr>
        <w:t>通用条款2.5条不适用，替换为：</w:t>
      </w:r>
    </w:p>
    <w:p w14:paraId="3AA05564">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2.5 发包人</w:t>
      </w:r>
      <w:r>
        <w:rPr>
          <w:rFonts w:hint="eastAsia" w:eastAsia="仿宋_GB2312"/>
          <w:color w:val="auto"/>
          <w:sz w:val="24"/>
          <w:szCs w:val="24"/>
          <w:highlight w:val="none"/>
        </w:rPr>
        <w:t>不提供</w:t>
      </w:r>
      <w:r>
        <w:rPr>
          <w:rFonts w:eastAsia="仿宋_GB2312"/>
          <w:color w:val="auto"/>
          <w:sz w:val="24"/>
          <w:szCs w:val="24"/>
          <w:highlight w:val="none"/>
        </w:rPr>
        <w:t>资金来源证明及支付担保</w:t>
      </w:r>
      <w:r>
        <w:rPr>
          <w:rFonts w:hint="eastAsia" w:eastAsia="仿宋_GB2312"/>
          <w:color w:val="auto"/>
          <w:sz w:val="24"/>
          <w:szCs w:val="24"/>
          <w:highlight w:val="none"/>
        </w:rPr>
        <w:t>。</w:t>
      </w:r>
    </w:p>
    <w:p w14:paraId="3444E116">
      <w:pPr>
        <w:spacing w:line="360" w:lineRule="auto"/>
        <w:ind w:firstLine="482" w:firstLineChars="200"/>
        <w:jc w:val="left"/>
        <w:rPr>
          <w:rFonts w:hint="eastAsia" w:eastAsia="仿宋_GB2312"/>
          <w:color w:val="auto"/>
          <w:sz w:val="24"/>
          <w:szCs w:val="24"/>
          <w:highlight w:val="none"/>
        </w:rPr>
      </w:pPr>
      <w:r>
        <w:rPr>
          <w:rFonts w:hint="eastAsia" w:eastAsia="仿宋_GB2312"/>
          <w:b/>
          <w:bCs/>
          <w:color w:val="auto"/>
          <w:sz w:val="24"/>
          <w:szCs w:val="24"/>
          <w:highlight w:val="none"/>
        </w:rPr>
        <w:t>增加2.9条款，具体如下：</w:t>
      </w:r>
    </w:p>
    <w:p w14:paraId="73C23519">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2.9根据招标文件及承包人的承诺，发包人保留下列的权利：</w:t>
      </w:r>
    </w:p>
    <w:p w14:paraId="51BAD1AD">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2.9.1对本工程使用之材料品质及工程质量审查确认的权利；</w:t>
      </w:r>
    </w:p>
    <w:p w14:paraId="0EAE4E3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2.9.2视承包人的承包能力，有权根据工程实际需要增加或减少部分工程；除合同另有约定外，保留对本项目中承包人承包范围内的专业工程进行依法招标的权利，并保留对工程量报价清单中暂定材料价格的主要材料进行自行采购的权利；承包人不得拒绝或以此要求增加任何补偿，本合同条款另有约定的费用调整除外。</w:t>
      </w:r>
    </w:p>
    <w:p w14:paraId="16468FBF">
      <w:pPr>
        <w:pStyle w:val="6"/>
        <w:spacing w:before="120" w:after="120" w:line="360" w:lineRule="auto"/>
        <w:rPr>
          <w:rFonts w:ascii="Times New Roman" w:hAnsi="Times New Roman" w:eastAsia="黑体"/>
          <w:b w:val="0"/>
          <w:color w:val="auto"/>
          <w:sz w:val="24"/>
          <w:szCs w:val="24"/>
          <w:highlight w:val="none"/>
        </w:rPr>
      </w:pPr>
      <w:bookmarkStart w:id="534" w:name="_Toc32835772"/>
      <w:r>
        <w:rPr>
          <w:rFonts w:ascii="Times New Roman" w:hAnsi="Times New Roman" w:eastAsia="黑体"/>
          <w:b w:val="0"/>
          <w:color w:val="auto"/>
          <w:sz w:val="24"/>
          <w:szCs w:val="24"/>
          <w:highlight w:val="none"/>
        </w:rPr>
        <w:t>3</w:t>
      </w:r>
      <w:bookmarkStart w:id="535" w:name="_Toc292559363"/>
      <w:bookmarkStart w:id="536" w:name="_Toc296347157"/>
      <w:bookmarkStart w:id="537" w:name="_Toc296503158"/>
      <w:bookmarkStart w:id="538" w:name="_Toc296944497"/>
      <w:bookmarkStart w:id="539" w:name="_Toc297120458"/>
      <w:bookmarkStart w:id="540" w:name="_Toc292559868"/>
      <w:bookmarkStart w:id="541" w:name="_Toc296891198"/>
      <w:bookmarkStart w:id="542" w:name="_Toc296890986"/>
      <w:bookmarkStart w:id="543" w:name="_Toc297048344"/>
      <w:bookmarkStart w:id="544" w:name="_Toc296346659"/>
      <w:r>
        <w:rPr>
          <w:rFonts w:ascii="Times New Roman" w:hAnsi="Times New Roman" w:eastAsia="黑体"/>
          <w:b w:val="0"/>
          <w:color w:val="auto"/>
          <w:sz w:val="24"/>
          <w:szCs w:val="24"/>
          <w:highlight w:val="none"/>
        </w:rPr>
        <w:t>. 承包人</w:t>
      </w:r>
      <w:bookmarkEnd w:id="534"/>
    </w:p>
    <w:bookmarkEnd w:id="535"/>
    <w:bookmarkEnd w:id="536"/>
    <w:bookmarkEnd w:id="537"/>
    <w:bookmarkEnd w:id="538"/>
    <w:bookmarkEnd w:id="539"/>
    <w:bookmarkEnd w:id="540"/>
    <w:bookmarkEnd w:id="541"/>
    <w:bookmarkEnd w:id="542"/>
    <w:bookmarkEnd w:id="543"/>
    <w:bookmarkEnd w:id="544"/>
    <w:p w14:paraId="3FD2EFD9">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3.1 承包人的一般义务</w:t>
      </w:r>
    </w:p>
    <w:p w14:paraId="77E0DB21">
      <w:pPr>
        <w:spacing w:line="360" w:lineRule="auto"/>
        <w:ind w:firstLine="480" w:firstLineChars="200"/>
        <w:jc w:val="left"/>
        <w:rPr>
          <w:rFonts w:hint="eastAsia" w:eastAsia="仿宋_GB2312"/>
          <w:color w:val="auto"/>
          <w:sz w:val="24"/>
          <w:szCs w:val="24"/>
          <w:highlight w:val="none"/>
        </w:rPr>
      </w:pPr>
      <w:r>
        <w:rPr>
          <w:rFonts w:eastAsia="仿宋_GB2312"/>
          <w:color w:val="auto"/>
          <w:kern w:val="0"/>
          <w:sz w:val="24"/>
          <w:szCs w:val="24"/>
          <w:highlight w:val="none"/>
        </w:rPr>
        <w:t>（</w:t>
      </w:r>
      <w:r>
        <w:rPr>
          <w:rFonts w:hint="eastAsia" w:eastAsia="仿宋_GB2312"/>
          <w:color w:val="auto"/>
          <w:kern w:val="0"/>
          <w:sz w:val="24"/>
          <w:szCs w:val="24"/>
          <w:highlight w:val="none"/>
        </w:rPr>
        <w:t>9</w:t>
      </w:r>
      <w:r>
        <w:rPr>
          <w:rFonts w:eastAsia="仿宋_GB2312"/>
          <w:color w:val="auto"/>
          <w:kern w:val="0"/>
          <w:sz w:val="24"/>
          <w:szCs w:val="24"/>
          <w:highlight w:val="none"/>
        </w:rPr>
        <w:t>）</w:t>
      </w:r>
      <w:r>
        <w:rPr>
          <w:rFonts w:eastAsia="仿宋_GB2312"/>
          <w:color w:val="auto"/>
          <w:sz w:val="24"/>
          <w:szCs w:val="24"/>
          <w:highlight w:val="none"/>
        </w:rPr>
        <w:t>承包人提交的工程档案竣工资料的内容：</w:t>
      </w:r>
      <w:r>
        <w:rPr>
          <w:rFonts w:hint="eastAsia" w:eastAsia="仿宋_GB2312"/>
          <w:color w:val="auto"/>
          <w:sz w:val="24"/>
          <w:szCs w:val="24"/>
          <w:highlight w:val="none"/>
        </w:rPr>
        <w:t>承包人的工程档案竣工资料，基坑工程档案竣工资料以及总包管理配合服务范围内暂估价专业工程和各平行发包工程的工程档案竣工资料及其电子版本</w:t>
      </w:r>
      <w:r>
        <w:rPr>
          <w:rFonts w:eastAsia="仿宋_GB2312"/>
          <w:color w:val="auto"/>
          <w:sz w:val="24"/>
          <w:szCs w:val="24"/>
          <w:highlight w:val="none"/>
        </w:rPr>
        <w:t>。</w:t>
      </w:r>
      <w:r>
        <w:rPr>
          <w:rFonts w:hint="eastAsia" w:eastAsia="仿宋_GB2312"/>
          <w:color w:val="auto"/>
          <w:sz w:val="24"/>
          <w:szCs w:val="24"/>
          <w:highlight w:val="none"/>
        </w:rPr>
        <w:t>承包人应按照国家《城市建设档案管理规定》及地方现行有关管理规定和发包人有关整理工程档案的要求，在工程施工期间及时收集、汇总、整理、立卷、编制工程档案竣工资料（包括各分包人、指定分包人和平行分包工程承包人的工程档案竣工资料），工程竣工验收后向发包人完整移交。</w:t>
      </w:r>
    </w:p>
    <w:p w14:paraId="4491B999">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承包人提交的工程档案竣工资料的费用承担</w:t>
      </w:r>
      <w:r>
        <w:rPr>
          <w:rFonts w:eastAsia="仿宋_GB2312"/>
          <w:color w:val="auto"/>
          <w:sz w:val="24"/>
          <w:szCs w:val="24"/>
          <w:highlight w:val="none"/>
          <w:u w:val="single"/>
        </w:rPr>
        <w:t>：由承包人承担</w:t>
      </w:r>
      <w:r>
        <w:rPr>
          <w:rFonts w:eastAsia="仿宋_GB2312"/>
          <w:color w:val="auto"/>
          <w:sz w:val="24"/>
          <w:szCs w:val="24"/>
          <w:highlight w:val="none"/>
        </w:rPr>
        <w:t>。</w:t>
      </w:r>
    </w:p>
    <w:p w14:paraId="4A5F3609">
      <w:pPr>
        <w:spacing w:line="360" w:lineRule="auto"/>
        <w:ind w:firstLine="480" w:firstLineChars="200"/>
        <w:rPr>
          <w:rFonts w:ascii="仿宋" w:hAnsi="仿宋" w:eastAsia="仿宋"/>
          <w:color w:val="auto"/>
          <w:sz w:val="22"/>
          <w:highlight w:val="none"/>
        </w:rPr>
      </w:pPr>
      <w:r>
        <w:rPr>
          <w:rFonts w:eastAsia="仿宋_GB2312"/>
          <w:color w:val="auto"/>
          <w:sz w:val="24"/>
          <w:szCs w:val="24"/>
          <w:highlight w:val="none"/>
        </w:rPr>
        <w:t>承包人提交的工程档案竣工资料移交时间：</w:t>
      </w:r>
      <w:r>
        <w:rPr>
          <w:rFonts w:hint="eastAsia" w:eastAsia="仿宋_GB2312"/>
          <w:color w:val="auto"/>
          <w:sz w:val="24"/>
          <w:szCs w:val="24"/>
          <w:highlight w:val="none"/>
          <w:u w:val="single"/>
        </w:rPr>
        <w:t>工程竣工验收合格后30天内</w:t>
      </w:r>
      <w:r>
        <w:rPr>
          <w:rFonts w:ascii="仿宋" w:hAnsi="仿宋" w:eastAsia="仿宋"/>
          <w:color w:val="auto"/>
          <w:sz w:val="22"/>
          <w:highlight w:val="none"/>
        </w:rPr>
        <w:t>。</w:t>
      </w:r>
    </w:p>
    <w:p w14:paraId="3311B6E9">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承包人提交的工程档案竣工资料形式要求：</w:t>
      </w:r>
      <w:r>
        <w:rPr>
          <w:rFonts w:hint="eastAsia" w:eastAsia="仿宋_GB2312"/>
          <w:color w:val="auto"/>
          <w:sz w:val="24"/>
          <w:szCs w:val="24"/>
          <w:highlight w:val="none"/>
        </w:rPr>
        <w:t>如果承包人不按规定提交工程档案竣工资料或提交的资料不符合要求，须按合同要求承担一般违约责任，如经发包人或监理工程师催告后仍未能按要求提交工程档案竣工资料的，则每延误一天并处以1000元人民币的违约金，违约金从承包人的剩余工程款中扣除（如合同其他条款与本条款约定不一致的，以本条款为准）</w:t>
      </w:r>
      <w:r>
        <w:rPr>
          <w:rFonts w:eastAsia="仿宋_GB2312"/>
          <w:color w:val="auto"/>
          <w:sz w:val="24"/>
          <w:szCs w:val="24"/>
          <w:highlight w:val="none"/>
        </w:rPr>
        <w:t>。</w:t>
      </w:r>
    </w:p>
    <w:p w14:paraId="43D4B72F">
      <w:pPr>
        <w:spacing w:line="360" w:lineRule="auto"/>
        <w:ind w:firstLine="480" w:firstLineChars="200"/>
        <w:rPr>
          <w:rFonts w:eastAsia="仿宋_GB2312"/>
          <w:color w:val="auto"/>
          <w:sz w:val="24"/>
          <w:szCs w:val="24"/>
          <w:highlight w:val="none"/>
          <w:u w:val="single"/>
        </w:rPr>
      </w:pPr>
      <w:r>
        <w:rPr>
          <w:rFonts w:eastAsia="仿宋_GB2312"/>
          <w:color w:val="auto"/>
          <w:kern w:val="0"/>
          <w:sz w:val="24"/>
          <w:szCs w:val="24"/>
          <w:highlight w:val="none"/>
        </w:rPr>
        <w:t>（</w:t>
      </w:r>
      <w:r>
        <w:rPr>
          <w:rFonts w:hint="eastAsia" w:eastAsia="仿宋_GB2312"/>
          <w:color w:val="auto"/>
          <w:kern w:val="0"/>
          <w:sz w:val="24"/>
          <w:szCs w:val="24"/>
          <w:highlight w:val="none"/>
        </w:rPr>
        <w:t>10</w:t>
      </w:r>
      <w:r>
        <w:rPr>
          <w:rFonts w:eastAsia="仿宋_GB2312"/>
          <w:color w:val="auto"/>
          <w:kern w:val="0"/>
          <w:sz w:val="24"/>
          <w:szCs w:val="24"/>
          <w:highlight w:val="none"/>
        </w:rPr>
        <w:t>）承包人应履行的其他义务：</w:t>
      </w:r>
    </w:p>
    <w:p w14:paraId="1AF2828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1）承包人应在签订合同后15天内完成办理施工许可证所需的全部文件资料收集及整理工作，原则上在资料齐全后15天内取得施工许可证。</w:t>
      </w:r>
    </w:p>
    <w:p w14:paraId="19EB5E47">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遵守国家、广东省及当地现行的法律、条例、规定和通知，负责办理所需的申请和支付有关的法定费用和税项，包括但不限于施工场地交通、环境保护、安全防护、文明施工、施工噪音管理（含建筑施工噪声超标排污费）、施工许可证、工程质量与安全的监督报监、余泥排放、占用道路申请、夜间施工、临时及永久性排水许可、施工爆破许可、人防监督登记、白蚁防治登记及备案、临时占用道路和人行道审批、开通路口审批、绿化迁移审批等施工所需证件、批准文件。负责协调本标段施工过程中的相关职能部门及周边居民，包括街道居委、公安派出所、交通部门、质安监部门、建管部门、城管部门、绿化部门、路灯所等。上述工作所发生费用除法律法规规定必须由发包人缴交的行政税费或双方另行约定由发包人缴交的行政税费外，其他所需费用已包含在签约合同价款中，由承包人负责支付；涉及由发包人缴交的行政税费承包人应以书面形式知会发包人。</w:t>
      </w:r>
    </w:p>
    <w:p w14:paraId="354CBE08">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承包人接到中标通知书后15天内向发包人提交工程进度的执行计划（即投标文件中承诺的控制计划的细化版），但在重大节点及关键线路、关健工序及各工序的逻辑关系上不得与投标文件的承诺相矛盾。执行计划在监理审核、发包人批准后实施。</w:t>
      </w:r>
    </w:p>
    <w:p w14:paraId="4E16271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接到中标通知后28天内，承包人向发包人提供本项目各专业工程进度（含暂估价专业工程及平行发包工程）编制及报审的计划。该计划内容经监理审核、发包人批准后实施。</w:t>
      </w:r>
    </w:p>
    <w:p w14:paraId="4BD9F796">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在接到中标通知书后28天内，承包人向发包人提供正式的施工组织设计，该施工组织设计的内容不应与投标文件有原则性冲突。监理人和发包人对本项目施工组织设计的审批并不意味着对合约的内容的变更，如因此造成费用增加的，已包括在签约合同价中。</w:t>
      </w:r>
    </w:p>
    <w:p w14:paraId="1706B19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4）承包人应保证执行投标文件所承诺的施工组织设计中的资源投入计划，将工程施工所需的机械设备、人员、材料等资源，根据工程进度计划按时、按标准、足额投入。</w:t>
      </w:r>
    </w:p>
    <w:p w14:paraId="574757C2">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开工前，承包人必须在施工组织设计中编制资源投入计划，报监理工程师和发包人批准后实施。特别是施工所需的机械设备（包括自有和租赁），应与投标文件填报的品牌、数量、质量、规格、性能相符且具备正常施工功能，并配有明显的承包人单位标志，且为合法使用设备（如年检证、使用证等），便于发包人检查承包人施工设备投入情况。</w:t>
      </w:r>
    </w:p>
    <w:p w14:paraId="04F940C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施工过程中，承包人因特殊原因需变更资源投入计划或者对已投入的资源进行调整的，应当提前7天提出申请，报监理工程师和发包人批准。允许机械、设备调整的原则为：所调整机械、设备，规格、标准只能比原计划提高，不能降低；数量原则上不允许减少，如确因更换先进设备提高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14:paraId="0F47E44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因设计变更、施工现场情况变化造成工程内容、工程量变化，须调整机械、设备的规格、数量的，承包人须在变更或变化确定后7天内，提出完整的更新施工方案和资源投入计划，报监理工程师和发包人批准后实施。</w:t>
      </w:r>
    </w:p>
    <w:p w14:paraId="424D5302">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未经监理工程师和发包人批准，承包人不按投标文件的承诺投入资源或擅自变更资源投入计划或者对已投入的资源进行调整的，按16</w:t>
      </w:r>
      <w:r>
        <w:rPr>
          <w:rFonts w:eastAsia="仿宋_GB2312"/>
          <w:color w:val="auto"/>
          <w:sz w:val="24"/>
          <w:szCs w:val="24"/>
          <w:highlight w:val="none"/>
        </w:rPr>
        <w:t>.2</w:t>
      </w:r>
      <w:r>
        <w:rPr>
          <w:rFonts w:hint="eastAsia" w:eastAsia="仿宋_GB2312"/>
          <w:color w:val="auto"/>
          <w:sz w:val="24"/>
          <w:szCs w:val="24"/>
          <w:highlight w:val="none"/>
        </w:rPr>
        <w:t xml:space="preserve">.2条第（5）款约定承担违约责任。  </w:t>
      </w:r>
    </w:p>
    <w:p w14:paraId="7B8A9197">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5）按合同规定和监理工程师的要求提交工程进度报告和进度计划，并按1.6.4条约定执行；</w:t>
      </w:r>
    </w:p>
    <w:p w14:paraId="5799598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6）对施工图、技术资料认真地复核和检查，有预见性的发现和指正设计缺陷和错误，应提出能实质性地节约资金和缩短工期的建议和措施。</w:t>
      </w:r>
    </w:p>
    <w:p w14:paraId="6900803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7）承包人采取的任何施工方案和技术措施，如需要经政府有关部门审查批准的，承包人应取得相关部门批准后才能施工，由此发生的文件报批、评审活动组织等全部工作和费用均由承包人承担；承包人还应该制定详细的安全应急抢险方案并承担相应的费用及损失。</w:t>
      </w:r>
    </w:p>
    <w:p w14:paraId="0D090FD7">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8）核实发包人提供的基准点，并根据核实后的基准点进行工程测量放线，须保证合同工程所有部位准确定位，并对工程的位置、标高、尺寸的任何偏差及时进行纠正，如因承包人原因引致工程的位置、标高、尺寸出现偏差而造成任何损失的，由承包人承担责任并负责赔偿。基准点由承包人负责维护，如因修路等原因影响导致控制点被破坏的，相关修复工作（含重新放线）及费用由承包人承担。</w:t>
      </w:r>
    </w:p>
    <w:p w14:paraId="540081EC">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9）向发包人（含监理人及造价咨询人）提供临时办公室和办公家具，由此产生的费用已包括在签约合同价中，具体要求如下：</w:t>
      </w:r>
    </w:p>
    <w:p w14:paraId="578F5552">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提供办公室使用面积共计不少于30平方米，其中发包人代表驻现场办公室使用面积10平方米、监理工程师驻现场办公室及休息室使用面积合计10平方米、造价咨询造价人员驻现场办公室及休息室使用面积合计10平方米。室内装修、办公家具、水电及</w:t>
      </w:r>
      <w:r>
        <w:rPr>
          <w:rFonts w:hint="eastAsia" w:eastAsia="仿宋_GB2312"/>
          <w:color w:val="auto"/>
          <w:kern w:val="0"/>
          <w:sz w:val="24"/>
          <w:szCs w:val="24"/>
          <w:highlight w:val="none"/>
        </w:rPr>
        <w:t>网络</w:t>
      </w:r>
      <w:r>
        <w:rPr>
          <w:rFonts w:hint="eastAsia" w:eastAsia="仿宋_GB2312"/>
          <w:color w:val="auto"/>
          <w:sz w:val="24"/>
          <w:szCs w:val="24"/>
          <w:highlight w:val="none"/>
        </w:rPr>
        <w:t>需要达到正常办公使用需要，并提供空调设施；同时应承担发包人、监理单位及造价咨询单位等单位在现场办公等的水电及网络费用。上述所需费用已包括在签约合同价中。</w:t>
      </w:r>
    </w:p>
    <w:p w14:paraId="7182D648">
      <w:pPr>
        <w:spacing w:line="360" w:lineRule="auto"/>
        <w:ind w:firstLine="480" w:firstLineChars="200"/>
        <w:rPr>
          <w:color w:val="auto"/>
          <w:sz w:val="18"/>
          <w:szCs w:val="20"/>
          <w:highlight w:val="none"/>
        </w:rPr>
      </w:pPr>
      <w:r>
        <w:rPr>
          <w:rFonts w:hint="eastAsia" w:eastAsia="仿宋_GB2312"/>
          <w:color w:val="auto"/>
          <w:sz w:val="24"/>
          <w:szCs w:val="24"/>
          <w:highlight w:val="none"/>
        </w:rPr>
        <w:t>现场现有临建设施如不满足发包人要求，发包人有权根据现场实际需要要求承包人适当增加，费用已包括在签约合同价中。</w:t>
      </w:r>
    </w:p>
    <w:p w14:paraId="07841C2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如承包人不按上述提供临时办公室和办公家具，发包人可自行委托其他单位提供，所需费用（按实际委托费用计取）仍由承包人承担，承包人同意发包人在支付给承包人任何款项中扣除。</w:t>
      </w:r>
    </w:p>
    <w:p w14:paraId="31DCFA7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承包人提供的办公家具须确保能使用至工程竣工，并负责合同期限内的维护、保养及搬迁。</w:t>
      </w:r>
    </w:p>
    <w:p w14:paraId="669FE42F">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10）承包人应负责现场范围以内的公共设备、施工场地及周围的地下管线、邻近建筑物、构筑物等进行勘察，根据勘察结果确定具体的保护或迁移措施并承担有关费用。承包人应对所采取的保护措施进行监测，确保上述受保护物件及区域内相关人员的安全。如果引致任何损坏或伤亡的，由承包人承担责任并负责赔偿，并对发包人因此引致索赔、诉讼及因此支出的费用承担损失赔偿。</w:t>
      </w:r>
    </w:p>
    <w:p w14:paraId="0B40432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11）本项目红线范围内面积有限，凡红线范围内场地及临时设施不能满足施工需求的，承包人应自行协调红线外场地使用，红线外临时设施搭拆、使用租金、材料堆放运输等由此引起的一切费用由承包人自行承担，承包人同时应承担所占红线范围外场地设施、地下管线的保护和修复费用。</w:t>
      </w:r>
    </w:p>
    <w:p w14:paraId="2224D926">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12）严格遵守国家、省、市有关防火、爆破和施工安全以及文明施工、夜间施工、环卫和城管等规定，建立规章制度和防护措施，并承担由于自身措施不力造成事故的责任和发生的费用。</w:t>
      </w:r>
    </w:p>
    <w:p w14:paraId="767BF201">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13）提供和维修施工照明、围栏设施及要约标志以满足现场实际需要和符合国家及地方相关管理规定；负责本项目的施工平面管理、安全保卫工作，要求符合国家及地方相关管理规定。若承包人未履行上述义务造成工程、财产、人身损害等，由承包人承担责任及因此所发生的一切费用。</w:t>
      </w:r>
    </w:p>
    <w:p w14:paraId="65019F7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14）为确保文明施工，本合同范围内工程施工期间，有关洗车、饭堂、厕所、办公室、工人宿舍等文明施工费用由承包人承担，如未能按国家及地方管理规定和发包人有关规定设置，发包人另行委托单位完成，费用由承包人承担，承包人同意发包人有权直接从应付进度款中直接扣除。</w:t>
      </w:r>
    </w:p>
    <w:p w14:paraId="33F2CDAF">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15）遵守政府部门有关环境卫生的管理规定，保证施工场地的清洁和交工前施工现场的清理，并承担因自身责任造成的损失和罚款；</w:t>
      </w:r>
    </w:p>
    <w:p w14:paraId="5377E8C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交工前清理现场要求：完工后接到发包人书面退场通知后7天内按发包人指示拆除临时建筑、设施、清走器材、剩余材料和余泥渣土，施工范围内的清理以通过发包人验收为标准。如逾期不拆，影响后续施工，发包人有权安排其他单位完成，清理费用由承包人承担，承包人同意发包人有权直接从应付工程款中直接扣除。除承担清理费用之外，发包人还有权根据其对后续施工的影响程度及损失要求承包人支付违约金，每延期一天支付合同价0.1％的违约金，最高违约金额为合同总价的2％。上述所需清理费用及违约金，承包人同意发包人有权直接从本合同结算款中扣除。</w:t>
      </w:r>
    </w:p>
    <w:p w14:paraId="55D75174">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16）承包人必须建立并健全全面质量管理体系、施工质量检验制度和综合施工质量水平评定考核制度，严格按照操作工艺流程、技术要求施工，设置具备资格的各级技术管理和质量检查人员。</w:t>
      </w:r>
    </w:p>
    <w:p w14:paraId="6514FF58">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17）承包人应当按照国家及广东省、市县的有关规定和本合同的有关约定加强其参与本工程建设人员（包括施工人员）的管理，实施用工实名制，工人工资支付分账管理，按时足额支付施工人员工资：</w:t>
      </w:r>
    </w:p>
    <w:p w14:paraId="74499080">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①承包人需按《广东省住房和城乡建设厅关于印发房屋建筑和市政基础设施工程用工实名管理暂行办法的通知》（粤建规范〔</w:t>
      </w:r>
      <w:r>
        <w:rPr>
          <w:rFonts w:eastAsia="仿宋_GB2312"/>
          <w:color w:val="auto"/>
          <w:sz w:val="24"/>
          <w:szCs w:val="24"/>
          <w:highlight w:val="none"/>
        </w:rPr>
        <w:t>2018</w:t>
      </w:r>
      <w:r>
        <w:rPr>
          <w:rFonts w:hint="eastAsia" w:eastAsia="仿宋_GB2312"/>
          <w:color w:val="auto"/>
          <w:sz w:val="24"/>
          <w:szCs w:val="24"/>
          <w:highlight w:val="none"/>
        </w:rPr>
        <w:t>〕</w:t>
      </w:r>
      <w:r>
        <w:rPr>
          <w:rFonts w:eastAsia="仿宋_GB2312"/>
          <w:color w:val="auto"/>
          <w:sz w:val="24"/>
          <w:szCs w:val="24"/>
          <w:highlight w:val="none"/>
        </w:rPr>
        <w:t>1</w:t>
      </w:r>
      <w:r>
        <w:rPr>
          <w:rFonts w:hint="eastAsia" w:eastAsia="仿宋_GB2312"/>
          <w:color w:val="auto"/>
          <w:sz w:val="24"/>
          <w:szCs w:val="24"/>
          <w:highlight w:val="none"/>
        </w:rPr>
        <w:t>号）等规定及现行管理规定实施用工实名制（如合同履行期间政府有新规定的，则按新规定执行）。</w:t>
      </w:r>
    </w:p>
    <w:p w14:paraId="796A5C4C">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如政府规定或要求建筑施工用工实名制以建设项目为管理单位的，总承包人对实名制管理负总责；</w:t>
      </w:r>
      <w:r>
        <w:rPr>
          <w:rFonts w:eastAsia="仿宋_GB2312"/>
          <w:color w:val="auto"/>
          <w:sz w:val="24"/>
          <w:szCs w:val="24"/>
          <w:highlight w:val="none"/>
        </w:rPr>
        <w:t>平行发包工程承包人</w:t>
      </w:r>
      <w:r>
        <w:rPr>
          <w:rFonts w:hint="eastAsia" w:eastAsia="仿宋_GB2312"/>
          <w:color w:val="auto"/>
          <w:sz w:val="24"/>
          <w:szCs w:val="24"/>
          <w:highlight w:val="none"/>
        </w:rPr>
        <w:t>、专业分包承包企业和劳务分包企业按照合同约定，对本企业施工范围的实名制管理负责；承包人同意无条件配合</w:t>
      </w:r>
      <w:r>
        <w:rPr>
          <w:rFonts w:eastAsia="仿宋_GB2312"/>
          <w:color w:val="auto"/>
          <w:kern w:val="0"/>
          <w:sz w:val="24"/>
          <w:szCs w:val="24"/>
          <w:highlight w:val="none"/>
        </w:rPr>
        <w:t>平行发包工程承包人</w:t>
      </w:r>
      <w:r>
        <w:rPr>
          <w:rFonts w:hint="eastAsia" w:eastAsia="仿宋_GB2312"/>
          <w:color w:val="auto"/>
          <w:kern w:val="0"/>
          <w:sz w:val="24"/>
          <w:szCs w:val="24"/>
          <w:highlight w:val="none"/>
        </w:rPr>
        <w:t>办理</w:t>
      </w:r>
      <w:r>
        <w:rPr>
          <w:rFonts w:hint="eastAsia" w:eastAsia="仿宋_GB2312"/>
          <w:color w:val="auto"/>
          <w:sz w:val="24"/>
          <w:szCs w:val="24"/>
          <w:highlight w:val="none"/>
        </w:rPr>
        <w:t>建筑施工用工实名制有关手续，所需费用已综合考虑在签约合同价中。</w:t>
      </w:r>
    </w:p>
    <w:p w14:paraId="72628F4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承包人存在违反有关文件规定情形的，需按上述管理规定承担相应的责任。</w:t>
      </w:r>
    </w:p>
    <w:p w14:paraId="65A54AC9">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②承包人需规定及现行管理规定实施工人工资支付分账管理，根据劳动合同约定的施工人员工资标准等内容，按照依法签订的集体合同或劳动合同约定的日期按月支付工资，并不得低于当地最低工资标准。</w:t>
      </w:r>
    </w:p>
    <w:p w14:paraId="37D4F23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③承包人应每月编制施工人员工资支付表，如实记录支付时间、支付对象、支付金额等工资支付情况，并接受各方监督和查阅。</w:t>
      </w:r>
    </w:p>
    <w:p w14:paraId="22234DE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④承包人应对其专业分包或劳务分包单位及</w:t>
      </w:r>
      <w:r>
        <w:rPr>
          <w:rFonts w:eastAsia="仿宋_GB2312"/>
          <w:color w:val="auto"/>
          <w:sz w:val="24"/>
          <w:szCs w:val="24"/>
          <w:highlight w:val="none"/>
        </w:rPr>
        <w:t>平行发包工程承包</w:t>
      </w:r>
      <w:r>
        <w:rPr>
          <w:rFonts w:hint="eastAsia" w:eastAsia="仿宋_GB2312"/>
          <w:color w:val="auto"/>
          <w:sz w:val="24"/>
          <w:szCs w:val="24"/>
          <w:highlight w:val="none"/>
        </w:rPr>
        <w:t>企业工资支付进行监督，督促其依法支付施工人员工资。</w:t>
      </w:r>
    </w:p>
    <w:p w14:paraId="3F6CD44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⑤承包人未</w:t>
      </w:r>
      <w:r>
        <w:rPr>
          <w:rFonts w:eastAsia="仿宋_GB2312"/>
          <w:color w:val="auto"/>
          <w:sz w:val="24"/>
          <w:szCs w:val="24"/>
          <w:highlight w:val="none"/>
        </w:rPr>
        <w:t>按合同及有关规定</w:t>
      </w:r>
      <w:r>
        <w:rPr>
          <w:rFonts w:hint="eastAsia" w:eastAsia="仿宋_GB2312"/>
          <w:color w:val="auto"/>
          <w:sz w:val="24"/>
          <w:szCs w:val="24"/>
          <w:highlight w:val="none"/>
        </w:rPr>
        <w:t>或协议，按时、足额支付材料、劳务等分包人</w:t>
      </w:r>
      <w:r>
        <w:rPr>
          <w:rFonts w:eastAsia="仿宋_GB2312"/>
          <w:color w:val="auto"/>
          <w:sz w:val="24"/>
          <w:szCs w:val="24"/>
          <w:highlight w:val="none"/>
        </w:rPr>
        <w:t>合同价款及</w:t>
      </w:r>
      <w:r>
        <w:rPr>
          <w:rFonts w:hint="eastAsia" w:eastAsia="仿宋_GB2312"/>
          <w:color w:val="auto"/>
          <w:sz w:val="24"/>
          <w:szCs w:val="24"/>
          <w:highlight w:val="none"/>
        </w:rPr>
        <w:t>施工人员</w:t>
      </w:r>
      <w:r>
        <w:rPr>
          <w:rFonts w:eastAsia="仿宋_GB2312"/>
          <w:color w:val="auto"/>
          <w:sz w:val="24"/>
          <w:szCs w:val="24"/>
          <w:highlight w:val="none"/>
        </w:rPr>
        <w:t>工资而被投诉</w:t>
      </w:r>
      <w:r>
        <w:rPr>
          <w:rFonts w:hint="eastAsia" w:eastAsia="仿宋_GB2312"/>
          <w:color w:val="auto"/>
          <w:sz w:val="24"/>
          <w:szCs w:val="24"/>
          <w:highlight w:val="none"/>
        </w:rPr>
        <w:t>、起诉</w:t>
      </w:r>
      <w:r>
        <w:rPr>
          <w:rFonts w:eastAsia="仿宋_GB2312"/>
          <w:color w:val="auto"/>
          <w:sz w:val="24"/>
          <w:szCs w:val="24"/>
          <w:highlight w:val="none"/>
        </w:rPr>
        <w:t>或上访属实的，</w:t>
      </w:r>
      <w:r>
        <w:rPr>
          <w:rFonts w:hint="eastAsia" w:eastAsia="仿宋_GB2312"/>
          <w:color w:val="auto"/>
          <w:sz w:val="24"/>
          <w:szCs w:val="24"/>
          <w:highlight w:val="none"/>
        </w:rPr>
        <w:t>发包人</w:t>
      </w:r>
      <w:r>
        <w:rPr>
          <w:rFonts w:eastAsia="仿宋_GB2312"/>
          <w:color w:val="auto"/>
          <w:sz w:val="24"/>
          <w:szCs w:val="24"/>
          <w:highlight w:val="none"/>
        </w:rPr>
        <w:t>将严格按照合同约定追究其违约责任</w:t>
      </w:r>
      <w:r>
        <w:rPr>
          <w:rFonts w:hint="eastAsia" w:eastAsia="仿宋_GB2312"/>
          <w:color w:val="auto"/>
          <w:sz w:val="24"/>
          <w:szCs w:val="24"/>
          <w:highlight w:val="none"/>
        </w:rPr>
        <w:t>。如因此引起分包人或施工人员以发包人为被告的诉讼，承包人应承担因此给发包人造成的损失，包括但不限于诉讼费、律师费、工期损失和其他赔偿金；</w:t>
      </w:r>
      <w:r>
        <w:rPr>
          <w:rFonts w:eastAsia="仿宋_GB2312"/>
          <w:color w:val="auto"/>
          <w:sz w:val="24"/>
          <w:szCs w:val="24"/>
          <w:highlight w:val="none"/>
        </w:rPr>
        <w:t>如因此致使施工人员集体上访、集聚围阻</w:t>
      </w:r>
      <w:r>
        <w:rPr>
          <w:rFonts w:hint="eastAsia" w:eastAsia="仿宋_GB2312"/>
          <w:color w:val="auto"/>
          <w:sz w:val="24"/>
          <w:szCs w:val="24"/>
          <w:highlight w:val="none"/>
        </w:rPr>
        <w:t>而</w:t>
      </w:r>
      <w:r>
        <w:rPr>
          <w:rFonts w:eastAsia="仿宋_GB2312"/>
          <w:color w:val="auto"/>
          <w:sz w:val="24"/>
          <w:szCs w:val="24"/>
          <w:highlight w:val="none"/>
        </w:rPr>
        <w:t>造成</w:t>
      </w:r>
      <w:r>
        <w:rPr>
          <w:rFonts w:hint="eastAsia" w:eastAsia="仿宋_GB2312"/>
          <w:color w:val="auto"/>
          <w:sz w:val="24"/>
          <w:szCs w:val="24"/>
          <w:highlight w:val="none"/>
        </w:rPr>
        <w:t>社会</w:t>
      </w:r>
      <w:r>
        <w:rPr>
          <w:rFonts w:eastAsia="仿宋_GB2312"/>
          <w:color w:val="auto"/>
          <w:sz w:val="24"/>
          <w:szCs w:val="24"/>
          <w:highlight w:val="none"/>
        </w:rPr>
        <w:t>不良影响的，</w:t>
      </w:r>
      <w:r>
        <w:rPr>
          <w:rFonts w:hint="eastAsia" w:eastAsia="仿宋_GB2312"/>
          <w:color w:val="auto"/>
          <w:sz w:val="24"/>
          <w:szCs w:val="24"/>
          <w:highlight w:val="none"/>
        </w:rPr>
        <w:t>发包人</w:t>
      </w:r>
      <w:r>
        <w:rPr>
          <w:rFonts w:eastAsia="仿宋_GB2312"/>
          <w:color w:val="auto"/>
          <w:sz w:val="24"/>
          <w:szCs w:val="24"/>
          <w:highlight w:val="none"/>
        </w:rPr>
        <w:t>将立即终止与</w:t>
      </w:r>
      <w:r>
        <w:rPr>
          <w:rFonts w:hint="eastAsia" w:eastAsia="仿宋_GB2312"/>
          <w:color w:val="auto"/>
          <w:sz w:val="24"/>
          <w:szCs w:val="24"/>
          <w:highlight w:val="none"/>
        </w:rPr>
        <w:t>承包人</w:t>
      </w:r>
      <w:r>
        <w:rPr>
          <w:rFonts w:eastAsia="仿宋_GB2312"/>
          <w:color w:val="auto"/>
          <w:sz w:val="24"/>
          <w:szCs w:val="24"/>
          <w:highlight w:val="none"/>
        </w:rPr>
        <w:t>的合同，并上报省、市主管部门。如属恶意煽动并造成</w:t>
      </w:r>
      <w:r>
        <w:rPr>
          <w:rFonts w:hint="eastAsia" w:eastAsia="仿宋_GB2312"/>
          <w:color w:val="auto"/>
          <w:sz w:val="24"/>
          <w:szCs w:val="24"/>
          <w:highlight w:val="none"/>
        </w:rPr>
        <w:t>社会</w:t>
      </w:r>
      <w:r>
        <w:rPr>
          <w:rFonts w:eastAsia="仿宋_GB2312"/>
          <w:color w:val="auto"/>
          <w:sz w:val="24"/>
          <w:szCs w:val="24"/>
          <w:highlight w:val="none"/>
        </w:rPr>
        <w:t>不良影响的，</w:t>
      </w:r>
      <w:r>
        <w:rPr>
          <w:rFonts w:hint="eastAsia" w:eastAsia="仿宋_GB2312"/>
          <w:color w:val="auto"/>
          <w:sz w:val="24"/>
          <w:szCs w:val="24"/>
          <w:highlight w:val="none"/>
        </w:rPr>
        <w:t>发包人</w:t>
      </w:r>
      <w:r>
        <w:rPr>
          <w:rFonts w:eastAsia="仿宋_GB2312"/>
          <w:color w:val="auto"/>
          <w:sz w:val="24"/>
          <w:szCs w:val="24"/>
          <w:highlight w:val="none"/>
        </w:rPr>
        <w:t>将提请司法部门追究其法律责任。</w:t>
      </w:r>
    </w:p>
    <w:p w14:paraId="73A5A81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⑥承包人应采取有效措施，以保证目标的实施：在承包人与分包人之间、在分</w:t>
      </w:r>
      <w:r>
        <w:rPr>
          <w:rFonts w:eastAsia="仿宋_GB2312"/>
          <w:color w:val="auto"/>
          <w:kern w:val="0"/>
          <w:sz w:val="24"/>
          <w:szCs w:val="24"/>
          <w:highlight w:val="none"/>
        </w:rPr>
        <w:t>包人</w:t>
      </w:r>
      <w:r>
        <w:rPr>
          <w:rFonts w:hint="eastAsia" w:eastAsia="仿宋_GB2312"/>
          <w:color w:val="auto"/>
          <w:sz w:val="24"/>
          <w:szCs w:val="24"/>
          <w:highlight w:val="none"/>
        </w:rPr>
        <w:t>与劳务人员之间发生劳资纠纷时，承包人应提供充分、有利于胜诉的证据材料，以保证在可能的劳动仲裁、诉讼程序中处于有利地位。</w:t>
      </w:r>
    </w:p>
    <w:p w14:paraId="7E4FC122">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⑦发包人保留下述权利</w:t>
      </w:r>
    </w:p>
    <w:p w14:paraId="626C0796">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在发包人认为承包人协调处理劳资纠纷不力，引起集体上访、集聚围阻等恶性事件的发生，严重影响业主形象和工地秩序时，发包人可以代为垫付人工工资，并追究承包人和其他相关责任单位的违约责任，还将执行合同专用条款第16条约定扣回相关款项作为补偿。</w:t>
      </w:r>
    </w:p>
    <w:p w14:paraId="7C948626">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要求承包人成立处理劳资纠纷的协调机构：承包人</w:t>
      </w:r>
      <w:r>
        <w:rPr>
          <w:rFonts w:eastAsia="仿宋_GB2312"/>
          <w:color w:val="auto"/>
          <w:sz w:val="24"/>
          <w:szCs w:val="24"/>
          <w:highlight w:val="none"/>
        </w:rPr>
        <w:t>必须成立处理劳资纠纷</w:t>
      </w:r>
      <w:r>
        <w:rPr>
          <w:rFonts w:hint="eastAsia" w:eastAsia="仿宋_GB2312"/>
          <w:color w:val="auto"/>
          <w:sz w:val="24"/>
          <w:szCs w:val="24"/>
          <w:highlight w:val="none"/>
        </w:rPr>
        <w:t>的</w:t>
      </w:r>
      <w:r>
        <w:rPr>
          <w:rFonts w:eastAsia="仿宋_GB2312"/>
          <w:color w:val="auto"/>
          <w:sz w:val="24"/>
          <w:szCs w:val="24"/>
          <w:highlight w:val="none"/>
        </w:rPr>
        <w:t>协调机构，</w:t>
      </w:r>
      <w:r>
        <w:rPr>
          <w:rFonts w:hint="eastAsia" w:eastAsia="仿宋_GB2312"/>
          <w:color w:val="auto"/>
          <w:sz w:val="24"/>
          <w:szCs w:val="24"/>
          <w:highlight w:val="none"/>
        </w:rPr>
        <w:t>承包人主管领导和项目经理要亲自负责，</w:t>
      </w:r>
      <w:r>
        <w:rPr>
          <w:rFonts w:eastAsia="仿宋_GB2312"/>
          <w:color w:val="auto"/>
          <w:sz w:val="24"/>
          <w:szCs w:val="24"/>
          <w:highlight w:val="none"/>
        </w:rPr>
        <w:t>配备专职人员，及时化解</w:t>
      </w:r>
      <w:r>
        <w:rPr>
          <w:rFonts w:hint="eastAsia" w:eastAsia="仿宋_GB2312"/>
          <w:color w:val="auto"/>
          <w:sz w:val="24"/>
          <w:szCs w:val="24"/>
          <w:highlight w:val="none"/>
        </w:rPr>
        <w:t>劳资</w:t>
      </w:r>
      <w:r>
        <w:rPr>
          <w:rFonts w:eastAsia="仿宋_GB2312"/>
          <w:color w:val="auto"/>
          <w:sz w:val="24"/>
          <w:szCs w:val="24"/>
          <w:highlight w:val="none"/>
        </w:rPr>
        <w:t>矛盾及纠纷，</w:t>
      </w:r>
      <w:r>
        <w:rPr>
          <w:rFonts w:hint="eastAsia" w:eastAsia="仿宋_GB2312"/>
          <w:color w:val="auto"/>
          <w:sz w:val="24"/>
          <w:szCs w:val="24"/>
          <w:highlight w:val="none"/>
        </w:rPr>
        <w:t>并</w:t>
      </w:r>
      <w:r>
        <w:rPr>
          <w:rFonts w:eastAsia="仿宋_GB2312"/>
          <w:color w:val="auto"/>
          <w:sz w:val="24"/>
          <w:szCs w:val="24"/>
          <w:highlight w:val="none"/>
        </w:rPr>
        <w:t>及时揭露</w:t>
      </w:r>
      <w:r>
        <w:rPr>
          <w:rFonts w:hint="eastAsia" w:eastAsia="仿宋_GB2312"/>
          <w:color w:val="auto"/>
          <w:sz w:val="24"/>
          <w:szCs w:val="24"/>
          <w:highlight w:val="none"/>
        </w:rPr>
        <w:t>、</w:t>
      </w:r>
      <w:r>
        <w:rPr>
          <w:rFonts w:eastAsia="仿宋_GB2312"/>
          <w:color w:val="auto"/>
          <w:sz w:val="24"/>
          <w:szCs w:val="24"/>
          <w:highlight w:val="none"/>
        </w:rPr>
        <w:t>制止恶意煽动施工人员集体上访、集聚围阻的行为，</w:t>
      </w:r>
      <w:r>
        <w:rPr>
          <w:rFonts w:hint="eastAsia" w:eastAsia="仿宋_GB2312"/>
          <w:color w:val="auto"/>
          <w:sz w:val="24"/>
          <w:szCs w:val="24"/>
          <w:highlight w:val="none"/>
        </w:rPr>
        <w:t>保证在整个工程建设期间不发生施工人员集体上访、集聚围阻等事件。</w:t>
      </w:r>
    </w:p>
    <w:p w14:paraId="0F9EFF8D">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18）对于承包人、分包人所雇用的工人或任何其它人员的意外事故或伤害等所造成的损害或赔偿，一切责任由承包人承担，且保证发包人不承担涉及这类损害与赔偿或与此有关的索赔、诉讼，否则，承包人应承担赔偿发包人因此所发生的损害赔偿、诉讼费、赔偿费、律师费、差旅费、行政罚款及其它全部相关费用，另承包人由于伤亡事故而造成本工程停工的，发包人将不予顺延工期，其所有损失由承包人自负。</w:t>
      </w:r>
    </w:p>
    <w:p w14:paraId="60FDF679">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a.干扰与协调：</w:t>
      </w:r>
    </w:p>
    <w:p w14:paraId="3CF2E511">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承包人应当清楚地预计到施工期间对外界可能产生的必需的不可能避免的干扰，并为此保证主动努力减少这些干扰对外界的影响，且应当积极主动与外界进行协调。</w:t>
      </w:r>
    </w:p>
    <w:p w14:paraId="06E616D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承包人应负责协调施工期间外界的各种干扰。发包人将在承包人的配合下，尽可能地将外界对工程的干扰减少到最少程度。这种协调并不能免除承包人的各项责任与义务。</w:t>
      </w:r>
    </w:p>
    <w:p w14:paraId="76A98B24">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b.承包人与前期工程承包人的交接和配合：</w:t>
      </w:r>
    </w:p>
    <w:p w14:paraId="709E0549">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承包人</w:t>
      </w:r>
      <w:r>
        <w:rPr>
          <w:rFonts w:hint="eastAsia" w:eastAsia="仿宋_GB2312"/>
          <w:color w:val="auto"/>
          <w:sz w:val="24"/>
          <w:szCs w:val="24"/>
          <w:highlight w:val="none"/>
        </w:rPr>
        <w:t>应</w:t>
      </w:r>
      <w:r>
        <w:rPr>
          <w:rFonts w:eastAsia="仿宋_GB2312"/>
          <w:color w:val="auto"/>
          <w:sz w:val="24"/>
          <w:szCs w:val="24"/>
          <w:highlight w:val="none"/>
        </w:rPr>
        <w:t>对已完成</w:t>
      </w:r>
      <w:r>
        <w:rPr>
          <w:rFonts w:hint="eastAsia" w:eastAsia="仿宋_GB2312"/>
          <w:color w:val="auto"/>
          <w:sz w:val="24"/>
          <w:szCs w:val="24"/>
          <w:highlight w:val="none"/>
        </w:rPr>
        <w:t>前期</w:t>
      </w:r>
      <w:r>
        <w:rPr>
          <w:rFonts w:eastAsia="仿宋_GB2312"/>
          <w:color w:val="auto"/>
          <w:sz w:val="24"/>
          <w:szCs w:val="24"/>
          <w:highlight w:val="none"/>
        </w:rPr>
        <w:t>工程的定位、质量等全面检查，并</w:t>
      </w:r>
      <w:r>
        <w:rPr>
          <w:rFonts w:hint="eastAsia" w:eastAsia="仿宋_GB2312"/>
          <w:color w:val="auto"/>
          <w:sz w:val="24"/>
          <w:szCs w:val="24"/>
          <w:highlight w:val="none"/>
        </w:rPr>
        <w:t>将存在的</w:t>
      </w:r>
      <w:r>
        <w:rPr>
          <w:rFonts w:eastAsia="仿宋_GB2312"/>
          <w:color w:val="auto"/>
          <w:sz w:val="24"/>
          <w:szCs w:val="24"/>
          <w:highlight w:val="none"/>
        </w:rPr>
        <w:t>偏差、缺陷等</w:t>
      </w:r>
      <w:r>
        <w:rPr>
          <w:rFonts w:hint="eastAsia" w:eastAsia="仿宋_GB2312"/>
          <w:color w:val="auto"/>
          <w:sz w:val="24"/>
          <w:szCs w:val="24"/>
          <w:highlight w:val="none"/>
        </w:rPr>
        <w:t>问题及时</w:t>
      </w:r>
      <w:r>
        <w:rPr>
          <w:rFonts w:eastAsia="仿宋_GB2312"/>
          <w:color w:val="auto"/>
          <w:sz w:val="24"/>
          <w:szCs w:val="24"/>
          <w:highlight w:val="none"/>
        </w:rPr>
        <w:t>通知发包人，发包人将要求前期工程承包人返工修复。若承包人未有执行此等检查和告知责任，或监理人认为承包人疏忽履行此责任而导致任何返工或额外工作</w:t>
      </w:r>
      <w:r>
        <w:rPr>
          <w:rFonts w:hint="eastAsia" w:eastAsia="仿宋_GB2312"/>
          <w:color w:val="auto"/>
          <w:sz w:val="24"/>
          <w:szCs w:val="24"/>
          <w:highlight w:val="none"/>
        </w:rPr>
        <w:t>的</w:t>
      </w:r>
      <w:r>
        <w:rPr>
          <w:rFonts w:eastAsia="仿宋_GB2312"/>
          <w:color w:val="auto"/>
          <w:sz w:val="24"/>
          <w:szCs w:val="24"/>
          <w:highlight w:val="none"/>
        </w:rPr>
        <w:t>，因此发生的额外费用或工期延误须由承包人负责。</w:t>
      </w:r>
    </w:p>
    <w:p w14:paraId="200EA3FC">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承包人须按发包人要求，</w:t>
      </w:r>
      <w:r>
        <w:rPr>
          <w:rFonts w:hint="eastAsia" w:eastAsia="仿宋_GB2312"/>
          <w:color w:val="auto"/>
          <w:sz w:val="24"/>
          <w:szCs w:val="24"/>
          <w:highlight w:val="none"/>
        </w:rPr>
        <w:t>负责</w:t>
      </w:r>
      <w:r>
        <w:rPr>
          <w:rFonts w:eastAsia="仿宋_GB2312"/>
          <w:color w:val="auto"/>
          <w:sz w:val="24"/>
          <w:szCs w:val="24"/>
          <w:highlight w:val="none"/>
        </w:rPr>
        <w:t>前期工程</w:t>
      </w:r>
      <w:r>
        <w:rPr>
          <w:rFonts w:hint="eastAsia" w:eastAsia="仿宋_GB2312"/>
          <w:color w:val="auto"/>
          <w:sz w:val="24"/>
          <w:szCs w:val="24"/>
          <w:highlight w:val="none"/>
        </w:rPr>
        <w:t>、暂估价专业工程及平行发包工程</w:t>
      </w:r>
      <w:r>
        <w:rPr>
          <w:rFonts w:eastAsia="仿宋_GB2312"/>
          <w:color w:val="auto"/>
          <w:sz w:val="24"/>
          <w:szCs w:val="24"/>
          <w:highlight w:val="none"/>
        </w:rPr>
        <w:t>的竣工资料</w:t>
      </w:r>
      <w:r>
        <w:rPr>
          <w:rFonts w:hint="eastAsia" w:eastAsia="仿宋_GB2312"/>
          <w:color w:val="auto"/>
          <w:sz w:val="24"/>
          <w:szCs w:val="24"/>
          <w:highlight w:val="none"/>
        </w:rPr>
        <w:t>编制的指导、立卷、汇总，档案专项验收及</w:t>
      </w:r>
      <w:r>
        <w:rPr>
          <w:rFonts w:eastAsia="仿宋_GB2312"/>
          <w:color w:val="auto"/>
          <w:sz w:val="24"/>
          <w:szCs w:val="24"/>
          <w:highlight w:val="none"/>
        </w:rPr>
        <w:t>备案工作。</w:t>
      </w:r>
    </w:p>
    <w:p w14:paraId="7F2804D1">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承包人进场后须立即负责整个场地的管理，包括但不限于保安、清洁等。</w:t>
      </w:r>
    </w:p>
    <w:p w14:paraId="3487F4D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上述安排所需费用，包括任何因此而可能造成的不便、延误、损失及费用已包含在签约合同总价及工期中。</w:t>
      </w:r>
    </w:p>
    <w:p w14:paraId="4B955951">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19）承包人需按照本合同及招标文件的内容实施总承包管理及为指定分包人、平行发包工程承包人、检/监测单位、供应单位提供相关服务、管理、协调及配合相关工作；并根据地方政府及主管部门要求与有关单位签署管理协议及承担管理责任，承包人承诺无条件执行，因此安排所需费用已包含在签约合同总价及工期中。</w:t>
      </w:r>
    </w:p>
    <w:p w14:paraId="5D31D046">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20）施工水、电接驳与维护：在发包人提供的水、电接驳点后架设临时供水、临时用电的管线，进行施工期间的维护及在不需要时拆除，所需费用均由承包人承担。其中：</w:t>
      </w:r>
    </w:p>
    <w:p w14:paraId="52FD7051">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a.临时用水的管线布置需满足现场施工用水及消防用水的需要；</w:t>
      </w:r>
    </w:p>
    <w:p w14:paraId="68B22F4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b.临时用电的管线布置需满足现场施工用电、测试用电等的用电需要，总电箱及箱后的线路由承包人负责接驳。</w:t>
      </w:r>
    </w:p>
    <w:p w14:paraId="7FDFB9B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c.整个工地的水电费用由承包人统一管理（包括分包人、指定分包人及平行发包工程承包人，分包人、指定分包人及平行发包工程承包人的水电费用由承包人统一收取），施工用电、用水由承包人负责办理过户手续，费用由承包人负责直接向自来水公司和供电部门缴纳。施工用电、用水设施的保护工作由承包人负责，变压器维护由承包人与维护单位续签合同并缴纳费用，相关费用已包含在签约合同价中；水电费均由承包人承担，包括但不限于施工临时用梯所需的电费、永久电梯于整个项目施工期间使用所需的电费、各种测试及运行调试所需的水电费等。如供电负荷不能满足施工需要，由承包人负责自行解决，如需向供电部门申请增容或自行发电的，因此所发生的工程等所有费用均由承包人承担，并已包含在签约合同价中。</w:t>
      </w:r>
    </w:p>
    <w:p w14:paraId="231156A2">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d.施工用电由临时用电转为永久用电后，电费的价差已包括在签约合同价中。</w:t>
      </w:r>
    </w:p>
    <w:p w14:paraId="4E963D08">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21）从</w:t>
      </w:r>
      <w:r>
        <w:rPr>
          <w:rFonts w:eastAsia="仿宋_GB2312"/>
          <w:color w:val="auto"/>
          <w:sz w:val="24"/>
          <w:szCs w:val="24"/>
          <w:highlight w:val="none"/>
        </w:rPr>
        <w:t>开工之日起，直至工程施工竣工验收后将工程移交给发包人止，承包人对所有有关工程的材料、半成品、成品和配套设备装置的照管负全责</w:t>
      </w:r>
      <w:r>
        <w:rPr>
          <w:rFonts w:hint="eastAsia" w:eastAsia="仿宋_GB2312"/>
          <w:color w:val="auto"/>
          <w:sz w:val="24"/>
          <w:szCs w:val="24"/>
          <w:highlight w:val="none"/>
        </w:rPr>
        <w:t>。</w:t>
      </w:r>
    </w:p>
    <w:p w14:paraId="699C143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a. 承包人必须遵照相关规定</w:t>
      </w:r>
      <w:r>
        <w:rPr>
          <w:rFonts w:eastAsia="仿宋_GB2312"/>
          <w:color w:val="auto"/>
          <w:sz w:val="24"/>
          <w:szCs w:val="24"/>
          <w:highlight w:val="none"/>
        </w:rPr>
        <w:t>，建立满足隐蔽工程和关键工序质量监控、安全文明施工监控、验收监控等需要的视频监控系统</w:t>
      </w:r>
      <w:r>
        <w:rPr>
          <w:rFonts w:hint="eastAsia" w:eastAsia="仿宋_GB2312"/>
          <w:color w:val="auto"/>
          <w:sz w:val="24"/>
          <w:szCs w:val="24"/>
          <w:highlight w:val="none"/>
        </w:rPr>
        <w:t>，并负责管理和维护工作，负责现场录像监控，配备专门机构和满足发包人要求的保卫人员做好工地防盗和保卫的工作。装置视频监控及视频监控损坏的维护所需费用已包括在签约合同价中。</w:t>
      </w:r>
    </w:p>
    <w:p w14:paraId="7AA95451">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b.已完工程成品保护的特殊要求及费用承担：未移交后续施工单位使用前，对自行施工的已完工工程的保护工作及费用均由承包人负责，发生损坏由承包人自费修复；移交后续施工单位使用后，对已完工工程的保护工作及费用均由后续施工单位负责，发生损坏由后续施工单位自费修复，但属于本合同质量保修范围内的，按照工程质量保修书有关规定执行。</w:t>
      </w:r>
    </w:p>
    <w:p w14:paraId="334F3A5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c.</w:t>
      </w:r>
      <w:r>
        <w:rPr>
          <w:rFonts w:eastAsia="仿宋_GB2312"/>
          <w:color w:val="auto"/>
          <w:sz w:val="24"/>
          <w:szCs w:val="24"/>
          <w:highlight w:val="none"/>
        </w:rPr>
        <w:t>对已办理中间接收手续并交付发包人的部分工程，从办理接收手续之日起，照管责任</w:t>
      </w:r>
      <w:r>
        <w:rPr>
          <w:rFonts w:hint="eastAsia" w:eastAsia="仿宋_GB2312"/>
          <w:color w:val="auto"/>
          <w:sz w:val="24"/>
          <w:szCs w:val="24"/>
          <w:highlight w:val="none"/>
        </w:rPr>
        <w:t>相应地</w:t>
      </w:r>
      <w:r>
        <w:rPr>
          <w:rFonts w:eastAsia="仿宋_GB2312"/>
          <w:color w:val="auto"/>
          <w:sz w:val="24"/>
          <w:szCs w:val="24"/>
          <w:highlight w:val="none"/>
        </w:rPr>
        <w:t>移交给发包人</w:t>
      </w:r>
      <w:r>
        <w:rPr>
          <w:rFonts w:hint="eastAsia" w:eastAsia="仿宋_GB2312"/>
          <w:color w:val="auto"/>
          <w:sz w:val="24"/>
          <w:szCs w:val="24"/>
          <w:highlight w:val="none"/>
        </w:rPr>
        <w:t>。</w:t>
      </w:r>
    </w:p>
    <w:p w14:paraId="5CD614C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22）承包人须配合工程进度需要，提供、维护、施工场地移交迁移、拆除及重建合同条款未提及但本工程必须的所有临时工程（含前期工程承包人移交承包人的临时工程）。所有临时工程在不需要时须由承包人拆走及清理修复场地至令发包人满意为止。</w:t>
      </w:r>
    </w:p>
    <w:p w14:paraId="57567CF7">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23）承包人须结合以下的内容合理安排本工程及平行发包工程及材料设备等所需的垂直运输。由于施工进度及条件限制，塔吊/施工电梯需拆除的，需报发包人批准才可实施；塔吊/施工电梯拆除后需要使用永久电梯作为垂直运输的，须经发包人同意，电梯的台数和位置双方共同协商决定。承包人须留意保护、不得损坏电梯，因违反规定造成损坏的应负责赔偿。电梯使用期间的维护、更换部件等费用由承包人负责。</w:t>
      </w:r>
    </w:p>
    <w:p w14:paraId="1E09E759">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24）承包人在施工中使用专利技术和特殊工艺，应报发包人批准，所发生的费用由承包人承担。承包人为履行本合同而使用或交付发包人的任何含有知识产权的物品、程序或资料，所有与该知识产权相关的费用（含但不限于使用费）视为已包括在合同总价内，如需向第三人支付，均由承包人负责支付，承包人侵犯或涉嫌侵犯任何物品、程序或资料的知识产权，及由此导致发包人持有或使用该类物品、程序或资料构成侵犯或涉嫌侵犯他人的知识产权，因此发生经济纠纷或法律纠纷，一切责任及后果由承包人负责和承担，承包人须全额赔偿给发包人造成的所有损失；</w:t>
      </w:r>
    </w:p>
    <w:p w14:paraId="5A266C5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25）严格按照合同实施、完成并修复其中的缺陷。在监理工程师被授权的范围内，涉及工程或与工程有关的事情，承包人都应依照并严格遵守监理工程师的指示，否则承担违约责任；</w:t>
      </w:r>
    </w:p>
    <w:p w14:paraId="560E423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26）承包人所有发向监理工程师或造价工程师的函件均应符合监理工程师或造价工程师要求的表格或形式，该表格形式和要求由监理工程师或造价工程师给予说明；</w:t>
      </w:r>
    </w:p>
    <w:p w14:paraId="4206E60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27）完成与后续工程的交接配合工作，须提供详尽的技术资料和验收证明，不得以任何未经发包人同意的理由影响工程进度，否则后果由承包人承担。</w:t>
      </w:r>
    </w:p>
    <w:p w14:paraId="6E4084C1">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28）承包人应保证工程资料整理与工程进度同步，并接受监理工程师的检查。</w:t>
      </w:r>
    </w:p>
    <w:p w14:paraId="722F156F">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29）工程档案竣工资料</w:t>
      </w:r>
    </w:p>
    <w:p w14:paraId="4CF51DE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a.承包人应按照国家《城市建设档案管理规定》、当地及发包人有关整理工程档案竣工资料的要求，在工程施工期间及时收集、汇总、整理、立卷、编制工程档案竣工资料（包括各分包人、指定分包人及平行发包工程承包人的工程档案竣工资料的立卷、汇总、整理及完善），工程档案竣工资料的移交按专用条款3.1条第（9）款执行。</w:t>
      </w:r>
    </w:p>
    <w:p w14:paraId="308ABEA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b. 承包人须绘制电子版竣工图，竣工图需通过监理单位、设计单位和发包人审核，纸质蓝图应有设计单位及发包人盖章，因此产生的所有费用（包括但不限于：绘制、打图、晒图、协调等费用）已包含在签约合同价内。承包人在移交竣工档案时将电子版竣工图（CAD及PDF格式）一并移交给发包人。电子版施工和电子版竣工图的知识产权归属发包人所有，非经发包人许可，承包人不得以任何方式复制、备份、专人和利用。否则，由此引起的任何纠纷和责任由承包人承担。</w:t>
      </w:r>
    </w:p>
    <w:p w14:paraId="1711753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30）按合同规定和监理工程师的指令实施、完成并保修合同工程；提供设备使用和保养维修的培训。</w:t>
      </w:r>
    </w:p>
    <w:p w14:paraId="05FBEC4D">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31）承包人应在签订本合同的同时，按招标文件提供的格式与发包人签订《工程质量保修书》《廉洁从业及反商业贿赂协议》《安全生产合同》等文件。</w:t>
      </w:r>
    </w:p>
    <w:p w14:paraId="458B872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32）本项目的所有变更、签证申报、审批严格按合同约定和发包人项目管理制度执行。</w:t>
      </w:r>
    </w:p>
    <w:p w14:paraId="73884C24">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33）承包人项目团队成员、机械设备投入清单详见投标文件。</w:t>
      </w:r>
    </w:p>
    <w:p w14:paraId="7C843D6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34）发包人有权调整本项目承包范围，承包人不得对此有异议。</w:t>
      </w:r>
    </w:p>
    <w:p w14:paraId="286F4DE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35）因施工组织设计或施工技术要求须对某专项技术进行专家论证的，专家论证所需的全部费用视为已包括在签约合同价款中。</w:t>
      </w:r>
    </w:p>
    <w:p w14:paraId="1ABFDF40">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36）因施工组织设计不合理导致工期延期或是费用增加的，由承包人延误的工期及增加的费用由承包人自行承担，由此导致工期延误的，须按本合同承担相应违约责任。</w:t>
      </w:r>
    </w:p>
    <w:p w14:paraId="4B43BB28">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37）如因非承包人原因导致的设计变更导致已订购的材料不能用于施工的，发包人只承认已发生并投入且符合质量验收标准的部分工程和已在现场未使用并经发包人确认的材料、设备等，对于已订货而未到现场的材料、设备等均不予承认，由承包人自行处理；对于承包人已开工但经检验不合格的工程，承包人在监理工程师发出通知的限期内拆除，并清运出工地，由此带来的损失由承包人自行承担责任；如因承包人原因导致的设计变更导致已订购的材料不能用于施工的，则承包人自行承担责任，发包人不作任何补偿。</w:t>
      </w:r>
    </w:p>
    <w:p w14:paraId="46C654E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38）承包人对分包人、指定分包人及平行发包工程承包人的管理须严格按发包人现有管理和后续制订的管理制度等约定执行。</w:t>
      </w:r>
    </w:p>
    <w:p w14:paraId="416ECFDC">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39）规划验收的测量放线费用以及出具测绘图及验收费用、防雷检测费、供水系统检测费、环保验收排污检测费、空气质量检测费、消防系统检测费等检测费用由业主自行承担；门窗三性检测费、幕墙四性检测费、外墙砖抗拉拔试验检测费、常规材料送检检测费、后置构件抗拉试验费、光照度检测费、电梯设备安装检测费等由施工单位承担。</w:t>
      </w:r>
    </w:p>
    <w:p w14:paraId="47293BB8">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40）承包人须按照国家、省市相关规定和要求对本工程所用材料设备进行鉴定和检验检测，并在完成鉴定、检测后5天内向发包人提交符合国家、地方检测标准的检测报告正本，但根据《建设工程质量检测管理办法》（建设部令第</w:t>
      </w:r>
      <w:r>
        <w:rPr>
          <w:rFonts w:eastAsia="仿宋_GB2312"/>
          <w:color w:val="auto"/>
          <w:sz w:val="24"/>
          <w:szCs w:val="24"/>
          <w:highlight w:val="none"/>
        </w:rPr>
        <w:t>141</w:t>
      </w:r>
      <w:r>
        <w:rPr>
          <w:rFonts w:hint="eastAsia" w:eastAsia="仿宋_GB2312"/>
          <w:color w:val="auto"/>
          <w:sz w:val="24"/>
          <w:szCs w:val="24"/>
          <w:highlight w:val="none"/>
        </w:rPr>
        <w:t>号）第十二条规定（如有新规定则以新规定为准），建设工程质量、安全检测业务应由</w:t>
      </w:r>
      <w:bookmarkStart w:id="545" w:name="_Hlk17185407"/>
      <w:r>
        <w:rPr>
          <w:rFonts w:hint="eastAsia" w:eastAsia="仿宋_GB2312"/>
          <w:color w:val="auto"/>
          <w:sz w:val="24"/>
          <w:szCs w:val="24"/>
          <w:highlight w:val="none"/>
        </w:rPr>
        <w:t>建设单位依法委托</w:t>
      </w:r>
      <w:bookmarkEnd w:id="545"/>
      <w:r>
        <w:rPr>
          <w:rFonts w:hint="eastAsia" w:eastAsia="仿宋_GB2312"/>
          <w:color w:val="auto"/>
          <w:sz w:val="24"/>
          <w:szCs w:val="24"/>
          <w:highlight w:val="none"/>
        </w:rPr>
        <w:t>的除外，由建设单位依法委托的检验检测的送检及送检前的加工工作仍由承包人负责，该笔费用已视为包含在签约合同价内。承包人须根据工程进度上报材料送检计划，并有义务提前通知发包人于进度要求的时间内签订相应的检测合同。同时，承包人须积极与检测主管部门或单位协调材料检测事宜，跟进检测工作。如因承包人未及时通知发包人签订相应的检测合同，或因承包人在检测工作跟进过程中协调不力而导致的工期延误的，须按合同专用条款7.5.2款承担违约责任。</w:t>
      </w:r>
    </w:p>
    <w:p w14:paraId="0B4FA759">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配合发包人聘请的第三方检测单位完成本项目范围内全部的检测工作，包括但不限于土壤氡检测、沉降观测、基坑监测、超前钻、高大支模支撑体系自动化安全监测、结构实体检测、室内环境检测、钢结构检测、噪音检测、水质检测、消防检测、环保节能检测、防雷检测、智能化检测、人防检测、集中空调通风系统检测等。</w:t>
      </w:r>
    </w:p>
    <w:p w14:paraId="7179C84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配合发包人聘请的第三方检测单位完成本项目范围内的材料进场检验检测，协助经当地质检部门审查核准的检测中心进行材料检测并达到各检测项目合格和出证。承包人负责按要求完成检测材料送检和检验合格后的相关工作（如材料运输等）。</w:t>
      </w:r>
    </w:p>
    <w:p w14:paraId="01E81188">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配合发包人聘请的第三方检测单位完成本项目范围内的材料见证取样检测，包括但不限于水泥物理力学性能检验，钢筋（含焊接与机械链接）力学性能检验，砂、石常规检验，混凝土、砂浆强度检验，简易土工试验，混凝土参加剂检验，预应力钢绞，电线电缆，管材等材料。</w:t>
      </w:r>
    </w:p>
    <w:p w14:paraId="2A58EB8B">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上述承包人配合所需费已包含在签约合同价中，发包人不额外支付。</w:t>
      </w:r>
    </w:p>
    <w:p w14:paraId="4A71FA4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41）承包人应无条件接受发包人委托的造价咨询人的造价审核，审核包括但不限于合同履行期间的过程审核、结算审核和竣工决算审核，承包人应无偿提供相关的审核材料及补充材料，不得拖延和拒绝，并对提交资料和信息的准确性、真实性和完整性负责。</w:t>
      </w:r>
    </w:p>
    <w:p w14:paraId="35C72EBB">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3.2 项目经理</w:t>
      </w:r>
    </w:p>
    <w:p w14:paraId="09996B4F">
      <w:pPr>
        <w:spacing w:line="360" w:lineRule="auto"/>
        <w:ind w:firstLine="480" w:firstLineChars="200"/>
        <w:rPr>
          <w:rFonts w:eastAsia="仿宋_GB2312"/>
          <w:color w:val="auto"/>
          <w:sz w:val="24"/>
          <w:szCs w:val="24"/>
          <w:highlight w:val="none"/>
        </w:rPr>
      </w:pPr>
      <w:r>
        <w:rPr>
          <w:rFonts w:eastAsia="仿宋_GB2312"/>
          <w:color w:val="auto"/>
          <w:kern w:val="0"/>
          <w:sz w:val="24"/>
          <w:szCs w:val="24"/>
          <w:highlight w:val="none"/>
        </w:rPr>
        <w:t xml:space="preserve">3.2.1 </w:t>
      </w:r>
      <w:r>
        <w:rPr>
          <w:rFonts w:eastAsia="仿宋_GB2312"/>
          <w:color w:val="auto"/>
          <w:sz w:val="24"/>
          <w:szCs w:val="24"/>
          <w:highlight w:val="none"/>
        </w:rPr>
        <w:t>项目经理：</w:t>
      </w:r>
    </w:p>
    <w:p w14:paraId="669B6081">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姓    名：</w:t>
      </w:r>
      <w:r>
        <w:rPr>
          <w:rFonts w:eastAsia="仿宋_GB2312"/>
          <w:color w:val="auto"/>
          <w:sz w:val="24"/>
          <w:szCs w:val="24"/>
          <w:highlight w:val="none"/>
          <w:u w:val="single"/>
        </w:rPr>
        <w:t>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w:t>
      </w:r>
      <w:r>
        <w:rPr>
          <w:rFonts w:eastAsia="仿宋_GB2312"/>
          <w:color w:val="auto"/>
          <w:sz w:val="24"/>
          <w:szCs w:val="24"/>
          <w:highlight w:val="none"/>
        </w:rPr>
        <w:t>；</w:t>
      </w:r>
    </w:p>
    <w:p w14:paraId="27F3115D">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身份证号：</w:t>
      </w:r>
      <w:r>
        <w:rPr>
          <w:rFonts w:eastAsia="仿宋_GB2312"/>
          <w:color w:val="auto"/>
          <w:sz w:val="24"/>
          <w:szCs w:val="24"/>
          <w:highlight w:val="none"/>
          <w:u w:val="single"/>
        </w:rPr>
        <w:t>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w:t>
      </w:r>
      <w:r>
        <w:rPr>
          <w:rFonts w:eastAsia="仿宋_GB2312"/>
          <w:color w:val="auto"/>
          <w:sz w:val="24"/>
          <w:szCs w:val="24"/>
          <w:highlight w:val="none"/>
        </w:rPr>
        <w:t>；</w:t>
      </w:r>
    </w:p>
    <w:p w14:paraId="4D300770">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建造师执业资格等级：</w:t>
      </w:r>
      <w:r>
        <w:rPr>
          <w:rFonts w:eastAsia="仿宋_GB2312"/>
          <w:color w:val="auto"/>
          <w:sz w:val="24"/>
          <w:szCs w:val="24"/>
          <w:highlight w:val="none"/>
          <w:u w:val="single"/>
        </w:rPr>
        <w:t>   </w:t>
      </w:r>
      <w:r>
        <w:rPr>
          <w:rFonts w:eastAsia="仿宋_GB2312"/>
          <w:color w:val="auto"/>
          <w:sz w:val="24"/>
          <w:szCs w:val="24"/>
          <w:highlight w:val="none"/>
        </w:rPr>
        <w:t>；</w:t>
      </w:r>
    </w:p>
    <w:p w14:paraId="12D992E5">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建造师注册证书号：</w:t>
      </w:r>
      <w:r>
        <w:rPr>
          <w:rFonts w:eastAsia="仿宋_GB2312"/>
          <w:color w:val="auto"/>
          <w:sz w:val="24"/>
          <w:szCs w:val="24"/>
          <w:highlight w:val="none"/>
          <w:u w:val="single"/>
        </w:rPr>
        <w:t> </w:t>
      </w:r>
      <w:r>
        <w:rPr>
          <w:rFonts w:eastAsia="仿宋_GB2312"/>
          <w:color w:val="auto"/>
          <w:sz w:val="24"/>
          <w:szCs w:val="24"/>
          <w:highlight w:val="none"/>
        </w:rPr>
        <w:t>；</w:t>
      </w:r>
    </w:p>
    <w:p w14:paraId="663D9167">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建造师执业印章号：</w:t>
      </w:r>
      <w:r>
        <w:rPr>
          <w:rFonts w:eastAsia="仿宋_GB2312"/>
          <w:color w:val="auto"/>
          <w:sz w:val="24"/>
          <w:szCs w:val="24"/>
          <w:highlight w:val="none"/>
          <w:u w:val="single"/>
        </w:rPr>
        <w:t> </w:t>
      </w:r>
      <w:r>
        <w:rPr>
          <w:rFonts w:eastAsia="仿宋_GB2312"/>
          <w:color w:val="auto"/>
          <w:sz w:val="24"/>
          <w:szCs w:val="24"/>
          <w:highlight w:val="none"/>
        </w:rPr>
        <w:t>；</w:t>
      </w:r>
    </w:p>
    <w:p w14:paraId="67DB8333">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安全生产考核合格证书号：</w:t>
      </w:r>
      <w:r>
        <w:rPr>
          <w:rFonts w:eastAsia="仿宋_GB2312"/>
          <w:color w:val="auto"/>
          <w:sz w:val="24"/>
          <w:szCs w:val="24"/>
          <w:highlight w:val="none"/>
          <w:u w:val="single"/>
        </w:rPr>
        <w:t> </w:t>
      </w:r>
      <w:r>
        <w:rPr>
          <w:rFonts w:eastAsia="仿宋_GB2312"/>
          <w:color w:val="auto"/>
          <w:sz w:val="24"/>
          <w:szCs w:val="24"/>
          <w:highlight w:val="none"/>
        </w:rPr>
        <w:t>；</w:t>
      </w:r>
    </w:p>
    <w:p w14:paraId="350D7E62">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联系电话：</w:t>
      </w:r>
      <w:r>
        <w:rPr>
          <w:rFonts w:eastAsia="仿宋_GB2312"/>
          <w:color w:val="auto"/>
          <w:sz w:val="24"/>
          <w:szCs w:val="24"/>
          <w:highlight w:val="none"/>
          <w:u w:val="single"/>
        </w:rPr>
        <w:t>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w:t>
      </w:r>
      <w:r>
        <w:rPr>
          <w:rFonts w:eastAsia="仿宋_GB2312"/>
          <w:color w:val="auto"/>
          <w:sz w:val="24"/>
          <w:szCs w:val="24"/>
          <w:highlight w:val="none"/>
        </w:rPr>
        <w:t>；</w:t>
      </w:r>
    </w:p>
    <w:p w14:paraId="25A7D471">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电子信箱：</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w:t>
      </w:r>
      <w:r>
        <w:rPr>
          <w:rFonts w:eastAsia="仿宋_GB2312"/>
          <w:color w:val="auto"/>
          <w:sz w:val="24"/>
          <w:szCs w:val="24"/>
          <w:highlight w:val="none"/>
        </w:rPr>
        <w:t>；</w:t>
      </w:r>
    </w:p>
    <w:p w14:paraId="638998FA">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通信地址：</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w:t>
      </w:r>
      <w:r>
        <w:rPr>
          <w:rFonts w:eastAsia="仿宋_GB2312"/>
          <w:color w:val="auto"/>
          <w:sz w:val="24"/>
          <w:szCs w:val="24"/>
          <w:highlight w:val="none"/>
        </w:rPr>
        <w:t>；</w:t>
      </w:r>
    </w:p>
    <w:p w14:paraId="183EFE2E">
      <w:pPr>
        <w:spacing w:line="360" w:lineRule="auto"/>
        <w:ind w:firstLine="480" w:firstLineChars="200"/>
        <w:rPr>
          <w:rFonts w:ascii="仿宋" w:hAnsi="仿宋" w:eastAsia="仿宋"/>
          <w:color w:val="auto"/>
          <w:sz w:val="22"/>
          <w:highlight w:val="none"/>
        </w:rPr>
      </w:pPr>
      <w:r>
        <w:rPr>
          <w:rFonts w:eastAsia="仿宋_GB2312"/>
          <w:color w:val="auto"/>
          <w:sz w:val="24"/>
          <w:szCs w:val="24"/>
          <w:highlight w:val="none"/>
        </w:rPr>
        <w:t>承包人对项目经理的授权范围如下：</w:t>
      </w:r>
      <w:r>
        <w:rPr>
          <w:rFonts w:hint="eastAsia" w:eastAsia="仿宋_GB2312"/>
          <w:color w:val="auto"/>
          <w:sz w:val="24"/>
          <w:szCs w:val="24"/>
          <w:highlight w:val="none"/>
        </w:rPr>
        <w:t>作为总承包人在项目的授权代表，全面履行工程项目的总承包管理职责，为工程参与各方做好协调和服务，在资金、质量、安全、环境保护、文明施工等合约目标范围向发包人直接负责</w:t>
      </w:r>
      <w:r>
        <w:rPr>
          <w:rFonts w:eastAsia="仿宋_GB2312"/>
          <w:color w:val="auto"/>
          <w:sz w:val="24"/>
          <w:szCs w:val="24"/>
          <w:highlight w:val="none"/>
        </w:rPr>
        <w:t>。</w:t>
      </w:r>
    </w:p>
    <w:p w14:paraId="1833FD11">
      <w:pPr>
        <w:spacing w:line="360" w:lineRule="auto"/>
        <w:ind w:firstLine="480" w:firstLineChars="200"/>
        <w:rPr>
          <w:rFonts w:hint="eastAsia" w:eastAsia="仿宋_GB2312"/>
          <w:color w:val="auto"/>
          <w:sz w:val="24"/>
          <w:szCs w:val="24"/>
          <w:highlight w:val="none"/>
        </w:rPr>
      </w:pPr>
      <w:r>
        <w:rPr>
          <w:rFonts w:eastAsia="仿宋_GB2312"/>
          <w:color w:val="auto"/>
          <w:kern w:val="0"/>
          <w:sz w:val="24"/>
          <w:szCs w:val="24"/>
          <w:highlight w:val="none"/>
        </w:rPr>
        <w:t>关于项目经理每月在施工现场的时间要求：</w:t>
      </w:r>
      <w:r>
        <w:rPr>
          <w:rFonts w:hint="eastAsia" w:eastAsia="仿宋_GB2312"/>
          <w:color w:val="auto"/>
          <w:sz w:val="24"/>
          <w:szCs w:val="24"/>
          <w:highlight w:val="none"/>
        </w:rPr>
        <w:t>项目经理部项目经理及主要施工管理人员必须全职在现场办公（每月不少于22天），不得兼职或者擅自离岗。因特殊情况需短暂离岗的，应当事先报监理单位批准，必须妥善安排工地现场的工作交接。</w:t>
      </w:r>
    </w:p>
    <w:p w14:paraId="74EBF9FE">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承包人需与项目经理签订书面劳动合同，并为其购买缴纳社会保险。如</w:t>
      </w:r>
      <w:r>
        <w:rPr>
          <w:rFonts w:eastAsia="仿宋_GB2312"/>
          <w:color w:val="auto"/>
          <w:sz w:val="24"/>
          <w:szCs w:val="24"/>
          <w:highlight w:val="none"/>
        </w:rPr>
        <w:t>承包人未</w:t>
      </w:r>
      <w:r>
        <w:rPr>
          <w:rFonts w:hint="eastAsia" w:eastAsia="仿宋_GB2312"/>
          <w:color w:val="auto"/>
          <w:sz w:val="24"/>
          <w:szCs w:val="24"/>
          <w:highlight w:val="none"/>
        </w:rPr>
        <w:t>向发包人</w:t>
      </w:r>
      <w:r>
        <w:rPr>
          <w:rFonts w:eastAsia="仿宋_GB2312"/>
          <w:color w:val="auto"/>
          <w:sz w:val="24"/>
          <w:szCs w:val="24"/>
          <w:highlight w:val="none"/>
        </w:rPr>
        <w:t>提交劳动合同，</w:t>
      </w:r>
      <w:r>
        <w:rPr>
          <w:rFonts w:hint="eastAsia" w:eastAsia="仿宋_GB2312"/>
          <w:color w:val="auto"/>
          <w:sz w:val="24"/>
          <w:szCs w:val="24"/>
          <w:highlight w:val="none"/>
        </w:rPr>
        <w:t>或</w:t>
      </w:r>
      <w:r>
        <w:rPr>
          <w:rFonts w:eastAsia="仿宋_GB2312"/>
          <w:color w:val="auto"/>
          <w:sz w:val="24"/>
          <w:szCs w:val="24"/>
          <w:highlight w:val="none"/>
        </w:rPr>
        <w:t>没有为项目经理缴纳社会保险证明</w:t>
      </w:r>
      <w:r>
        <w:rPr>
          <w:rFonts w:hint="eastAsia" w:eastAsia="仿宋_GB2312"/>
          <w:color w:val="auto"/>
          <w:sz w:val="24"/>
          <w:szCs w:val="24"/>
          <w:highlight w:val="none"/>
        </w:rPr>
        <w:t>，承包人须按更换项目经理的违约情况承担违约责任</w:t>
      </w:r>
      <w:r>
        <w:rPr>
          <w:rFonts w:eastAsia="仿宋_GB2312"/>
          <w:color w:val="auto"/>
          <w:sz w:val="24"/>
          <w:szCs w:val="24"/>
          <w:highlight w:val="none"/>
        </w:rPr>
        <w:t>。</w:t>
      </w:r>
    </w:p>
    <w:p w14:paraId="69963EA2">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项目经理未经批准，擅自离开施工现场的违约责任：</w:t>
      </w:r>
      <w:r>
        <w:rPr>
          <w:rFonts w:hint="eastAsia" w:eastAsia="仿宋_GB2312"/>
          <w:color w:val="auto"/>
          <w:sz w:val="24"/>
          <w:szCs w:val="24"/>
          <w:highlight w:val="none"/>
        </w:rPr>
        <w:t>按本合同专用条款第16.2.2条第（5）款④承担违约责任</w:t>
      </w:r>
      <w:r>
        <w:rPr>
          <w:rFonts w:eastAsia="仿宋_GB2312"/>
          <w:color w:val="auto"/>
          <w:sz w:val="24"/>
          <w:szCs w:val="24"/>
          <w:highlight w:val="none"/>
        </w:rPr>
        <w:t>。</w:t>
      </w:r>
    </w:p>
    <w:p w14:paraId="079F59F2">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若违反上述规定，监理人可发出停工令，待人员回到岗位后才批准复工。承包人必须就此作出书面解释和保证，自行承担由此产生的工期延误等损失。如发现承包人项目经理及主要施工管理人员存在兼职情况，经监理人核实后，发包人有权要求立即撤换该人员，承包人同时需按照第16.2.2条第（5）款②④承担同样的违约责任；如果承包人拒绝撤换，则承包人也需按照第16.2.2条第（5）款②④承担同样违约责任；未按时撤换的，视为擅自离岗，按照第16.2.2条第（5）款②④承担同样违约责任</w:t>
      </w:r>
      <w:r>
        <w:rPr>
          <w:rFonts w:eastAsia="仿宋_GB2312"/>
          <w:color w:val="auto"/>
          <w:sz w:val="24"/>
          <w:szCs w:val="24"/>
          <w:highlight w:val="none"/>
        </w:rPr>
        <w:t>。</w:t>
      </w:r>
    </w:p>
    <w:p w14:paraId="7ED1D90B">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3.2.3 承包人擅自更换项目经理的违约责任：</w:t>
      </w:r>
      <w:r>
        <w:rPr>
          <w:rFonts w:hint="eastAsia" w:eastAsia="仿宋_GB2312"/>
          <w:color w:val="auto"/>
          <w:sz w:val="24"/>
          <w:szCs w:val="24"/>
          <w:highlight w:val="none"/>
        </w:rPr>
        <w:t>未经发包人书面同意，承包人擅自更换项目经理的，发包人有权要求立即撤换该项目经理，承包人同时需按本合同专用条款第16.2.2条第（5）②款承担违约责任</w:t>
      </w:r>
      <w:r>
        <w:rPr>
          <w:rFonts w:eastAsia="仿宋_GB2312"/>
          <w:color w:val="auto"/>
          <w:sz w:val="24"/>
          <w:szCs w:val="24"/>
          <w:highlight w:val="none"/>
        </w:rPr>
        <w:t>。</w:t>
      </w:r>
      <w:r>
        <w:rPr>
          <w:rFonts w:hint="eastAsia" w:eastAsia="仿宋_GB2312"/>
          <w:color w:val="auto"/>
          <w:sz w:val="24"/>
          <w:szCs w:val="24"/>
          <w:highlight w:val="none"/>
        </w:rPr>
        <w:t>如果承包人拒绝撤换，或未按时撤换的，视为擅自离岗，按照第16.2.2条第（5）款②④承担同样违约责任</w:t>
      </w:r>
      <w:r>
        <w:rPr>
          <w:rFonts w:eastAsia="仿宋_GB2312"/>
          <w:color w:val="auto"/>
          <w:sz w:val="24"/>
          <w:szCs w:val="24"/>
          <w:highlight w:val="none"/>
        </w:rPr>
        <w:t>。</w:t>
      </w:r>
    </w:p>
    <w:p w14:paraId="11498764">
      <w:pPr>
        <w:spacing w:line="360" w:lineRule="auto"/>
        <w:ind w:firstLine="480" w:firstLineChars="200"/>
        <w:rPr>
          <w:rFonts w:eastAsia="仿宋_GB2312"/>
          <w:color w:val="auto"/>
          <w:sz w:val="24"/>
          <w:szCs w:val="24"/>
          <w:highlight w:val="none"/>
          <w:u w:val="single"/>
        </w:rPr>
      </w:pPr>
      <w:r>
        <w:rPr>
          <w:rFonts w:eastAsia="仿宋_GB2312"/>
          <w:color w:val="auto"/>
          <w:sz w:val="24"/>
          <w:szCs w:val="24"/>
          <w:highlight w:val="none"/>
        </w:rPr>
        <w:t>3.2.4 承包人无正当理由拒绝更换项目经理的违约责任：</w:t>
      </w:r>
      <w:r>
        <w:rPr>
          <w:rFonts w:hint="eastAsia" w:eastAsia="仿宋_GB2312"/>
          <w:color w:val="auto"/>
          <w:sz w:val="24"/>
          <w:szCs w:val="24"/>
          <w:highlight w:val="none"/>
          <w:u w:val="single"/>
        </w:rPr>
        <w:t>按本合同专用条款第16.2.2条第（5）款承担违约责任</w:t>
      </w:r>
      <w:r>
        <w:rPr>
          <w:rFonts w:eastAsia="仿宋_GB2312"/>
          <w:color w:val="auto"/>
          <w:sz w:val="24"/>
          <w:szCs w:val="24"/>
          <w:highlight w:val="none"/>
          <w:u w:val="single"/>
        </w:rPr>
        <w:t>。</w:t>
      </w:r>
    </w:p>
    <w:p w14:paraId="3EAB1378">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3.3 承包人人员</w:t>
      </w:r>
    </w:p>
    <w:p w14:paraId="09832819">
      <w:pPr>
        <w:spacing w:line="360" w:lineRule="auto"/>
        <w:ind w:firstLine="480" w:firstLineChars="200"/>
        <w:rPr>
          <w:rFonts w:hint="eastAsia" w:eastAsia="仿宋_GB2312"/>
          <w:color w:val="auto"/>
          <w:sz w:val="24"/>
          <w:szCs w:val="24"/>
          <w:highlight w:val="none"/>
          <w:u w:val="single"/>
        </w:rPr>
      </w:pPr>
      <w:r>
        <w:rPr>
          <w:rFonts w:eastAsia="仿宋_GB2312"/>
          <w:color w:val="auto"/>
          <w:sz w:val="24"/>
          <w:szCs w:val="24"/>
          <w:highlight w:val="none"/>
        </w:rPr>
        <w:t>3.3.1 承包人提交项目管理机构及施工现场管理人员安排报告的期限：</w:t>
      </w:r>
      <w:r>
        <w:rPr>
          <w:rFonts w:eastAsia="仿宋_GB2312"/>
          <w:color w:val="auto"/>
          <w:sz w:val="24"/>
          <w:szCs w:val="24"/>
          <w:highlight w:val="none"/>
          <w:u w:val="single"/>
        </w:rPr>
        <w:t>签订合同7日内。</w:t>
      </w:r>
    </w:p>
    <w:p w14:paraId="10772B9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通用条款3.3.2款补充以下内容：</w:t>
      </w:r>
    </w:p>
    <w:p w14:paraId="21EF8D8B">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承包人所投入的工程管理人员和工程技术人员应与投标文件保持一致，发包人不要求更换时</w:t>
      </w:r>
      <w:r>
        <w:rPr>
          <w:rFonts w:hint="eastAsia" w:eastAsia="仿宋_GB2312"/>
          <w:color w:val="auto"/>
          <w:sz w:val="24"/>
          <w:szCs w:val="24"/>
          <w:highlight w:val="none"/>
        </w:rPr>
        <w:t>原则上</w:t>
      </w:r>
      <w:r>
        <w:rPr>
          <w:rFonts w:eastAsia="仿宋_GB2312"/>
          <w:color w:val="auto"/>
          <w:sz w:val="24"/>
          <w:szCs w:val="24"/>
          <w:highlight w:val="none"/>
        </w:rPr>
        <w:t>不得更换。因特殊情况需要更换的，承包人应至少提前7天以书面形式向监理单位提出意向（附前任和后任人员的详细履历资料</w:t>
      </w:r>
      <w:r>
        <w:rPr>
          <w:rFonts w:hint="eastAsia" w:eastAsia="仿宋_GB2312"/>
          <w:color w:val="auto"/>
          <w:sz w:val="24"/>
          <w:szCs w:val="24"/>
          <w:highlight w:val="none"/>
        </w:rPr>
        <w:t>及更换原因说明</w:t>
      </w:r>
      <w:r>
        <w:rPr>
          <w:rFonts w:eastAsia="仿宋_GB2312"/>
          <w:color w:val="auto"/>
          <w:sz w:val="24"/>
          <w:szCs w:val="24"/>
          <w:highlight w:val="none"/>
        </w:rPr>
        <w:t>），经监理工程师签署意见后向发包人提出申请，并征得发包人同意</w:t>
      </w:r>
      <w:r>
        <w:rPr>
          <w:rFonts w:hint="eastAsia" w:eastAsia="仿宋_GB2312"/>
          <w:color w:val="auto"/>
          <w:sz w:val="24"/>
          <w:szCs w:val="24"/>
          <w:highlight w:val="none"/>
        </w:rPr>
        <w:t>才能</w:t>
      </w:r>
      <w:r>
        <w:rPr>
          <w:rFonts w:eastAsia="仿宋_GB2312"/>
          <w:color w:val="auto"/>
          <w:sz w:val="24"/>
          <w:szCs w:val="24"/>
          <w:highlight w:val="none"/>
        </w:rPr>
        <w:t>更换。承包人必须保证后任人员的资质、资历、业绩、实际工作能力不低于前任人员的素质。</w:t>
      </w:r>
    </w:p>
    <w:p w14:paraId="0EED1981">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前任人员更换后，后任继续行使合同文件约定的前任的职权，履行前任的义务。</w:t>
      </w:r>
    </w:p>
    <w:p w14:paraId="5D6C2844">
      <w:pPr>
        <w:spacing w:line="360" w:lineRule="auto"/>
        <w:ind w:firstLine="480" w:firstLineChars="200"/>
        <w:rPr>
          <w:rFonts w:hint="eastAsia" w:eastAsia="仿宋_GB2312"/>
          <w:color w:val="auto"/>
          <w:sz w:val="24"/>
          <w:szCs w:val="24"/>
          <w:highlight w:val="none"/>
          <w:u w:val="single"/>
        </w:rPr>
      </w:pPr>
      <w:r>
        <w:rPr>
          <w:rFonts w:eastAsia="仿宋_GB2312"/>
          <w:color w:val="auto"/>
          <w:sz w:val="24"/>
          <w:szCs w:val="24"/>
          <w:highlight w:val="none"/>
        </w:rPr>
        <w:t>3.3.3 承包人无正当理由拒绝撤换主要施工管理人员的违约责任：</w:t>
      </w:r>
      <w:r>
        <w:rPr>
          <w:rFonts w:hint="eastAsia" w:eastAsia="仿宋_GB2312"/>
          <w:color w:val="auto"/>
          <w:sz w:val="24"/>
          <w:szCs w:val="24"/>
          <w:highlight w:val="none"/>
          <w:u w:val="single"/>
        </w:rPr>
        <w:t>按本合同专用条款第16.2.2条第（5）③ 款承担违约责任</w:t>
      </w:r>
      <w:r>
        <w:rPr>
          <w:rFonts w:eastAsia="仿宋_GB2312"/>
          <w:color w:val="auto"/>
          <w:sz w:val="24"/>
          <w:szCs w:val="24"/>
          <w:highlight w:val="none"/>
          <w:u w:val="single"/>
        </w:rPr>
        <w:t>。</w:t>
      </w:r>
    </w:p>
    <w:p w14:paraId="740DA330">
      <w:pPr>
        <w:spacing w:line="360" w:lineRule="auto"/>
        <w:ind w:firstLine="482" w:firstLineChars="200"/>
        <w:rPr>
          <w:rFonts w:hint="eastAsia" w:eastAsia="仿宋_GB2312"/>
          <w:b/>
          <w:bCs/>
          <w:color w:val="auto"/>
          <w:sz w:val="24"/>
          <w:szCs w:val="24"/>
          <w:highlight w:val="none"/>
        </w:rPr>
      </w:pPr>
      <w:r>
        <w:rPr>
          <w:rFonts w:hint="eastAsia" w:eastAsia="仿宋_GB2312"/>
          <w:b/>
          <w:bCs/>
          <w:color w:val="auto"/>
          <w:sz w:val="24"/>
          <w:szCs w:val="24"/>
          <w:highlight w:val="none"/>
        </w:rPr>
        <w:t>通用条款3.3.3款补充以下内容：</w:t>
      </w:r>
    </w:p>
    <w:p w14:paraId="3D93D6D5">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承包人项目主要负责人及</w:t>
      </w:r>
      <w:r>
        <w:rPr>
          <w:rFonts w:eastAsia="仿宋_GB2312"/>
          <w:color w:val="auto"/>
          <w:sz w:val="24"/>
          <w:szCs w:val="24"/>
          <w:highlight w:val="none"/>
        </w:rPr>
        <w:t>主要施工管理人员</w:t>
      </w:r>
      <w:r>
        <w:rPr>
          <w:rFonts w:hint="eastAsia" w:eastAsia="仿宋_GB2312"/>
          <w:color w:val="auto"/>
          <w:sz w:val="24"/>
          <w:szCs w:val="24"/>
          <w:highlight w:val="none"/>
        </w:rPr>
        <w:t>的实际工作能力和工作表现达不到合同文件明确要求或投标文件的承诺、或工作态度存在严重不足，不适应现场工作需要，发包人有权向承包人提出撤换。承包人可以提出整改意见；如发包人不予接受，或认为整改效果不明显的，则承包人必须在7天内无条件撤换，所调换来人员的资质、资历、学历、职称、业绩、实际工作能力不低于原投标书中所承诺人员的素质，更换的人员须经监理工程师和发包人的同意。即使发包人同意更换，也不免除承包人应承担的违约责任。</w:t>
      </w:r>
    </w:p>
    <w:p w14:paraId="51DB6203">
      <w:pPr>
        <w:spacing w:line="360" w:lineRule="auto"/>
        <w:ind w:firstLine="480" w:firstLineChars="200"/>
        <w:rPr>
          <w:rFonts w:eastAsia="仿宋_GB2312"/>
          <w:color w:val="auto"/>
          <w:sz w:val="24"/>
          <w:szCs w:val="24"/>
          <w:highlight w:val="none"/>
          <w:u w:val="single"/>
        </w:rPr>
      </w:pPr>
      <w:r>
        <w:rPr>
          <w:rFonts w:eastAsia="仿宋_GB2312"/>
          <w:color w:val="auto"/>
          <w:sz w:val="24"/>
          <w:szCs w:val="24"/>
          <w:highlight w:val="none"/>
        </w:rPr>
        <w:t>3.3.4 承包人主要施工管理人员离开施工现场的批准要求：</w:t>
      </w:r>
      <w:r>
        <w:rPr>
          <w:rFonts w:hint="eastAsia" w:eastAsia="仿宋_GB2312"/>
          <w:color w:val="auto"/>
          <w:sz w:val="24"/>
          <w:szCs w:val="24"/>
          <w:highlight w:val="none"/>
          <w:u w:val="single"/>
        </w:rPr>
        <w:t>按上述 3.2.1.1条约定执行</w:t>
      </w:r>
      <w:r>
        <w:rPr>
          <w:rFonts w:eastAsia="仿宋_GB2312"/>
          <w:color w:val="auto"/>
          <w:sz w:val="24"/>
          <w:szCs w:val="24"/>
          <w:highlight w:val="none"/>
        </w:rPr>
        <w:t>。</w:t>
      </w:r>
    </w:p>
    <w:p w14:paraId="7D74A8D6">
      <w:pPr>
        <w:spacing w:line="360" w:lineRule="auto"/>
        <w:ind w:firstLine="480" w:firstLineChars="200"/>
        <w:rPr>
          <w:rFonts w:eastAsia="仿宋_GB2312"/>
          <w:color w:val="auto"/>
          <w:sz w:val="24"/>
          <w:szCs w:val="24"/>
          <w:highlight w:val="none"/>
          <w:u w:val="single"/>
        </w:rPr>
      </w:pPr>
      <w:r>
        <w:rPr>
          <w:rFonts w:eastAsia="仿宋_GB2312"/>
          <w:color w:val="auto"/>
          <w:sz w:val="24"/>
          <w:szCs w:val="24"/>
          <w:highlight w:val="none"/>
        </w:rPr>
        <w:t>3.3.5</w:t>
      </w:r>
      <w:r>
        <w:rPr>
          <w:rFonts w:hint="eastAsia" w:eastAsia="仿宋_GB2312"/>
          <w:color w:val="auto"/>
          <w:sz w:val="24"/>
          <w:szCs w:val="24"/>
          <w:highlight w:val="none"/>
        </w:rPr>
        <w:t xml:space="preserve"> </w:t>
      </w:r>
      <w:r>
        <w:rPr>
          <w:rFonts w:eastAsia="仿宋_GB2312"/>
          <w:color w:val="auto"/>
          <w:sz w:val="24"/>
          <w:szCs w:val="24"/>
          <w:highlight w:val="none"/>
        </w:rPr>
        <w:t>承包人擅自更换主要施工管理人员的违约责任：</w:t>
      </w:r>
      <w:r>
        <w:rPr>
          <w:rFonts w:hint="eastAsia" w:eastAsia="仿宋_GB2312"/>
          <w:color w:val="auto"/>
          <w:sz w:val="24"/>
          <w:szCs w:val="24"/>
          <w:highlight w:val="none"/>
          <w:u w:val="single"/>
        </w:rPr>
        <w:t>按本合同专用条款第16.2.2条第（5）款承担违约责任</w:t>
      </w:r>
      <w:r>
        <w:rPr>
          <w:rFonts w:eastAsia="仿宋_GB2312"/>
          <w:color w:val="auto"/>
          <w:sz w:val="24"/>
          <w:szCs w:val="24"/>
          <w:highlight w:val="none"/>
          <w:u w:val="single"/>
        </w:rPr>
        <w:t>。</w:t>
      </w:r>
    </w:p>
    <w:p w14:paraId="29CAC195">
      <w:pPr>
        <w:spacing w:line="360" w:lineRule="auto"/>
        <w:ind w:firstLine="480" w:firstLineChars="200"/>
        <w:rPr>
          <w:rFonts w:eastAsia="仿宋_GB2312"/>
          <w:color w:val="auto"/>
          <w:sz w:val="24"/>
          <w:szCs w:val="24"/>
          <w:highlight w:val="none"/>
          <w:u w:val="single"/>
        </w:rPr>
      </w:pPr>
      <w:r>
        <w:rPr>
          <w:rFonts w:eastAsia="仿宋_GB2312"/>
          <w:color w:val="auto"/>
          <w:sz w:val="24"/>
          <w:szCs w:val="24"/>
          <w:highlight w:val="none"/>
        </w:rPr>
        <w:t>承包人主要施工管理人员擅自离开施工现场的违约责任：</w:t>
      </w:r>
      <w:r>
        <w:rPr>
          <w:rFonts w:hint="eastAsia" w:eastAsia="仿宋_GB2312"/>
          <w:color w:val="auto"/>
          <w:sz w:val="24"/>
          <w:szCs w:val="24"/>
          <w:highlight w:val="none"/>
          <w:u w:val="single"/>
        </w:rPr>
        <w:t>按合同专用条款第16.2.2条第（5）款②④约定执行</w:t>
      </w:r>
      <w:r>
        <w:rPr>
          <w:rFonts w:eastAsia="仿宋_GB2312"/>
          <w:color w:val="auto"/>
          <w:sz w:val="24"/>
          <w:szCs w:val="24"/>
          <w:highlight w:val="none"/>
          <w:u w:val="single"/>
        </w:rPr>
        <w:t>。</w:t>
      </w:r>
    </w:p>
    <w:p w14:paraId="2D258150">
      <w:pPr>
        <w:spacing w:line="360" w:lineRule="auto"/>
        <w:ind w:firstLine="482" w:firstLineChars="200"/>
        <w:rPr>
          <w:rFonts w:hint="eastAsia" w:eastAsia="仿宋_GB2312"/>
          <w:b/>
          <w:bCs/>
          <w:color w:val="auto"/>
          <w:sz w:val="24"/>
          <w:szCs w:val="24"/>
          <w:highlight w:val="none"/>
        </w:rPr>
      </w:pPr>
      <w:r>
        <w:rPr>
          <w:rFonts w:hint="eastAsia" w:eastAsia="仿宋_GB2312"/>
          <w:b/>
          <w:bCs/>
          <w:color w:val="auto"/>
          <w:sz w:val="24"/>
          <w:szCs w:val="24"/>
          <w:highlight w:val="none"/>
        </w:rPr>
        <w:t>增加3.3.6-3.3.8条款，具体如下：</w:t>
      </w:r>
    </w:p>
    <w:p w14:paraId="56808A03">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3.3.6承包人的现场管理机构（包括投入所有人员）必须服从发包人、监理单位、造价咨询单位管理，主动支持发包人、监理单位、造价咨询单位的工作，对发包人、监理单位、造价咨询单位的指令，若无正当理由不得公开或变相拒不执行。</w:t>
      </w:r>
    </w:p>
    <w:p w14:paraId="47D8537C">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3.3.7承包人的项目经理或项目技术负责人必须参加监理单位或发包人或造价咨询单位主持的工程例会和其他要求的专题会议。除获得监理单位或发包人或造价咨询单位批准外，不得缺席。</w:t>
      </w:r>
    </w:p>
    <w:p w14:paraId="468BF9AD">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3.3.8本合同所称“现场办公”，指在工程实施过程中，项目经理及总承包人现场管理机构主要部门负责人必须在施工场地全职上班，履行各自的职责。</w:t>
      </w:r>
    </w:p>
    <w:p w14:paraId="52B41406">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3</w:t>
      </w:r>
      <w:bookmarkStart w:id="546" w:name="_Toc296347158"/>
      <w:bookmarkStart w:id="547" w:name="_Toc296944498"/>
      <w:bookmarkStart w:id="548" w:name="_Toc297123492"/>
      <w:bookmarkStart w:id="549" w:name="_Toc300934945"/>
      <w:bookmarkStart w:id="550" w:name="_Toc297048345"/>
      <w:bookmarkStart w:id="551" w:name="_Toc296503159"/>
      <w:bookmarkStart w:id="552" w:name="_Toc312677988"/>
      <w:bookmarkStart w:id="553" w:name="_Toc296891199"/>
      <w:bookmarkStart w:id="554" w:name="_Toc297216151"/>
      <w:bookmarkStart w:id="555" w:name="_Toc296346660"/>
      <w:bookmarkStart w:id="556" w:name="_Toc292559364"/>
      <w:bookmarkStart w:id="557" w:name="_Toc296890987"/>
      <w:bookmarkStart w:id="558" w:name="_Toc303539102"/>
      <w:bookmarkStart w:id="559" w:name="_Toc304295523"/>
      <w:bookmarkStart w:id="560" w:name="_Toc297120459"/>
      <w:bookmarkStart w:id="561" w:name="_Toc292559869"/>
      <w:r>
        <w:rPr>
          <w:rFonts w:eastAsia="黑体"/>
          <w:color w:val="auto"/>
          <w:sz w:val="24"/>
          <w:szCs w:val="24"/>
          <w:highlight w:val="none"/>
        </w:rPr>
        <w:t>.5 分包</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14:paraId="16789886">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3</w:t>
      </w:r>
      <w:bookmarkStart w:id="562" w:name="_Toc303539103"/>
      <w:bookmarkStart w:id="563" w:name="_Toc300934946"/>
      <w:bookmarkStart w:id="564" w:name="_Toc296503160"/>
      <w:bookmarkStart w:id="565" w:name="_Toc304295524"/>
      <w:bookmarkStart w:id="566" w:name="_Toc297048346"/>
      <w:bookmarkStart w:id="567" w:name="_Toc296347159"/>
      <w:bookmarkStart w:id="568" w:name="_Toc296944499"/>
      <w:bookmarkStart w:id="569" w:name="_Toc292559365"/>
      <w:bookmarkStart w:id="570" w:name="_Toc297123493"/>
      <w:bookmarkStart w:id="571" w:name="_Toc297216152"/>
      <w:bookmarkStart w:id="572" w:name="_Toc296346661"/>
      <w:bookmarkStart w:id="573" w:name="_Toc296891200"/>
      <w:bookmarkStart w:id="574" w:name="_Toc297120460"/>
      <w:bookmarkStart w:id="575" w:name="_Toc296890988"/>
      <w:bookmarkStart w:id="576" w:name="_Toc292559870"/>
      <w:bookmarkStart w:id="577" w:name="_Toc312677989"/>
      <w:bookmarkStart w:id="578" w:name="_Toc318581158"/>
      <w:r>
        <w:rPr>
          <w:rFonts w:eastAsia="仿宋_GB2312"/>
          <w:color w:val="auto"/>
          <w:sz w:val="24"/>
          <w:szCs w:val="24"/>
          <w:highlight w:val="none"/>
        </w:rPr>
        <w:t>.5.1 分包的一般约定</w:t>
      </w:r>
    </w:p>
    <w:p w14:paraId="1F06DC64">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禁止分包的工程包括：</w:t>
      </w:r>
      <w:r>
        <w:rPr>
          <w:rFonts w:eastAsia="仿宋_GB2312"/>
          <w:color w:val="auto"/>
          <w:sz w:val="24"/>
          <w:szCs w:val="24"/>
          <w:highlight w:val="none"/>
          <w:u w:val="single"/>
        </w:rPr>
        <w:t>关键性工作。</w:t>
      </w:r>
    </w:p>
    <w:p w14:paraId="2E8CB799">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关键性工作的范围：</w:t>
      </w:r>
      <w:r>
        <w:rPr>
          <w:rFonts w:eastAsia="仿宋_GB2312"/>
          <w:color w:val="auto"/>
          <w:sz w:val="24"/>
          <w:szCs w:val="24"/>
          <w:highlight w:val="none"/>
          <w:u w:val="single"/>
        </w:rPr>
        <w:t xml:space="preserve"> </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Start w:id="579" w:name="_Toc297216153"/>
      <w:bookmarkStart w:id="580" w:name="_Toc296347160"/>
      <w:bookmarkStart w:id="581" w:name="_Toc296890989"/>
      <w:bookmarkStart w:id="582" w:name="_Toc297120461"/>
      <w:bookmarkStart w:id="583" w:name="_Toc296503161"/>
      <w:bookmarkStart w:id="584" w:name="_Toc297048347"/>
      <w:bookmarkStart w:id="585" w:name="_Toc296346662"/>
      <w:bookmarkStart w:id="586" w:name="_Toc303539104"/>
      <w:bookmarkStart w:id="587" w:name="_Toc297123494"/>
      <w:bookmarkStart w:id="588" w:name="_Toc300934947"/>
      <w:bookmarkStart w:id="589" w:name="_Toc304295525"/>
      <w:bookmarkStart w:id="590" w:name="_Toc296891201"/>
      <w:bookmarkStart w:id="591" w:name="_Toc296944500"/>
      <w:r>
        <w:rPr>
          <w:rFonts w:hint="eastAsia" w:eastAsia="仿宋_GB2312"/>
          <w:color w:val="auto"/>
          <w:sz w:val="24"/>
          <w:szCs w:val="24"/>
          <w:highlight w:val="none"/>
          <w:u w:val="single"/>
        </w:rPr>
        <w:t>电气安装工程、给排水安装工程。</w:t>
      </w:r>
    </w:p>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14:paraId="27A32C7F">
      <w:pPr>
        <w:spacing w:line="360" w:lineRule="auto"/>
        <w:rPr>
          <w:rFonts w:eastAsia="仿宋_GB2312"/>
          <w:color w:val="auto"/>
          <w:sz w:val="24"/>
          <w:szCs w:val="24"/>
          <w:highlight w:val="none"/>
        </w:rPr>
      </w:pPr>
      <w:r>
        <w:rPr>
          <w:rFonts w:eastAsia="仿宋_GB2312"/>
          <w:color w:val="auto"/>
          <w:sz w:val="24"/>
          <w:szCs w:val="24"/>
          <w:highlight w:val="none"/>
        </w:rPr>
        <w:t xml:space="preserve">    3</w:t>
      </w:r>
      <w:bookmarkStart w:id="592" w:name="_Toc312677990"/>
      <w:bookmarkStart w:id="593" w:name="_Toc318581159"/>
      <w:r>
        <w:rPr>
          <w:rFonts w:eastAsia="仿宋_GB2312"/>
          <w:color w:val="auto"/>
          <w:sz w:val="24"/>
          <w:szCs w:val="24"/>
          <w:highlight w:val="none"/>
        </w:rPr>
        <w:t>.5.2分包的确定</w:t>
      </w:r>
    </w:p>
    <w:p w14:paraId="3698A507">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其他关于分包的约定：</w:t>
      </w:r>
    </w:p>
    <w:p w14:paraId="3227D177">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暂估价专业工程分包：本总承包工程合同价款包含暂估价专业工程的价款，由于专业工程暂估价引起的公共资源交易中心的交易服务费、劳保金、合同签订、施工许可证办理、实际暂估价专业工程的合同价高于投标时的专业工程暂估价时所产生的印花税的相关费用等已含在签约合同价款中，该部分费用由承包人自行承担，承包人不得再向发包人及各暂估价专业工程承包人进行收取。</w:t>
      </w:r>
    </w:p>
    <w:p w14:paraId="1463EED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（2）承包人对本工程实施总承包管理。承包人有权根据本工程的招标文件、本合同、专业分包合同等制定相应的管理办法、制度或细则，并据此对分包人进行管理、协调、监督和处罚。</w:t>
      </w:r>
    </w:p>
    <w:p w14:paraId="10D223B0">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（3）所有分包工程项目的原始资料的存档和竣工资料的统一编制等工作由承包人负责指导和统一管理，由此产生的相关费用已包含到签约合同价中。</w:t>
      </w:r>
    </w:p>
    <w:p w14:paraId="58E583F7">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4）承包人应严格督促分包人按其劳务合同或其它约定及时、足额支付工人工资。承包人应详细审查分包人提交的资料以确保分包人所有进场施工人员、工作人员都有签订劳动合同并依法购买社保等，如发现分包人存在违反上述义务的情况，承包人应立即通知发包人与监理人。如承包人未能尽到审查监督义务导致分包人违反上述义务，则应承担因此而产生的全部责任。</w:t>
      </w:r>
    </w:p>
    <w:p w14:paraId="06186BF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（5）本条规定的专业分包不影响承包人对发包人所负的责任和义务。承包人必须严格按照合同所规定的总承包管理范围和内容履行作为总承包单位的义务及承担相应的责任。</w:t>
      </w:r>
    </w:p>
    <w:p w14:paraId="2DDB85EF">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（6）无论本合同因何种原因终止或解除，承包人须将其在分包合同中的权利及义务免费转让给发包人或转让给发包人指定的第三方，但转让前已发生的债权债务仍由承包人承担。</w:t>
      </w:r>
    </w:p>
    <w:p w14:paraId="74D898B4">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7）承包人须在合理时间前将拟分包的工程范围告知发包人，并在拟定分包人前30天将分包人的营业执照、税务登记证、施工资质证书、公司简介、业绩资料、进退场时间等资料提交监理人和发包人，经发包人审批同意后方予进场施工，但发包人的审批并不减免合同规定的承包人应承担的任何责任或义务。</w:t>
      </w:r>
    </w:p>
    <w:p w14:paraId="794F4512">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（8）承包人进行专业分包和劳务分包必须遵守相关法律法规的规定和合同的相关约定，属于劳务分包的，承包人应将劳务分包单位有关资料报备发包人。</w:t>
      </w:r>
    </w:p>
    <w:p w14:paraId="2B1F3CC0">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3.5.4 分包合同价款</w:t>
      </w:r>
    </w:p>
    <w:p w14:paraId="34BAA979">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3.5.4</w:t>
      </w:r>
      <w:r>
        <w:rPr>
          <w:rFonts w:hint="eastAsia" w:eastAsia="仿宋_GB2312"/>
          <w:color w:val="auto"/>
          <w:sz w:val="24"/>
          <w:szCs w:val="24"/>
          <w:highlight w:val="none"/>
        </w:rPr>
        <w:t>（1）不适用，删除。</w:t>
      </w:r>
    </w:p>
    <w:p w14:paraId="15ABEFBB">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关于分包合同价款支付的约定：</w:t>
      </w:r>
    </w:p>
    <w:p w14:paraId="6D498699">
      <w:pPr>
        <w:numPr>
          <w:ilvl w:val="0"/>
          <w:numId w:val="5"/>
        </w:num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除暂估价专业工程合同价款外，其他分包合同价款由承包人直接支付，但如发包人认为需设立共管账户时，承包人应负责设立共管账户，合同价款须经发包人、承包人共同确认后方可支付，承包人应无条件接受，否则发包人有权不支付相应合同价款；</w:t>
      </w:r>
    </w:p>
    <w:p w14:paraId="63DC9CE4">
      <w:pPr>
        <w:numPr>
          <w:ilvl w:val="0"/>
          <w:numId w:val="5"/>
        </w:num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 暂估价专业工程合同价款由发包人直接支付给暂估价专业工程承包人（指定分包人），指定分包人应向发包人提交供符合中国税法规定的有效的增值税专用发票，同时承包人应通过指定分包人现场已完成的工程质量、数量、与承包人现场的施工配合以及文明安全施工等情况对该付款申请进行审核，并向发包人及造价工程师提供审核意见，具体合同价款支付流程按相应暂估价专业工程合同约定执行。</w:t>
      </w:r>
    </w:p>
    <w:p w14:paraId="0156FFD8">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（3）暂估价专业工程合同价款相关事项在本合同未约定的，按相应暂估价专业工程合同约定执行。</w:t>
      </w:r>
    </w:p>
    <w:bookmarkEnd w:id="592"/>
    <w:bookmarkEnd w:id="593"/>
    <w:p w14:paraId="345E2381">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3.6 工程照管与成品、半成品保护</w:t>
      </w:r>
    </w:p>
    <w:p w14:paraId="52D63E0B">
      <w:pPr>
        <w:spacing w:before="120" w:after="120" w:line="360" w:lineRule="auto"/>
        <w:ind w:firstLine="480" w:firstLineChars="200"/>
        <w:rPr>
          <w:rFonts w:hint="eastAsia" w:eastAsia="仿宋_GB2312"/>
          <w:color w:val="auto"/>
          <w:kern w:val="0"/>
          <w:sz w:val="24"/>
          <w:szCs w:val="24"/>
          <w:highlight w:val="none"/>
        </w:rPr>
      </w:pPr>
      <w:r>
        <w:rPr>
          <w:rFonts w:eastAsia="仿宋_GB2312"/>
          <w:color w:val="auto"/>
          <w:kern w:val="0"/>
          <w:sz w:val="24"/>
          <w:szCs w:val="24"/>
          <w:highlight w:val="none"/>
        </w:rPr>
        <w:t>承包人负责照管工程及工程相关的材料、工程设备的起始时间：</w:t>
      </w:r>
      <w:r>
        <w:rPr>
          <w:rFonts w:hint="eastAsia" w:eastAsia="仿宋_GB2312"/>
          <w:color w:val="auto"/>
          <w:kern w:val="0"/>
          <w:sz w:val="24"/>
          <w:szCs w:val="24"/>
          <w:highlight w:val="none"/>
          <w:u w:val="single"/>
        </w:rPr>
        <w:t>从施工单位进场之日起至工程竣工验收后全部移交完毕给发包人止。</w:t>
      </w:r>
    </w:p>
    <w:p w14:paraId="299EF612">
      <w:pPr>
        <w:spacing w:before="120" w:after="120" w:line="360" w:lineRule="auto"/>
        <w:ind w:firstLine="482" w:firstLineChars="200"/>
        <w:rPr>
          <w:rFonts w:hint="eastAsia" w:eastAsia="仿宋_GB2312"/>
          <w:b/>
          <w:bCs/>
          <w:color w:val="auto"/>
          <w:kern w:val="0"/>
          <w:sz w:val="24"/>
          <w:szCs w:val="24"/>
          <w:highlight w:val="none"/>
        </w:rPr>
      </w:pPr>
      <w:r>
        <w:rPr>
          <w:rFonts w:hint="eastAsia" w:eastAsia="仿宋_GB2312"/>
          <w:b/>
          <w:bCs/>
          <w:color w:val="auto"/>
          <w:kern w:val="0"/>
          <w:sz w:val="24"/>
          <w:szCs w:val="24"/>
          <w:highlight w:val="none"/>
        </w:rPr>
        <w:t>增加（4）~（7）条款，具体如下：</w:t>
      </w:r>
    </w:p>
    <w:p w14:paraId="1D84A5CC">
      <w:pPr>
        <w:spacing w:before="120" w:after="120" w:line="360" w:lineRule="auto"/>
        <w:ind w:firstLine="480" w:firstLineChars="200"/>
        <w:rPr>
          <w:rFonts w:hint="eastAsia" w:eastAsia="仿宋_GB2312"/>
          <w:color w:val="auto"/>
          <w:kern w:val="0"/>
          <w:sz w:val="24"/>
          <w:szCs w:val="24"/>
          <w:highlight w:val="none"/>
        </w:rPr>
      </w:pPr>
      <w:r>
        <w:rPr>
          <w:rFonts w:hint="eastAsia" w:eastAsia="仿宋_GB2312"/>
          <w:color w:val="auto"/>
          <w:kern w:val="0"/>
          <w:sz w:val="24"/>
          <w:szCs w:val="24"/>
          <w:highlight w:val="none"/>
        </w:rPr>
        <w:t>（4）工程全部移交给发包人前，承包人应全面负责照管本合同工程及运至现场将用于和安装在合同工程中的材料设备，包括由发包人提供的运至现场将用于和安装在合同工程中的材料设备（材料设备进场由发包人与承包人共同清点入账，然后入库；材料设备运出场时，报发包人同意并共同清点；发包人的清点入账并不免除承包人的照管责任），相关费用均由承包人负责，发生损坏或出现安全隐患由承包人采取措施并自费维修。</w:t>
      </w:r>
    </w:p>
    <w:p w14:paraId="2B4EE219">
      <w:pPr>
        <w:spacing w:before="120" w:after="120" w:line="360" w:lineRule="auto"/>
        <w:ind w:firstLine="480" w:firstLineChars="200"/>
        <w:rPr>
          <w:rFonts w:hint="eastAsia" w:eastAsia="仿宋_GB2312"/>
          <w:color w:val="auto"/>
          <w:kern w:val="0"/>
          <w:sz w:val="24"/>
          <w:szCs w:val="24"/>
          <w:highlight w:val="none"/>
        </w:rPr>
      </w:pPr>
      <w:r>
        <w:rPr>
          <w:rFonts w:hint="eastAsia" w:eastAsia="仿宋_GB2312"/>
          <w:color w:val="auto"/>
          <w:kern w:val="0"/>
          <w:sz w:val="24"/>
          <w:szCs w:val="24"/>
          <w:highlight w:val="none"/>
        </w:rPr>
        <w:t>（5）平行发包工程及分包工程及其材料设备由相应发包工程承包人及分包人负责场内照管，本合同承包人负责施工现场总体安全保卫工作。</w:t>
      </w:r>
    </w:p>
    <w:p w14:paraId="34AB2E61">
      <w:pPr>
        <w:spacing w:before="120" w:after="120" w:line="360" w:lineRule="auto"/>
        <w:ind w:firstLine="480" w:firstLineChars="200"/>
        <w:rPr>
          <w:rFonts w:eastAsia="仿宋_GB2312"/>
          <w:color w:val="auto"/>
          <w:kern w:val="0"/>
          <w:sz w:val="24"/>
          <w:szCs w:val="24"/>
          <w:highlight w:val="none"/>
        </w:rPr>
      </w:pPr>
      <w:r>
        <w:rPr>
          <w:rFonts w:hint="eastAsia" w:eastAsia="仿宋_GB2312"/>
          <w:color w:val="auto"/>
          <w:kern w:val="0"/>
          <w:sz w:val="24"/>
          <w:szCs w:val="24"/>
          <w:highlight w:val="none"/>
        </w:rPr>
        <w:t>（6）如果在整个工程竣工验收证书颁发前，发包人已就其中任何单项工程颁发了竣工验收证书并已正式接收，则从承包人向发包人移交了该单项工程之日起承包人无须对该单项工程负责照管，而转由发包人负责。但是，承包人应继续负责照管尚未完成的工程和将用于或安装在合同工程中的材料设备，直至通过工程竣工验收、向发包人移交工程之日止。</w:t>
      </w:r>
    </w:p>
    <w:p w14:paraId="67FB563F">
      <w:pPr>
        <w:spacing w:before="120" w:after="120" w:line="360" w:lineRule="auto"/>
        <w:ind w:firstLine="482" w:firstLineChars="200"/>
        <w:rPr>
          <w:rFonts w:hint="eastAsia" w:eastAsia="仿宋_GB2312"/>
          <w:b/>
          <w:bCs/>
          <w:color w:val="auto"/>
          <w:kern w:val="0"/>
          <w:sz w:val="24"/>
          <w:szCs w:val="24"/>
          <w:highlight w:val="none"/>
        </w:rPr>
      </w:pPr>
      <w:r>
        <w:rPr>
          <w:rFonts w:hint="eastAsia" w:eastAsia="仿宋_GB2312"/>
          <w:b/>
          <w:bCs/>
          <w:color w:val="auto"/>
          <w:kern w:val="0"/>
          <w:sz w:val="24"/>
          <w:szCs w:val="24"/>
          <w:highlight w:val="none"/>
        </w:rPr>
        <w:t>通用条款</w:t>
      </w:r>
      <w:r>
        <w:rPr>
          <w:rFonts w:eastAsia="仿宋_GB2312"/>
          <w:b/>
          <w:bCs/>
          <w:color w:val="auto"/>
          <w:kern w:val="0"/>
          <w:sz w:val="24"/>
          <w:szCs w:val="24"/>
          <w:highlight w:val="none"/>
        </w:rPr>
        <w:t>3.7</w:t>
      </w:r>
      <w:r>
        <w:rPr>
          <w:rFonts w:hint="eastAsia" w:eastAsia="仿宋_GB2312"/>
          <w:b/>
          <w:bCs/>
          <w:color w:val="auto"/>
          <w:kern w:val="0"/>
          <w:sz w:val="24"/>
          <w:szCs w:val="24"/>
          <w:highlight w:val="none"/>
        </w:rPr>
        <w:t>不适用，替换为：</w:t>
      </w:r>
    </w:p>
    <w:p w14:paraId="2F51D01F">
      <w:pPr>
        <w:spacing w:before="120" w:after="120" w:line="360" w:lineRule="auto"/>
        <w:ind w:firstLine="480" w:firstLineChars="200"/>
        <w:rPr>
          <w:rFonts w:eastAsia="仿宋_GB2312"/>
          <w:color w:val="auto"/>
          <w:kern w:val="0"/>
          <w:sz w:val="24"/>
          <w:szCs w:val="24"/>
          <w:highlight w:val="none"/>
        </w:rPr>
      </w:pPr>
      <w:r>
        <w:rPr>
          <w:rFonts w:hint="eastAsia" w:eastAsia="仿宋_GB2312"/>
          <w:color w:val="auto"/>
          <w:kern w:val="0"/>
          <w:sz w:val="24"/>
          <w:szCs w:val="24"/>
          <w:highlight w:val="none"/>
        </w:rPr>
        <w:t>3.7</w:t>
      </w:r>
      <w:r>
        <w:rPr>
          <w:rFonts w:eastAsia="仿宋_GB2312"/>
          <w:color w:val="auto"/>
          <w:kern w:val="0"/>
          <w:sz w:val="24"/>
          <w:szCs w:val="24"/>
          <w:highlight w:val="none"/>
        </w:rPr>
        <w:t xml:space="preserve"> 履约担保</w:t>
      </w:r>
    </w:p>
    <w:p w14:paraId="3761EFE7">
      <w:pPr>
        <w:spacing w:before="120" w:after="120" w:line="360" w:lineRule="auto"/>
        <w:ind w:firstLine="480" w:firstLineChars="200"/>
        <w:rPr>
          <w:rFonts w:eastAsia="仿宋_GB2312"/>
          <w:color w:val="auto"/>
          <w:kern w:val="0"/>
          <w:sz w:val="24"/>
          <w:szCs w:val="24"/>
          <w:highlight w:val="none"/>
        </w:rPr>
      </w:pPr>
      <w:r>
        <w:rPr>
          <w:rFonts w:eastAsia="仿宋_GB2312"/>
          <w:color w:val="auto"/>
          <w:kern w:val="0"/>
          <w:sz w:val="24"/>
          <w:szCs w:val="24"/>
          <w:highlight w:val="none"/>
        </w:rPr>
        <w:t>3.7.1</w:t>
      </w:r>
      <w:r>
        <w:rPr>
          <w:rFonts w:hint="eastAsia" w:eastAsia="仿宋_GB2312"/>
          <w:color w:val="auto"/>
          <w:kern w:val="0"/>
          <w:sz w:val="24"/>
          <w:szCs w:val="24"/>
          <w:highlight w:val="none"/>
        </w:rPr>
        <w:t>承包人须向发包人提供担保的约定：提供预付款保函、履约保函</w:t>
      </w:r>
      <w:r>
        <w:rPr>
          <w:rFonts w:eastAsia="仿宋_GB2312"/>
          <w:color w:val="auto"/>
          <w:kern w:val="0"/>
          <w:sz w:val="24"/>
          <w:szCs w:val="24"/>
          <w:highlight w:val="none"/>
        </w:rPr>
        <w:t>。</w:t>
      </w:r>
    </w:p>
    <w:p w14:paraId="23D35C75">
      <w:pPr>
        <w:spacing w:before="120" w:after="120" w:line="360" w:lineRule="auto"/>
        <w:ind w:firstLine="480" w:firstLineChars="200"/>
        <w:rPr>
          <w:rFonts w:hint="eastAsia" w:eastAsia="仿宋_GB2312"/>
          <w:color w:val="auto"/>
          <w:kern w:val="0"/>
          <w:sz w:val="24"/>
          <w:szCs w:val="24"/>
          <w:highlight w:val="none"/>
        </w:rPr>
      </w:pPr>
      <w:r>
        <w:rPr>
          <w:rFonts w:eastAsia="仿宋_GB2312"/>
          <w:color w:val="auto"/>
          <w:kern w:val="0"/>
          <w:sz w:val="24"/>
          <w:szCs w:val="24"/>
          <w:highlight w:val="none"/>
        </w:rPr>
        <w:t>3.7.</w:t>
      </w:r>
      <w:r>
        <w:rPr>
          <w:rFonts w:hint="eastAsia" w:eastAsia="仿宋_GB2312"/>
          <w:color w:val="auto"/>
          <w:kern w:val="0"/>
          <w:sz w:val="24"/>
          <w:szCs w:val="24"/>
          <w:highlight w:val="none"/>
        </w:rPr>
        <w:t>2承包人在本合同生效后预付款付款前10日内，向发包人提供等额预付款保函</w:t>
      </w:r>
      <w:r>
        <w:rPr>
          <w:rFonts w:eastAsia="仿宋_GB2312"/>
          <w:color w:val="auto"/>
          <w:kern w:val="0"/>
          <w:sz w:val="24"/>
          <w:szCs w:val="24"/>
          <w:highlight w:val="none"/>
        </w:rPr>
        <w:t>。</w:t>
      </w:r>
    </w:p>
    <w:p w14:paraId="0DFBE1DC">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3.7.</w:t>
      </w:r>
      <w:r>
        <w:rPr>
          <w:rFonts w:hint="eastAsia" w:eastAsia="仿宋_GB2312"/>
          <w:color w:val="auto"/>
          <w:kern w:val="0"/>
          <w:sz w:val="24"/>
          <w:szCs w:val="24"/>
          <w:highlight w:val="none"/>
        </w:rPr>
        <w:t>3承包人在本合同生效后20日内，向发包人提供签约合同价</w:t>
      </w:r>
      <w:r>
        <w:rPr>
          <w:rFonts w:hint="eastAsia" w:ascii="Times New Roman" w:hAnsi="Times New Roman" w:eastAsia="仿宋_GB2312"/>
          <w:color w:val="auto"/>
          <w:kern w:val="0"/>
          <w:sz w:val="24"/>
          <w:szCs w:val="24"/>
          <w:highlight w:val="none"/>
        </w:rPr>
        <w:t>（扣除含税的暂列金额）</w:t>
      </w:r>
      <w:r>
        <w:rPr>
          <w:rFonts w:hint="eastAsia" w:eastAsia="仿宋_GB2312"/>
          <w:color w:val="auto"/>
          <w:kern w:val="0"/>
          <w:sz w:val="24"/>
          <w:szCs w:val="24"/>
          <w:highlight w:val="none"/>
        </w:rPr>
        <w:t>的10%的履约保函；暂估价专业工程由专业承包人（指定分包人）按相应专业分包合同约定向发包人提交相应金额的履约担保。</w:t>
      </w:r>
    </w:p>
    <w:p w14:paraId="3D079F1E">
      <w:pPr>
        <w:spacing w:before="120" w:after="120" w:line="360" w:lineRule="auto"/>
        <w:ind w:firstLine="480" w:firstLineChars="200"/>
        <w:rPr>
          <w:rFonts w:hint="eastAsia" w:eastAsia="仿宋_GB2312"/>
          <w:color w:val="auto"/>
          <w:kern w:val="0"/>
          <w:sz w:val="24"/>
          <w:szCs w:val="24"/>
          <w:highlight w:val="none"/>
        </w:rPr>
      </w:pPr>
      <w:r>
        <w:rPr>
          <w:rFonts w:eastAsia="仿宋_GB2312"/>
          <w:color w:val="auto"/>
          <w:kern w:val="0"/>
          <w:sz w:val="24"/>
          <w:szCs w:val="24"/>
          <w:highlight w:val="none"/>
        </w:rPr>
        <w:t>3.7.</w:t>
      </w:r>
      <w:r>
        <w:rPr>
          <w:rFonts w:hint="eastAsia" w:eastAsia="仿宋_GB2312"/>
          <w:color w:val="auto"/>
          <w:kern w:val="0"/>
          <w:sz w:val="24"/>
          <w:szCs w:val="24"/>
          <w:highlight w:val="none"/>
        </w:rPr>
        <w:t>3</w:t>
      </w:r>
      <w:r>
        <w:rPr>
          <w:rFonts w:eastAsia="仿宋_GB2312"/>
          <w:color w:val="auto"/>
          <w:kern w:val="0"/>
          <w:sz w:val="24"/>
          <w:szCs w:val="24"/>
          <w:highlight w:val="none"/>
        </w:rPr>
        <w:t>.1</w:t>
      </w:r>
      <w:r>
        <w:rPr>
          <w:rFonts w:hint="eastAsia" w:eastAsia="仿宋_GB2312"/>
          <w:color w:val="auto"/>
          <w:kern w:val="0"/>
          <w:sz w:val="24"/>
          <w:szCs w:val="24"/>
          <w:highlight w:val="none"/>
        </w:rPr>
        <w:t>预付款保函、履约保函提供形式：银行保函形式。</w:t>
      </w:r>
    </w:p>
    <w:p w14:paraId="13E60341">
      <w:pPr>
        <w:spacing w:before="120" w:after="120" w:line="360" w:lineRule="auto"/>
        <w:ind w:firstLine="480" w:firstLineChars="200"/>
        <w:rPr>
          <w:rFonts w:hint="eastAsia" w:eastAsia="仿宋_GB2312"/>
          <w:color w:val="auto"/>
          <w:kern w:val="0"/>
          <w:sz w:val="24"/>
          <w:szCs w:val="24"/>
          <w:highlight w:val="none"/>
        </w:rPr>
      </w:pPr>
      <w:r>
        <w:rPr>
          <w:rFonts w:eastAsia="仿宋_GB2312"/>
          <w:color w:val="auto"/>
          <w:kern w:val="0"/>
          <w:sz w:val="24"/>
          <w:szCs w:val="24"/>
          <w:highlight w:val="none"/>
        </w:rPr>
        <w:t>3.7.</w:t>
      </w:r>
      <w:r>
        <w:rPr>
          <w:rFonts w:hint="eastAsia" w:eastAsia="仿宋_GB2312"/>
          <w:color w:val="auto"/>
          <w:kern w:val="0"/>
          <w:sz w:val="24"/>
          <w:szCs w:val="24"/>
          <w:highlight w:val="none"/>
        </w:rPr>
        <w:t>3</w:t>
      </w:r>
      <w:r>
        <w:rPr>
          <w:rFonts w:eastAsia="仿宋_GB2312"/>
          <w:color w:val="auto"/>
          <w:kern w:val="0"/>
          <w:sz w:val="24"/>
          <w:szCs w:val="24"/>
          <w:highlight w:val="none"/>
        </w:rPr>
        <w:t>.</w:t>
      </w:r>
      <w:r>
        <w:rPr>
          <w:rFonts w:hint="eastAsia" w:eastAsia="仿宋_GB2312"/>
          <w:color w:val="auto"/>
          <w:kern w:val="0"/>
          <w:sz w:val="24"/>
          <w:szCs w:val="24"/>
          <w:highlight w:val="none"/>
        </w:rPr>
        <w:t>2出具预付款保函、履约保函的银行：中国工商银行、中国农业银行、中国建设银行、中国银行及交通银行等国有制银行，且营业地点在项目所在地市行政辖区内。如承包人使用上述银行外的保函需获得发包人的同意。</w:t>
      </w:r>
    </w:p>
    <w:p w14:paraId="0B6BF9F8">
      <w:pPr>
        <w:spacing w:before="120" w:after="120" w:line="360" w:lineRule="auto"/>
        <w:ind w:firstLine="480" w:firstLineChars="200"/>
        <w:rPr>
          <w:rFonts w:hint="eastAsia" w:eastAsia="仿宋_GB2312"/>
          <w:color w:val="auto"/>
          <w:kern w:val="0"/>
          <w:sz w:val="24"/>
          <w:szCs w:val="24"/>
          <w:highlight w:val="none"/>
        </w:rPr>
      </w:pPr>
      <w:r>
        <w:rPr>
          <w:rFonts w:eastAsia="仿宋_GB2312"/>
          <w:color w:val="auto"/>
          <w:kern w:val="0"/>
          <w:sz w:val="24"/>
          <w:szCs w:val="24"/>
          <w:highlight w:val="none"/>
        </w:rPr>
        <w:t>3.7.</w:t>
      </w:r>
      <w:r>
        <w:rPr>
          <w:rFonts w:hint="eastAsia" w:eastAsia="仿宋_GB2312"/>
          <w:color w:val="auto"/>
          <w:kern w:val="0"/>
          <w:sz w:val="24"/>
          <w:szCs w:val="24"/>
          <w:highlight w:val="none"/>
        </w:rPr>
        <w:t>4预付款保函、履约保函期限和退还：</w:t>
      </w:r>
    </w:p>
    <w:p w14:paraId="4D29CAE8">
      <w:pPr>
        <w:spacing w:before="120" w:after="120" w:line="360" w:lineRule="auto"/>
        <w:ind w:firstLine="480" w:firstLineChars="200"/>
        <w:rPr>
          <w:rFonts w:hint="eastAsia" w:eastAsia="仿宋_GB2312"/>
          <w:color w:val="auto"/>
          <w:kern w:val="0"/>
          <w:sz w:val="24"/>
          <w:szCs w:val="24"/>
          <w:highlight w:val="none"/>
        </w:rPr>
      </w:pPr>
      <w:r>
        <w:rPr>
          <w:rFonts w:eastAsia="仿宋_GB2312"/>
          <w:color w:val="auto"/>
          <w:kern w:val="0"/>
          <w:sz w:val="24"/>
          <w:szCs w:val="24"/>
          <w:highlight w:val="none"/>
        </w:rPr>
        <w:t>3.7.</w:t>
      </w:r>
      <w:r>
        <w:rPr>
          <w:rFonts w:hint="eastAsia" w:eastAsia="仿宋_GB2312"/>
          <w:color w:val="auto"/>
          <w:kern w:val="0"/>
          <w:sz w:val="24"/>
          <w:szCs w:val="24"/>
          <w:highlight w:val="none"/>
        </w:rPr>
        <w:t>4</w:t>
      </w:r>
      <w:r>
        <w:rPr>
          <w:rFonts w:eastAsia="仿宋_GB2312"/>
          <w:color w:val="auto"/>
          <w:kern w:val="0"/>
          <w:sz w:val="24"/>
          <w:szCs w:val="24"/>
          <w:highlight w:val="none"/>
        </w:rPr>
        <w:t>.1</w:t>
      </w:r>
      <w:r>
        <w:rPr>
          <w:rFonts w:hint="eastAsia" w:eastAsia="仿宋_GB2312"/>
          <w:color w:val="auto"/>
          <w:kern w:val="0"/>
          <w:sz w:val="24"/>
          <w:szCs w:val="24"/>
          <w:highlight w:val="none"/>
        </w:rPr>
        <w:t>预付款保函的有效期，是从提供预付款保函之日起至合同预付款抵扣完成之日止。承包人应在预付款保函有效期满后14天内向发包人提交退还预付款保函的申请，发包人须于收到承包人申请后14天内将此保函退还给承包人。</w:t>
      </w:r>
    </w:p>
    <w:p w14:paraId="2C9265B1">
      <w:pPr>
        <w:spacing w:before="120" w:after="120" w:line="360" w:lineRule="auto"/>
        <w:ind w:firstLine="480" w:firstLineChars="200"/>
        <w:rPr>
          <w:rFonts w:hint="eastAsia" w:eastAsia="仿宋_GB2312"/>
          <w:color w:val="auto"/>
          <w:kern w:val="0"/>
          <w:sz w:val="24"/>
          <w:szCs w:val="24"/>
          <w:highlight w:val="none"/>
        </w:rPr>
      </w:pPr>
      <w:r>
        <w:rPr>
          <w:rFonts w:eastAsia="仿宋_GB2312"/>
          <w:color w:val="auto"/>
          <w:kern w:val="0"/>
          <w:sz w:val="24"/>
          <w:szCs w:val="24"/>
          <w:highlight w:val="none"/>
        </w:rPr>
        <w:t>3.7.</w:t>
      </w:r>
      <w:r>
        <w:rPr>
          <w:rFonts w:hint="eastAsia" w:eastAsia="仿宋_GB2312"/>
          <w:color w:val="auto"/>
          <w:kern w:val="0"/>
          <w:sz w:val="24"/>
          <w:szCs w:val="24"/>
          <w:highlight w:val="none"/>
        </w:rPr>
        <w:t>4</w:t>
      </w:r>
      <w:r>
        <w:rPr>
          <w:rFonts w:eastAsia="仿宋_GB2312"/>
          <w:color w:val="auto"/>
          <w:kern w:val="0"/>
          <w:sz w:val="24"/>
          <w:szCs w:val="24"/>
          <w:highlight w:val="none"/>
        </w:rPr>
        <w:t>.2</w:t>
      </w:r>
      <w:r>
        <w:rPr>
          <w:rFonts w:hint="eastAsia" w:eastAsia="仿宋_GB2312"/>
          <w:color w:val="auto"/>
          <w:kern w:val="0"/>
          <w:sz w:val="24"/>
          <w:szCs w:val="24"/>
          <w:highlight w:val="none"/>
        </w:rPr>
        <w:t>履约担保的有效期，是从提供履约担保之日起至合同工程竣工验收合格之日后180日止。发包人应在履约保函有效期满后的14 天内将此保函退还给承包人。</w:t>
      </w:r>
    </w:p>
    <w:p w14:paraId="53B79D9F">
      <w:pPr>
        <w:spacing w:before="120" w:after="120" w:line="360" w:lineRule="auto"/>
        <w:ind w:firstLine="480" w:firstLineChars="200"/>
        <w:rPr>
          <w:rFonts w:hint="eastAsia" w:eastAsia="仿宋_GB2312"/>
          <w:color w:val="auto"/>
          <w:kern w:val="0"/>
          <w:sz w:val="24"/>
          <w:szCs w:val="24"/>
          <w:highlight w:val="none"/>
        </w:rPr>
      </w:pPr>
      <w:r>
        <w:rPr>
          <w:rFonts w:hint="eastAsia" w:eastAsia="仿宋_GB2312"/>
          <w:color w:val="auto"/>
          <w:kern w:val="0"/>
          <w:sz w:val="24"/>
          <w:szCs w:val="24"/>
          <w:highlight w:val="none"/>
        </w:rPr>
        <w:t>3.7.4.3 承包人未按合同约定提交预付款保函及履约保函的，发包人有权待承包人提交预付款保函、履约保函后再向承包人支付款项，由此导致现场停工，引起工期延误的，由承包人自行承担责任。造成节点工期延误的，须按7.5.2条约定承担工期延误违约责任。</w:t>
      </w:r>
    </w:p>
    <w:p w14:paraId="24FE34BB">
      <w:pPr>
        <w:spacing w:before="120" w:after="120" w:line="360" w:lineRule="auto"/>
        <w:ind w:firstLine="480" w:firstLineChars="200"/>
        <w:rPr>
          <w:rFonts w:hint="eastAsia" w:eastAsia="仿宋_GB2312"/>
          <w:color w:val="auto"/>
          <w:kern w:val="0"/>
          <w:sz w:val="24"/>
          <w:szCs w:val="24"/>
          <w:highlight w:val="none"/>
        </w:rPr>
      </w:pPr>
      <w:r>
        <w:rPr>
          <w:rFonts w:hint="eastAsia" w:eastAsia="仿宋_GB2312"/>
          <w:color w:val="auto"/>
          <w:kern w:val="0"/>
          <w:sz w:val="24"/>
          <w:szCs w:val="24"/>
          <w:highlight w:val="none"/>
        </w:rPr>
        <w:t xml:space="preserve">3.7.4.4承包人须保证预付款保函、履约保函在担保期限内持续有效，否则发包人有权单方面解除合同或暂停支付合同款项，承包人须无条件接受，并承担由此给发包人造成的损失、费用增加及工期延误的责任。 </w:t>
      </w:r>
    </w:p>
    <w:p w14:paraId="67E5FA91">
      <w:pPr>
        <w:spacing w:before="120" w:after="120" w:line="360" w:lineRule="auto"/>
        <w:ind w:firstLine="480" w:firstLineChars="200"/>
        <w:rPr>
          <w:rFonts w:hint="eastAsia" w:eastAsia="仿宋_GB2312"/>
          <w:color w:val="auto"/>
          <w:kern w:val="0"/>
          <w:sz w:val="24"/>
          <w:szCs w:val="24"/>
          <w:highlight w:val="none"/>
        </w:rPr>
      </w:pPr>
      <w:r>
        <w:rPr>
          <w:rFonts w:hint="eastAsia" w:eastAsia="仿宋_GB2312"/>
          <w:color w:val="auto"/>
          <w:kern w:val="0"/>
          <w:sz w:val="24"/>
          <w:szCs w:val="24"/>
          <w:highlight w:val="none"/>
        </w:rPr>
        <w:t>3.7.5发包人向承包人提供支付担保的约定：发包人按合同约定支付工程预付款及工程进度款等合同款项，不向承包人提供支付担保。</w:t>
      </w:r>
    </w:p>
    <w:p w14:paraId="28B125DB">
      <w:pPr>
        <w:spacing w:before="120" w:after="120" w:line="360" w:lineRule="auto"/>
        <w:ind w:firstLine="480" w:firstLineChars="200"/>
        <w:rPr>
          <w:rFonts w:hint="eastAsia" w:eastAsia="仿宋_GB2312"/>
          <w:color w:val="auto"/>
          <w:kern w:val="0"/>
          <w:sz w:val="24"/>
          <w:szCs w:val="24"/>
          <w:highlight w:val="none"/>
        </w:rPr>
      </w:pPr>
      <w:r>
        <w:rPr>
          <w:rFonts w:eastAsia="仿宋_GB2312"/>
          <w:color w:val="auto"/>
          <w:kern w:val="0"/>
          <w:sz w:val="24"/>
          <w:szCs w:val="24"/>
          <w:highlight w:val="none"/>
        </w:rPr>
        <w:t>3.7.</w:t>
      </w:r>
      <w:r>
        <w:rPr>
          <w:rFonts w:hint="eastAsia" w:eastAsia="仿宋_GB2312"/>
          <w:color w:val="auto"/>
          <w:kern w:val="0"/>
          <w:sz w:val="24"/>
          <w:szCs w:val="24"/>
          <w:highlight w:val="none"/>
        </w:rPr>
        <w:t>6如合同工期延长或发生延误时，履约保函的有效期必须延长，而相应的费用由承包人自行承担。</w:t>
      </w:r>
    </w:p>
    <w:p w14:paraId="2D374EB3">
      <w:pPr>
        <w:pStyle w:val="6"/>
        <w:spacing w:before="120" w:after="120" w:line="360" w:lineRule="auto"/>
        <w:rPr>
          <w:rFonts w:ascii="Times New Roman" w:hAnsi="Times New Roman" w:eastAsia="黑体"/>
          <w:b w:val="0"/>
          <w:color w:val="auto"/>
          <w:sz w:val="24"/>
          <w:szCs w:val="24"/>
          <w:highlight w:val="none"/>
        </w:rPr>
      </w:pPr>
      <w:bookmarkStart w:id="594" w:name="_Toc32835773"/>
      <w:r>
        <w:rPr>
          <w:rFonts w:ascii="Times New Roman" w:hAnsi="Times New Roman" w:eastAsia="黑体"/>
          <w:b w:val="0"/>
          <w:color w:val="auto"/>
          <w:sz w:val="24"/>
          <w:szCs w:val="24"/>
          <w:highlight w:val="none"/>
        </w:rPr>
        <w:t>4</w:t>
      </w:r>
      <w:bookmarkStart w:id="595" w:name="_Toc297120462"/>
      <w:bookmarkStart w:id="596" w:name="_Toc296891202"/>
      <w:bookmarkStart w:id="597" w:name="_Toc267251413"/>
      <w:bookmarkStart w:id="598" w:name="_Toc292559871"/>
      <w:bookmarkStart w:id="599" w:name="_Toc296944501"/>
      <w:bookmarkStart w:id="600" w:name="_Toc296346663"/>
      <w:bookmarkStart w:id="601" w:name="_Toc296347161"/>
      <w:bookmarkStart w:id="602" w:name="_Toc296503162"/>
      <w:bookmarkStart w:id="603" w:name="_Toc297048348"/>
      <w:bookmarkStart w:id="604" w:name="_Toc292559366"/>
      <w:bookmarkStart w:id="605" w:name="_Toc296890990"/>
      <w:r>
        <w:rPr>
          <w:rFonts w:ascii="Times New Roman" w:hAnsi="Times New Roman" w:eastAsia="黑体"/>
          <w:b w:val="0"/>
          <w:color w:val="auto"/>
          <w:sz w:val="24"/>
          <w:szCs w:val="24"/>
          <w:highlight w:val="none"/>
        </w:rPr>
        <w:t>. 监</w:t>
      </w:r>
      <w:bookmarkEnd w:id="595"/>
      <w:bookmarkEnd w:id="596"/>
      <w:bookmarkEnd w:id="597"/>
      <w:bookmarkEnd w:id="598"/>
      <w:bookmarkEnd w:id="599"/>
      <w:bookmarkEnd w:id="600"/>
      <w:bookmarkEnd w:id="601"/>
      <w:bookmarkEnd w:id="602"/>
      <w:bookmarkEnd w:id="603"/>
      <w:bookmarkEnd w:id="604"/>
      <w:bookmarkEnd w:id="605"/>
      <w:r>
        <w:rPr>
          <w:rFonts w:ascii="Times New Roman" w:hAnsi="Times New Roman" w:eastAsia="黑体"/>
          <w:b w:val="0"/>
          <w:color w:val="auto"/>
          <w:sz w:val="24"/>
          <w:szCs w:val="24"/>
          <w:highlight w:val="none"/>
        </w:rPr>
        <w:t>理人</w:t>
      </w:r>
      <w:bookmarkEnd w:id="594"/>
    </w:p>
    <w:p w14:paraId="70843E02">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4.1监理人的一般规定</w:t>
      </w:r>
    </w:p>
    <w:p w14:paraId="2F4CCB02">
      <w:pPr>
        <w:spacing w:line="360" w:lineRule="auto"/>
        <w:ind w:firstLine="480" w:firstLineChars="200"/>
        <w:jc w:val="left"/>
        <w:rPr>
          <w:rFonts w:eastAsia="仿宋_GB2312"/>
          <w:color w:val="auto"/>
          <w:sz w:val="24"/>
          <w:szCs w:val="24"/>
          <w:highlight w:val="none"/>
          <w:u w:val="single"/>
        </w:rPr>
      </w:pPr>
      <w:r>
        <w:rPr>
          <w:rFonts w:eastAsia="仿宋_GB2312"/>
          <w:color w:val="auto"/>
          <w:sz w:val="24"/>
          <w:szCs w:val="24"/>
          <w:highlight w:val="none"/>
        </w:rPr>
        <w:t>关于监理人的监理内容：</w:t>
      </w:r>
      <w:r>
        <w:rPr>
          <w:rFonts w:hint="eastAsia" w:eastAsia="仿宋_GB2312"/>
          <w:color w:val="auto"/>
          <w:sz w:val="24"/>
          <w:szCs w:val="24"/>
          <w:highlight w:val="none"/>
          <w:u w:val="single"/>
        </w:rPr>
        <w:t>本工程施工项目的所有工程内容</w:t>
      </w:r>
      <w:r>
        <w:rPr>
          <w:rFonts w:eastAsia="仿宋_GB2312"/>
          <w:color w:val="auto"/>
          <w:sz w:val="24"/>
          <w:szCs w:val="24"/>
          <w:highlight w:val="none"/>
          <w:u w:val="single"/>
        </w:rPr>
        <w:t>。</w:t>
      </w:r>
    </w:p>
    <w:p w14:paraId="2B10B1A4">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监理人行使合同明文规定或必然隐含的职权，代表发包人负责监督和检查工程的质量、进度、安全文明施工；试验和检验承包人使用的与合同工程有关的材料、设备和工艺；负责工地签证、返工窝工等记录，负责协助发包人进行工程计量计价审核、工程款的审核、结算价款审核等工作；负责工期索赔的协调；协助费用索赔协调并公正作证等。及时向承包人提供工作所需的指令、批准和通知等。监理人无权免除合同任何一方在合同履行期间应负的任何责任和义务。</w:t>
      </w:r>
    </w:p>
    <w:p w14:paraId="596707A5">
      <w:pPr>
        <w:spacing w:line="360" w:lineRule="auto"/>
        <w:ind w:firstLine="480" w:firstLineChars="200"/>
        <w:rPr>
          <w:rFonts w:hint="eastAsia" w:ascii="仿宋" w:hAnsi="仿宋" w:eastAsia="仿宋"/>
          <w:color w:val="auto"/>
          <w:sz w:val="22"/>
          <w:highlight w:val="none"/>
        </w:rPr>
      </w:pPr>
      <w:r>
        <w:rPr>
          <w:rFonts w:eastAsia="仿宋_GB2312"/>
          <w:color w:val="auto"/>
          <w:sz w:val="24"/>
          <w:szCs w:val="24"/>
          <w:highlight w:val="none"/>
        </w:rPr>
        <w:t>关于监理人的监理权限：</w:t>
      </w:r>
      <w:r>
        <w:rPr>
          <w:rFonts w:hint="eastAsia" w:ascii="仿宋" w:hAnsi="仿宋" w:eastAsia="仿宋"/>
          <w:color w:val="auto"/>
          <w:sz w:val="22"/>
          <w:highlight w:val="none"/>
        </w:rPr>
        <w:t xml:space="preserve">  </w:t>
      </w:r>
    </w:p>
    <w:p w14:paraId="69263E5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（1）审批工程施工组织设计和技术方案，按照保质量、保工期和降低成本的原则，向总承包人提出建议，并向发包人提出书面报告；</w:t>
      </w:r>
    </w:p>
    <w:p w14:paraId="7E99D79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（2）主持工程建设有关协作单位的组织协调，重要协调事项应当事先向发包人报告；</w:t>
      </w:r>
    </w:p>
    <w:p w14:paraId="4864A0AA">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（3）征得发包人同意，监理人有权发布开工令、停工令、复工令，但应当事先向发包人报告。如在紧急情况下未能事先报告时，则应在24小时内向发包人做出书面报告；</w:t>
      </w:r>
    </w:p>
    <w:p w14:paraId="460A76BD">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4）工程上使用的材料和施工质量的检验权。对于不符合设计要求和合同约定及国家质量标准的材料、构配件、设备，有权通知总承包人停止使用。对于不符合规范和质量标准的工序、分部、分项工程和不安全施工作业，有权通知承包人停工整改、返工。承包人得到监理人复工令后才能复工。监理人对工程的检验认可不免除承包人对工程质量和安全应承担的任何责任，承包人仍然要对工程质量和施工安全承担全部责任；</w:t>
      </w:r>
    </w:p>
    <w:p w14:paraId="4E6C8FEF">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（5）工程施工进度的检查、监督权，以及工程实际竣工日期提前或超过工程施工合同规定的竣工期限的签认权；</w:t>
      </w:r>
    </w:p>
    <w:p w14:paraId="7D344883">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（6）国家、省、市及建设行政主管部门颁布的法律、法规所赋予的监理人的权力。</w:t>
      </w:r>
    </w:p>
    <w:p w14:paraId="38C1C9DB">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（7）除发包人另有约定外，原则上发包人、承包人双方的工作往来均需先经过监理单位，由监理单位签署意见后报发包人。</w:t>
      </w:r>
    </w:p>
    <w:p w14:paraId="08793263">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关于监理人在施工现场的办公场所、生活场所的提供和费用承担的约定：</w:t>
      </w:r>
      <w:r>
        <w:rPr>
          <w:rFonts w:hint="eastAsia" w:eastAsia="仿宋_GB2312"/>
          <w:color w:val="auto"/>
          <w:sz w:val="24"/>
          <w:szCs w:val="24"/>
          <w:highlight w:val="none"/>
        </w:rPr>
        <w:t>承包人应按本合同约定向监理人提供</w:t>
      </w:r>
      <w:r>
        <w:rPr>
          <w:rFonts w:eastAsia="仿宋_GB2312"/>
          <w:color w:val="auto"/>
          <w:sz w:val="24"/>
          <w:szCs w:val="24"/>
          <w:highlight w:val="none"/>
        </w:rPr>
        <w:t>办公场所</w:t>
      </w:r>
      <w:r>
        <w:rPr>
          <w:rFonts w:hint="eastAsia" w:eastAsia="仿宋_GB2312"/>
          <w:color w:val="auto"/>
          <w:sz w:val="24"/>
          <w:szCs w:val="24"/>
          <w:highlight w:val="none"/>
        </w:rPr>
        <w:t>及家具并承担相应费用。</w:t>
      </w:r>
    </w:p>
    <w:p w14:paraId="3B6764FC">
      <w:pPr>
        <w:spacing w:line="360" w:lineRule="auto"/>
        <w:ind w:firstLine="480" w:firstLineChars="200"/>
        <w:rPr>
          <w:rFonts w:eastAsia="黑体"/>
          <w:color w:val="auto"/>
          <w:sz w:val="24"/>
          <w:szCs w:val="24"/>
          <w:highlight w:val="none"/>
        </w:rPr>
      </w:pPr>
      <w:r>
        <w:rPr>
          <w:rFonts w:eastAsia="黑体"/>
          <w:color w:val="auto"/>
          <w:sz w:val="24"/>
          <w:szCs w:val="24"/>
          <w:highlight w:val="none"/>
        </w:rPr>
        <w:t>4.2 监理人员</w:t>
      </w:r>
    </w:p>
    <w:p w14:paraId="3F6D7A5F">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总监理工程师：</w:t>
      </w:r>
    </w:p>
    <w:p w14:paraId="4A76420E">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姓    名：</w:t>
      </w:r>
      <w:r>
        <w:rPr>
          <w:rFonts w:eastAsia="仿宋_GB2312"/>
          <w:color w:val="auto"/>
          <w:sz w:val="24"/>
          <w:szCs w:val="24"/>
          <w:highlight w:val="none"/>
          <w:u w:val="single"/>
        </w:rPr>
        <w:t>   </w:t>
      </w:r>
      <w:r>
        <w:rPr>
          <w:rFonts w:eastAsia="仿宋_GB2312"/>
          <w:color w:val="auto"/>
          <w:sz w:val="24"/>
          <w:szCs w:val="24"/>
          <w:highlight w:val="none"/>
        </w:rPr>
        <w:t>；</w:t>
      </w:r>
    </w:p>
    <w:p w14:paraId="79D59FAF">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职    务：</w:t>
      </w:r>
      <w:r>
        <w:rPr>
          <w:rFonts w:eastAsia="仿宋_GB2312"/>
          <w:color w:val="auto"/>
          <w:sz w:val="24"/>
          <w:szCs w:val="24"/>
          <w:highlight w:val="none"/>
          <w:u w:val="single"/>
        </w:rPr>
        <w:t>   </w:t>
      </w:r>
      <w:r>
        <w:rPr>
          <w:rFonts w:eastAsia="仿宋_GB2312"/>
          <w:color w:val="auto"/>
          <w:sz w:val="24"/>
          <w:szCs w:val="24"/>
          <w:highlight w:val="none"/>
        </w:rPr>
        <w:t>；</w:t>
      </w:r>
    </w:p>
    <w:p w14:paraId="2E76CEEB">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监理工程师执业资格证书号：</w:t>
      </w:r>
      <w:r>
        <w:rPr>
          <w:rFonts w:eastAsia="仿宋_GB2312"/>
          <w:color w:val="auto"/>
          <w:sz w:val="24"/>
          <w:szCs w:val="24"/>
          <w:highlight w:val="none"/>
          <w:u w:val="single"/>
        </w:rPr>
        <w:t> </w:t>
      </w:r>
      <w:r>
        <w:rPr>
          <w:rFonts w:eastAsia="仿宋_GB2312"/>
          <w:color w:val="auto"/>
          <w:sz w:val="24"/>
          <w:szCs w:val="24"/>
          <w:highlight w:val="none"/>
        </w:rPr>
        <w:t>；</w:t>
      </w:r>
    </w:p>
    <w:p w14:paraId="139DCCEC">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联系电话：</w:t>
      </w:r>
      <w:r>
        <w:rPr>
          <w:rFonts w:hint="eastAsia" w:eastAsia="仿宋_GB2312"/>
          <w:color w:val="auto"/>
          <w:sz w:val="24"/>
          <w:szCs w:val="24"/>
          <w:highlight w:val="none"/>
          <w:u w:val="single"/>
        </w:rPr>
        <w:t>合同履行时另行确定</w:t>
      </w:r>
      <w:r>
        <w:rPr>
          <w:rFonts w:eastAsia="仿宋_GB2312"/>
          <w:color w:val="auto"/>
          <w:sz w:val="24"/>
          <w:szCs w:val="24"/>
          <w:highlight w:val="none"/>
          <w:u w:val="single"/>
        </w:rPr>
        <w:t>  </w:t>
      </w:r>
      <w:r>
        <w:rPr>
          <w:rFonts w:eastAsia="仿宋_GB2312"/>
          <w:color w:val="auto"/>
          <w:sz w:val="24"/>
          <w:szCs w:val="24"/>
          <w:highlight w:val="none"/>
        </w:rPr>
        <w:t>；</w:t>
      </w:r>
    </w:p>
    <w:p w14:paraId="21A369C4">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电子信箱：</w:t>
      </w:r>
      <w:r>
        <w:rPr>
          <w:rFonts w:hint="eastAsia" w:eastAsia="仿宋_GB2312"/>
          <w:color w:val="auto"/>
          <w:sz w:val="24"/>
          <w:szCs w:val="24"/>
          <w:highlight w:val="none"/>
          <w:u w:val="single"/>
        </w:rPr>
        <w:t>合同履行时另行确定</w:t>
      </w:r>
      <w:r>
        <w:rPr>
          <w:rFonts w:eastAsia="仿宋_GB2312"/>
          <w:color w:val="auto"/>
          <w:sz w:val="24"/>
          <w:szCs w:val="24"/>
          <w:highlight w:val="none"/>
          <w:u w:val="single"/>
        </w:rPr>
        <w:t xml:space="preserve">   </w:t>
      </w:r>
      <w:r>
        <w:rPr>
          <w:rFonts w:eastAsia="仿宋_GB2312"/>
          <w:color w:val="auto"/>
          <w:sz w:val="24"/>
          <w:szCs w:val="24"/>
          <w:highlight w:val="none"/>
        </w:rPr>
        <w:t>；</w:t>
      </w:r>
    </w:p>
    <w:p w14:paraId="19432EAA">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通信地址：</w:t>
      </w:r>
      <w:r>
        <w:rPr>
          <w:rFonts w:hint="eastAsia" w:eastAsia="仿宋_GB2312"/>
          <w:color w:val="auto"/>
          <w:sz w:val="24"/>
          <w:szCs w:val="24"/>
          <w:highlight w:val="none"/>
          <w:u w:val="single"/>
        </w:rPr>
        <w:t>合同履行时另行确定</w:t>
      </w:r>
      <w:r>
        <w:rPr>
          <w:rFonts w:eastAsia="仿宋_GB2312"/>
          <w:color w:val="auto"/>
          <w:sz w:val="24"/>
          <w:szCs w:val="24"/>
          <w:highlight w:val="none"/>
          <w:u w:val="single"/>
        </w:rPr>
        <w:t> </w:t>
      </w:r>
      <w:r>
        <w:rPr>
          <w:rFonts w:hint="eastAsia" w:eastAsia="仿宋_GB2312"/>
          <w:color w:val="auto"/>
          <w:sz w:val="24"/>
          <w:szCs w:val="24"/>
          <w:highlight w:val="none"/>
          <w:u w:val="single"/>
        </w:rPr>
        <w:t xml:space="preserve">  </w:t>
      </w:r>
      <w:r>
        <w:rPr>
          <w:rFonts w:eastAsia="仿宋_GB2312"/>
          <w:color w:val="auto"/>
          <w:sz w:val="24"/>
          <w:szCs w:val="24"/>
          <w:highlight w:val="none"/>
        </w:rPr>
        <w:t>；</w:t>
      </w:r>
    </w:p>
    <w:p w14:paraId="33A22F4D">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关于监理人的其他约定：</w:t>
      </w:r>
      <w:r>
        <w:rPr>
          <w:rFonts w:hint="eastAsia" w:eastAsia="仿宋_GB2312"/>
          <w:color w:val="auto"/>
          <w:sz w:val="24"/>
          <w:szCs w:val="24"/>
          <w:highlight w:val="none"/>
          <w:u w:val="single"/>
        </w:rPr>
        <w:t>按监理合同规定</w:t>
      </w:r>
      <w:r>
        <w:rPr>
          <w:rFonts w:eastAsia="仿宋_GB2312"/>
          <w:color w:val="auto"/>
          <w:sz w:val="24"/>
          <w:szCs w:val="24"/>
          <w:highlight w:val="none"/>
        </w:rPr>
        <w:t>。</w:t>
      </w:r>
    </w:p>
    <w:p w14:paraId="6FEFDC62">
      <w:pPr>
        <w:pStyle w:val="6"/>
        <w:spacing w:before="120" w:after="120" w:line="360" w:lineRule="auto"/>
        <w:rPr>
          <w:rFonts w:ascii="Times New Roman" w:hAnsi="Times New Roman" w:eastAsia="黑体"/>
          <w:b w:val="0"/>
          <w:color w:val="auto"/>
          <w:sz w:val="24"/>
          <w:szCs w:val="24"/>
          <w:highlight w:val="none"/>
        </w:rPr>
      </w:pPr>
      <w:bookmarkStart w:id="606" w:name="_Toc267251418"/>
      <w:bookmarkStart w:id="607" w:name="_Toc32835774"/>
      <w:r>
        <w:rPr>
          <w:rFonts w:ascii="Times New Roman" w:hAnsi="Times New Roman" w:eastAsia="黑体"/>
          <w:b w:val="0"/>
          <w:color w:val="auto"/>
          <w:sz w:val="24"/>
          <w:szCs w:val="24"/>
          <w:highlight w:val="none"/>
        </w:rPr>
        <w:t>5</w:t>
      </w:r>
      <w:bookmarkEnd w:id="606"/>
      <w:bookmarkStart w:id="608" w:name="_Toc296891203"/>
      <w:bookmarkStart w:id="609" w:name="_Toc297048349"/>
      <w:bookmarkStart w:id="610" w:name="_Toc296346664"/>
      <w:bookmarkStart w:id="611" w:name="_Toc292559872"/>
      <w:bookmarkStart w:id="612" w:name="_Toc297120463"/>
      <w:bookmarkStart w:id="613" w:name="_Toc296503163"/>
      <w:bookmarkStart w:id="614" w:name="_Toc296944502"/>
      <w:bookmarkStart w:id="615" w:name="_Toc296890991"/>
      <w:bookmarkStart w:id="616" w:name="_Toc296347162"/>
      <w:bookmarkStart w:id="617" w:name="_Toc292559367"/>
      <w:r>
        <w:rPr>
          <w:rFonts w:ascii="Times New Roman" w:hAnsi="Times New Roman" w:eastAsia="黑体"/>
          <w:b w:val="0"/>
          <w:color w:val="auto"/>
          <w:sz w:val="24"/>
          <w:szCs w:val="24"/>
          <w:highlight w:val="none"/>
        </w:rPr>
        <w:t>. 工程质量</w:t>
      </w:r>
      <w:bookmarkEnd w:id="607"/>
    </w:p>
    <w:p w14:paraId="5B5CEAE0">
      <w:pPr>
        <w:spacing w:after="120" w:line="360" w:lineRule="auto"/>
        <w:ind w:firstLine="480" w:firstLineChars="200"/>
        <w:outlineLvl w:val="0"/>
        <w:rPr>
          <w:rFonts w:eastAsia="黑体"/>
          <w:color w:val="auto"/>
          <w:sz w:val="24"/>
          <w:szCs w:val="24"/>
          <w:highlight w:val="none"/>
        </w:rPr>
      </w:pPr>
      <w:bookmarkStart w:id="618" w:name="_Toc32835775"/>
      <w:r>
        <w:rPr>
          <w:rFonts w:eastAsia="黑体"/>
          <w:color w:val="auto"/>
          <w:sz w:val="24"/>
          <w:szCs w:val="24"/>
          <w:highlight w:val="none"/>
        </w:rPr>
        <w:t>5.1 质量要求</w:t>
      </w:r>
      <w:bookmarkEnd w:id="618"/>
    </w:p>
    <w:p w14:paraId="3451836E">
      <w:pPr>
        <w:spacing w:before="120" w:after="120" w:line="360" w:lineRule="auto"/>
        <w:ind w:firstLine="482" w:firstLineChars="200"/>
        <w:rPr>
          <w:rFonts w:hint="eastAsia" w:eastAsia="仿宋_GB2312"/>
          <w:b/>
          <w:bCs/>
          <w:color w:val="auto"/>
          <w:kern w:val="0"/>
          <w:sz w:val="24"/>
          <w:szCs w:val="24"/>
          <w:highlight w:val="none"/>
        </w:rPr>
      </w:pPr>
      <w:bookmarkStart w:id="619" w:name="_Toc297216155"/>
      <w:bookmarkStart w:id="620" w:name="_Toc318581164"/>
      <w:bookmarkStart w:id="621" w:name="_Toc304295527"/>
      <w:bookmarkStart w:id="622" w:name="_Toc312677997"/>
      <w:bookmarkStart w:id="623" w:name="_Toc297123496"/>
      <w:bookmarkStart w:id="624" w:name="_Toc303539106"/>
      <w:bookmarkStart w:id="625" w:name="_Toc300934949"/>
      <w:r>
        <w:rPr>
          <w:rFonts w:hint="eastAsia" w:eastAsia="仿宋_GB2312"/>
          <w:b/>
          <w:bCs/>
          <w:color w:val="auto"/>
          <w:kern w:val="0"/>
          <w:sz w:val="24"/>
          <w:szCs w:val="24"/>
          <w:highlight w:val="none"/>
        </w:rPr>
        <w:t>通用条款</w:t>
      </w:r>
      <w:r>
        <w:rPr>
          <w:rFonts w:eastAsia="仿宋_GB2312"/>
          <w:b/>
          <w:bCs/>
          <w:color w:val="auto"/>
          <w:kern w:val="0"/>
          <w:sz w:val="24"/>
          <w:szCs w:val="24"/>
          <w:highlight w:val="none"/>
        </w:rPr>
        <w:t>5.1.</w:t>
      </w:r>
      <w:r>
        <w:rPr>
          <w:rFonts w:hint="eastAsia" w:eastAsia="仿宋_GB2312"/>
          <w:b/>
          <w:bCs/>
          <w:color w:val="auto"/>
          <w:kern w:val="0"/>
          <w:sz w:val="24"/>
          <w:szCs w:val="24"/>
          <w:highlight w:val="none"/>
        </w:rPr>
        <w:t>1~</w:t>
      </w:r>
      <w:r>
        <w:rPr>
          <w:rFonts w:eastAsia="仿宋_GB2312"/>
          <w:b/>
          <w:bCs/>
          <w:color w:val="auto"/>
          <w:kern w:val="0"/>
          <w:sz w:val="24"/>
          <w:szCs w:val="24"/>
          <w:highlight w:val="none"/>
        </w:rPr>
        <w:t>5.1.</w:t>
      </w:r>
      <w:r>
        <w:rPr>
          <w:rFonts w:hint="eastAsia" w:eastAsia="仿宋_GB2312"/>
          <w:b/>
          <w:bCs/>
          <w:color w:val="auto"/>
          <w:kern w:val="0"/>
          <w:sz w:val="24"/>
          <w:szCs w:val="24"/>
          <w:highlight w:val="none"/>
        </w:rPr>
        <w:t>3不适用，替换为：</w:t>
      </w:r>
    </w:p>
    <w:p w14:paraId="73FC9BF2">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5.1.</w:t>
      </w:r>
      <w:r>
        <w:rPr>
          <w:rFonts w:hint="eastAsia" w:eastAsia="仿宋_GB2312"/>
          <w:color w:val="auto"/>
          <w:sz w:val="24"/>
          <w:szCs w:val="24"/>
          <w:highlight w:val="none"/>
        </w:rPr>
        <w:t>1</w:t>
      </w:r>
      <w:r>
        <w:rPr>
          <w:rFonts w:eastAsia="仿宋_GB2312"/>
          <w:color w:val="auto"/>
          <w:sz w:val="24"/>
          <w:szCs w:val="24"/>
          <w:highlight w:val="none"/>
        </w:rPr>
        <w:t xml:space="preserve"> </w:t>
      </w:r>
      <w:r>
        <w:rPr>
          <w:rFonts w:hint="eastAsia" w:eastAsia="仿宋_GB2312"/>
          <w:color w:val="auto"/>
          <w:sz w:val="24"/>
          <w:szCs w:val="24"/>
          <w:highlight w:val="none"/>
        </w:rPr>
        <w:t>工程质量目标：</w:t>
      </w:r>
      <w:r>
        <w:rPr>
          <w:rFonts w:eastAsia="仿宋_GB2312"/>
          <w:color w:val="auto"/>
          <w:sz w:val="24"/>
          <w:szCs w:val="24"/>
          <w:highlight w:val="none"/>
        </w:rPr>
        <w:t>质量一次性验收合格。质量验收以国家</w:t>
      </w:r>
      <w:r>
        <w:rPr>
          <w:rFonts w:hint="eastAsia" w:eastAsia="仿宋_GB2312"/>
          <w:color w:val="auto"/>
          <w:sz w:val="24"/>
          <w:szCs w:val="24"/>
          <w:highlight w:val="none"/>
        </w:rPr>
        <w:t>、地方</w:t>
      </w:r>
      <w:r>
        <w:rPr>
          <w:rFonts w:eastAsia="仿宋_GB2312"/>
          <w:color w:val="auto"/>
          <w:sz w:val="24"/>
          <w:szCs w:val="24"/>
          <w:highlight w:val="none"/>
        </w:rPr>
        <w:t>或行业的质量验收统一标准为依据，合同有约定的、并且约定的验收标准高于国家</w:t>
      </w:r>
      <w:r>
        <w:rPr>
          <w:rFonts w:hint="eastAsia" w:eastAsia="仿宋_GB2312"/>
          <w:color w:val="auto"/>
          <w:sz w:val="24"/>
          <w:szCs w:val="24"/>
          <w:highlight w:val="none"/>
        </w:rPr>
        <w:t>、地方</w:t>
      </w:r>
      <w:r>
        <w:rPr>
          <w:rFonts w:eastAsia="仿宋_GB2312"/>
          <w:color w:val="auto"/>
          <w:sz w:val="24"/>
          <w:szCs w:val="24"/>
          <w:highlight w:val="none"/>
        </w:rPr>
        <w:t>或行业标准的，以合同约定标准为依据。</w:t>
      </w:r>
    </w:p>
    <w:p w14:paraId="1434C83D">
      <w:pPr>
        <w:autoSpaceDE w:val="0"/>
        <w:autoSpaceDN w:val="0"/>
        <w:adjustRightInd w:val="0"/>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 xml:space="preserve">关于工程奖项的约定：          </w:t>
      </w:r>
    </w:p>
    <w:p w14:paraId="7AA5D584">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5.1.2 因发包人原因造成工程质量未达到合同约定标准的，由发包人承担由此增加的费用和（或）延误的工期。</w:t>
      </w:r>
    </w:p>
    <w:p w14:paraId="568B7F69">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5.1.3 因承包人原因造成工程质量未达到合同约定标准的，发包人有权要求承包人返工直至工程质量达到合同约定的标准为止，并由承包人承担由此增加的费用和（或）延误的工期</w:t>
      </w:r>
      <w:r>
        <w:rPr>
          <w:rFonts w:hint="eastAsia" w:eastAsia="仿宋_GB2312"/>
          <w:color w:val="auto"/>
          <w:sz w:val="24"/>
          <w:szCs w:val="24"/>
          <w:highlight w:val="none"/>
        </w:rPr>
        <w:t>，引起关键工期延期的，承包人须按本合同约定承担违约责任。</w:t>
      </w:r>
    </w:p>
    <w:p w14:paraId="7E59865A">
      <w:pPr>
        <w:spacing w:before="120" w:after="120" w:line="360" w:lineRule="auto"/>
        <w:ind w:firstLine="482" w:firstLineChars="200"/>
        <w:rPr>
          <w:rFonts w:hint="eastAsia" w:eastAsia="仿宋_GB2312"/>
          <w:color w:val="auto"/>
          <w:kern w:val="0"/>
          <w:sz w:val="24"/>
          <w:szCs w:val="24"/>
          <w:highlight w:val="none"/>
        </w:rPr>
      </w:pPr>
      <w:r>
        <w:rPr>
          <w:rFonts w:hint="eastAsia" w:eastAsia="仿宋_GB2312"/>
          <w:b/>
          <w:bCs/>
          <w:color w:val="auto"/>
          <w:kern w:val="0"/>
          <w:sz w:val="24"/>
          <w:szCs w:val="24"/>
          <w:highlight w:val="none"/>
        </w:rPr>
        <w:t>增加</w:t>
      </w:r>
      <w:r>
        <w:rPr>
          <w:rFonts w:eastAsia="仿宋_GB2312"/>
          <w:b/>
          <w:bCs/>
          <w:color w:val="auto"/>
          <w:kern w:val="0"/>
          <w:sz w:val="24"/>
          <w:szCs w:val="24"/>
          <w:highlight w:val="none"/>
        </w:rPr>
        <w:t>5.1.4</w:t>
      </w:r>
      <w:r>
        <w:rPr>
          <w:rFonts w:hint="eastAsia" w:eastAsia="仿宋_GB2312"/>
          <w:b/>
          <w:bCs/>
          <w:color w:val="auto"/>
          <w:kern w:val="0"/>
          <w:sz w:val="24"/>
          <w:szCs w:val="24"/>
          <w:highlight w:val="none"/>
        </w:rPr>
        <w:t>~</w:t>
      </w:r>
      <w:r>
        <w:rPr>
          <w:rFonts w:eastAsia="仿宋_GB2312"/>
          <w:b/>
          <w:bCs/>
          <w:color w:val="auto"/>
          <w:kern w:val="0"/>
          <w:sz w:val="24"/>
          <w:szCs w:val="24"/>
          <w:highlight w:val="none"/>
        </w:rPr>
        <w:t>5.1.</w:t>
      </w:r>
      <w:r>
        <w:rPr>
          <w:rFonts w:hint="eastAsia" w:eastAsia="仿宋_GB2312"/>
          <w:b/>
          <w:bCs/>
          <w:color w:val="auto"/>
          <w:kern w:val="0"/>
          <w:sz w:val="24"/>
          <w:szCs w:val="24"/>
          <w:highlight w:val="none"/>
        </w:rPr>
        <w:t>7条款，具体如下：</w:t>
      </w:r>
    </w:p>
    <w:p w14:paraId="4E50B31F">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5.1.4 发包人委托承包人办理施工许可证及开工报告等相关手续，承包人在领取施工许可证或开工报告之前，应当按照国家的有关规定办理工程质量监督手续。</w:t>
      </w:r>
    </w:p>
    <w:p w14:paraId="217AFAA8">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5.1.5 工程质量有争议的责任</w:t>
      </w:r>
    </w:p>
    <w:p w14:paraId="131535D8">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双方对工程质量有争议，同意依据现行《建筑工程施工质量验收统一标准》、其他标准及其他规定（含地方规定），由项目所在地负责监督政府建设工程质量安全监督站（下称：质监站）鉴定，所需的费用及因此造成的损失，由责任方承担。双方均有责任的，由双方根据其责任划分分别承担。</w:t>
      </w:r>
    </w:p>
    <w:p w14:paraId="4BEBA233">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5.1.6 质量保证体系</w:t>
      </w:r>
    </w:p>
    <w:p w14:paraId="0CE77D14">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承包人应当完善质量管理制度，建立质量控制流程，进行全面质量管理，以国家现行《质量管理与质量保证》为标准，建立并保持一个健全的工程质量保证体系。为此，承包人必须做到但不限于：</w:t>
      </w:r>
    </w:p>
    <w:p w14:paraId="6E63FF65">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（1）建立完整的质量保证体系，委派专人负责工程质量管理，项目经理部设有专职质检人员。</w:t>
      </w:r>
    </w:p>
    <w:p w14:paraId="5ABE3944">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承包人提交监理人批准的施工组织设计或者施工方案必须附有完备的工程质量保证措施，包括：工程质量预控措施，工序质量控制点，工程的标准工艺流程图和技术、组织措施，重点分部（项）工程的施工方法，材料、制品试件取样及试验的方法或方案，成品保护的措施和方法，质量报表和质量事故的报告制度等等。</w:t>
      </w:r>
    </w:p>
    <w:p w14:paraId="2A889308">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（3）单项工程开工前，承包人必须对职工进行技术交底，组织学习有关规程、规范和工艺要求，在施工中必须按规程和工艺进行操作。</w:t>
      </w:r>
    </w:p>
    <w:p w14:paraId="1221B315">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4）单项工程和重要部位都必须遵循先试验后铺开施工的程序，开工前承包人应完成施工组织设计和必要的施工准备，送监理人审查批准后方可进行试验性施工，完工后由监理人检验，符合要求后才能铺开施工或者批量生产。</w:t>
      </w:r>
    </w:p>
    <w:p w14:paraId="51B1DD15">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5.1.7 承包人不能达到本条约定质量目标的，按第</w:t>
      </w:r>
      <w:r>
        <w:rPr>
          <w:rFonts w:eastAsia="仿宋_GB2312"/>
          <w:color w:val="auto"/>
          <w:sz w:val="24"/>
          <w:szCs w:val="24"/>
          <w:highlight w:val="none"/>
        </w:rPr>
        <w:t>16.2.2</w:t>
      </w:r>
      <w:r>
        <w:rPr>
          <w:rFonts w:hint="eastAsia" w:eastAsia="仿宋_GB2312"/>
          <w:color w:val="auto"/>
          <w:sz w:val="24"/>
          <w:szCs w:val="24"/>
          <w:highlight w:val="none"/>
        </w:rPr>
        <w:t>条承担相应违约责任。</w:t>
      </w:r>
    </w:p>
    <w:p w14:paraId="36E4928B">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5.</w:t>
      </w:r>
      <w:r>
        <w:rPr>
          <w:rFonts w:hint="eastAsia" w:eastAsia="仿宋_GB2312"/>
          <w:color w:val="auto"/>
          <w:sz w:val="24"/>
          <w:szCs w:val="24"/>
          <w:highlight w:val="none"/>
        </w:rPr>
        <w:t>2</w:t>
      </w:r>
      <w:r>
        <w:rPr>
          <w:rFonts w:eastAsia="仿宋_GB2312"/>
          <w:color w:val="auto"/>
          <w:sz w:val="24"/>
          <w:szCs w:val="24"/>
          <w:highlight w:val="none"/>
        </w:rPr>
        <w:t xml:space="preserve"> </w:t>
      </w:r>
      <w:r>
        <w:rPr>
          <w:rFonts w:hint="eastAsia" w:eastAsia="仿宋_GB2312"/>
          <w:color w:val="auto"/>
          <w:sz w:val="24"/>
          <w:szCs w:val="24"/>
          <w:highlight w:val="none"/>
        </w:rPr>
        <w:t>质量保证措施</w:t>
      </w:r>
    </w:p>
    <w:p w14:paraId="6F9DE15D">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5.</w:t>
      </w:r>
      <w:r>
        <w:rPr>
          <w:rFonts w:hint="eastAsia" w:eastAsia="仿宋_GB2312"/>
          <w:color w:val="auto"/>
          <w:sz w:val="24"/>
          <w:szCs w:val="24"/>
          <w:highlight w:val="none"/>
        </w:rPr>
        <w:t>2</w:t>
      </w:r>
      <w:r>
        <w:rPr>
          <w:rFonts w:eastAsia="仿宋_GB2312"/>
          <w:color w:val="auto"/>
          <w:sz w:val="24"/>
          <w:szCs w:val="24"/>
          <w:highlight w:val="none"/>
        </w:rPr>
        <w:t>.2</w:t>
      </w:r>
      <w:r>
        <w:rPr>
          <w:rFonts w:hint="eastAsia" w:eastAsia="仿宋_GB2312"/>
          <w:color w:val="auto"/>
          <w:sz w:val="24"/>
          <w:szCs w:val="24"/>
          <w:highlight w:val="none"/>
        </w:rPr>
        <w:t>承包人的质量管理</w:t>
      </w:r>
    </w:p>
    <w:p w14:paraId="0551BD48">
      <w:pPr>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增加</w:t>
      </w:r>
      <w:r>
        <w:rPr>
          <w:rFonts w:eastAsia="仿宋_GB2312"/>
          <w:b/>
          <w:bCs/>
          <w:color w:val="auto"/>
          <w:sz w:val="24"/>
          <w:szCs w:val="24"/>
          <w:highlight w:val="none"/>
        </w:rPr>
        <w:t>5.2.2.1</w:t>
      </w:r>
      <w:r>
        <w:rPr>
          <w:rFonts w:hint="eastAsia" w:eastAsia="仿宋_GB2312"/>
          <w:b/>
          <w:bCs/>
          <w:color w:val="auto"/>
          <w:sz w:val="24"/>
          <w:szCs w:val="24"/>
          <w:highlight w:val="none"/>
        </w:rPr>
        <w:t>条款，具体如下：</w:t>
      </w:r>
    </w:p>
    <w:p w14:paraId="3DC449DC">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5.2.2.1</w:t>
      </w:r>
      <w:r>
        <w:rPr>
          <w:rFonts w:hint="eastAsia" w:eastAsia="仿宋_GB2312"/>
          <w:color w:val="auto"/>
          <w:sz w:val="24"/>
          <w:szCs w:val="24"/>
          <w:highlight w:val="none"/>
        </w:rPr>
        <w:t>承包人须按照本合同约定和相关要求，需对部分材料设备实行现场监造，因材料、设备监造所产生的相关费用均已视为包含在签约合同价中，由承包人承担，包括承担监造人员（质监站人员、发包人、设计人、监理人和检测人员等）差旅、提供满足驻场办公和生活设施等所需的费用。</w:t>
      </w:r>
    </w:p>
    <w:p w14:paraId="3CA8C51C">
      <w:pPr>
        <w:spacing w:after="120" w:line="360" w:lineRule="auto"/>
        <w:ind w:firstLine="480" w:firstLineChars="200"/>
        <w:outlineLvl w:val="0"/>
        <w:rPr>
          <w:rFonts w:eastAsia="黑体"/>
          <w:color w:val="auto"/>
          <w:sz w:val="24"/>
          <w:szCs w:val="24"/>
          <w:highlight w:val="none"/>
        </w:rPr>
      </w:pPr>
      <w:bookmarkStart w:id="626" w:name="_Toc32835776"/>
      <w:r>
        <w:rPr>
          <w:rFonts w:eastAsia="黑体"/>
          <w:color w:val="auto"/>
          <w:sz w:val="24"/>
          <w:szCs w:val="24"/>
          <w:highlight w:val="none"/>
        </w:rPr>
        <w:t>5.3 隐蔽工程检查</w:t>
      </w:r>
      <w:bookmarkEnd w:id="626"/>
    </w:p>
    <w:p w14:paraId="573CA2C6">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5.3.2承包人提前通知监理人隐蔽工程检查的期限的约定：</w:t>
      </w:r>
      <w:r>
        <w:rPr>
          <w:rFonts w:hint="eastAsia" w:eastAsia="仿宋_GB2312"/>
          <w:color w:val="auto"/>
          <w:sz w:val="24"/>
          <w:szCs w:val="24"/>
          <w:highlight w:val="none"/>
          <w:u w:val="single"/>
        </w:rPr>
        <w:t>提前48小时</w:t>
      </w:r>
      <w:r>
        <w:rPr>
          <w:rFonts w:eastAsia="仿宋_GB2312"/>
          <w:color w:val="auto"/>
          <w:sz w:val="24"/>
          <w:szCs w:val="24"/>
          <w:highlight w:val="none"/>
        </w:rPr>
        <w:t>。</w:t>
      </w:r>
    </w:p>
    <w:p w14:paraId="2F73AE1C">
      <w:pPr>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增加</w:t>
      </w:r>
      <w:r>
        <w:rPr>
          <w:rFonts w:eastAsia="仿宋_GB2312"/>
          <w:b/>
          <w:bCs/>
          <w:color w:val="auto"/>
          <w:sz w:val="24"/>
          <w:szCs w:val="24"/>
          <w:highlight w:val="none"/>
        </w:rPr>
        <w:t>5.3.5</w:t>
      </w:r>
      <w:r>
        <w:rPr>
          <w:rFonts w:hint="eastAsia" w:eastAsia="仿宋_GB2312"/>
          <w:b/>
          <w:bCs/>
          <w:color w:val="auto"/>
          <w:sz w:val="24"/>
          <w:szCs w:val="24"/>
          <w:highlight w:val="none"/>
        </w:rPr>
        <w:t>~</w:t>
      </w:r>
      <w:r>
        <w:rPr>
          <w:rFonts w:eastAsia="仿宋_GB2312"/>
          <w:b/>
          <w:bCs/>
          <w:color w:val="auto"/>
          <w:sz w:val="24"/>
          <w:szCs w:val="24"/>
          <w:highlight w:val="none"/>
        </w:rPr>
        <w:t>5.3.</w:t>
      </w:r>
      <w:r>
        <w:rPr>
          <w:rFonts w:hint="eastAsia" w:eastAsia="仿宋_GB2312"/>
          <w:b/>
          <w:bCs/>
          <w:color w:val="auto"/>
          <w:sz w:val="24"/>
          <w:szCs w:val="24"/>
          <w:highlight w:val="none"/>
        </w:rPr>
        <w:t>9条款，具体如下：</w:t>
      </w:r>
    </w:p>
    <w:p w14:paraId="65D8343D">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5.3.5</w:t>
      </w:r>
      <w:r>
        <w:rPr>
          <w:rFonts w:hint="eastAsia" w:eastAsia="仿宋_GB2312"/>
          <w:color w:val="auto"/>
          <w:sz w:val="24"/>
          <w:szCs w:val="24"/>
          <w:highlight w:val="none"/>
        </w:rPr>
        <w:t>中间验收部位包括：按现行相关管理文件规定执行；验收人员组成：发包人、监理人、承包人及后续关联工程承建等有关单位；验收程序按《合同通用条款》第5</w:t>
      </w:r>
      <w:r>
        <w:rPr>
          <w:rFonts w:eastAsia="仿宋_GB2312"/>
          <w:color w:val="auto"/>
          <w:sz w:val="24"/>
          <w:szCs w:val="24"/>
          <w:highlight w:val="none"/>
        </w:rPr>
        <w:t>.3</w:t>
      </w:r>
      <w:r>
        <w:rPr>
          <w:rFonts w:hint="eastAsia" w:eastAsia="仿宋_GB2312"/>
          <w:color w:val="auto"/>
          <w:sz w:val="24"/>
          <w:szCs w:val="24"/>
          <w:highlight w:val="none"/>
        </w:rPr>
        <w:t>条执行。</w:t>
      </w:r>
    </w:p>
    <w:p w14:paraId="43779291">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5.3.</w:t>
      </w:r>
      <w:r>
        <w:rPr>
          <w:rFonts w:hint="eastAsia" w:eastAsia="仿宋_GB2312"/>
          <w:color w:val="auto"/>
          <w:sz w:val="24"/>
          <w:szCs w:val="24"/>
          <w:highlight w:val="none"/>
        </w:rPr>
        <w:t>6承包人应对隐蔽工程进行拍摄或拍照或留存样本，以保证监理人、发包人能充分检查和测量覆盖或隐蔽的工程，并将结果保存作为日后检查之用，否则后果由承包人承担。</w:t>
      </w:r>
    </w:p>
    <w:p w14:paraId="02BB13A1">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5.3.</w:t>
      </w:r>
      <w:r>
        <w:rPr>
          <w:rFonts w:hint="eastAsia" w:eastAsia="仿宋_GB2312"/>
          <w:color w:val="auto"/>
          <w:sz w:val="24"/>
          <w:szCs w:val="24"/>
          <w:highlight w:val="none"/>
        </w:rPr>
        <w:t>7如全部工程或其部分工程未能通过检验，则工程验收人员或承包人应根据相关规范要求，按照同样的条件和情况重复该检验。对于这种重复检验可能发生的全部费用，应由承包人承担，发包人可从任何应支付或届期将支付给承包人的款项中扣除。</w:t>
      </w:r>
    </w:p>
    <w:p w14:paraId="5D0631E2">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5.3.</w:t>
      </w:r>
      <w:r>
        <w:rPr>
          <w:rFonts w:hint="eastAsia" w:eastAsia="仿宋_GB2312"/>
          <w:color w:val="auto"/>
          <w:sz w:val="24"/>
          <w:szCs w:val="24"/>
          <w:highlight w:val="none"/>
        </w:rPr>
        <w:t>8本工程除通过承包人、监理人及发包人的验收外，还须通过有关的安全技术检验机构的检验，及申请和领取使用许可证，其所需的一切费用视为已包含于签约合同价中。根据政府规定须由发包人缴纳的检测费除外。</w:t>
      </w:r>
    </w:p>
    <w:p w14:paraId="2EA3A27B">
      <w:pPr>
        <w:spacing w:line="360" w:lineRule="auto"/>
        <w:ind w:firstLine="480" w:firstLineChars="200"/>
        <w:jc w:val="left"/>
        <w:rPr>
          <w:rFonts w:eastAsia="仿宋_GB2312"/>
          <w:color w:val="auto"/>
          <w:sz w:val="24"/>
          <w:szCs w:val="24"/>
          <w:highlight w:val="none"/>
          <w:u w:val="single"/>
        </w:rPr>
      </w:pPr>
      <w:r>
        <w:rPr>
          <w:rFonts w:eastAsia="仿宋_GB2312"/>
          <w:color w:val="auto"/>
          <w:sz w:val="24"/>
          <w:szCs w:val="24"/>
          <w:highlight w:val="none"/>
        </w:rPr>
        <w:t>5.3.</w:t>
      </w:r>
      <w:r>
        <w:rPr>
          <w:rFonts w:hint="eastAsia" w:eastAsia="仿宋_GB2312"/>
          <w:color w:val="auto"/>
          <w:sz w:val="24"/>
          <w:szCs w:val="24"/>
          <w:highlight w:val="none"/>
        </w:rPr>
        <w:t>9检验结果表明存在缺陷的，则承包人应查找工程缺陷的原因。除非承包人可以证明该缺陷是不应由承包人负责的，否则承包人为查找缺陷原因产生的一切费用应由承包人承担。</w:t>
      </w:r>
    </w:p>
    <w:p w14:paraId="4B9F2763">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监理人不能按时进行检查时，应提前</w:t>
      </w:r>
      <w:r>
        <w:rPr>
          <w:rFonts w:hint="eastAsia" w:eastAsia="仿宋_GB2312"/>
          <w:color w:val="auto"/>
          <w:sz w:val="24"/>
          <w:szCs w:val="24"/>
          <w:highlight w:val="none"/>
          <w:u w:val="single"/>
        </w:rPr>
        <w:t>24</w:t>
      </w:r>
      <w:r>
        <w:rPr>
          <w:rFonts w:eastAsia="仿宋_GB2312"/>
          <w:color w:val="auto"/>
          <w:sz w:val="24"/>
          <w:szCs w:val="24"/>
          <w:highlight w:val="none"/>
        </w:rPr>
        <w:t>小时提交书面延期要求。</w:t>
      </w:r>
    </w:p>
    <w:p w14:paraId="4D88987C">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关于延期最长不得超过：</w:t>
      </w:r>
      <w:r>
        <w:rPr>
          <w:rFonts w:hint="eastAsia" w:eastAsia="仿宋_GB2312"/>
          <w:color w:val="auto"/>
          <w:sz w:val="24"/>
          <w:szCs w:val="24"/>
          <w:highlight w:val="none"/>
          <w:u w:val="single"/>
        </w:rPr>
        <w:t>48</w:t>
      </w:r>
      <w:r>
        <w:rPr>
          <w:rFonts w:eastAsia="仿宋_GB2312"/>
          <w:color w:val="auto"/>
          <w:sz w:val="24"/>
          <w:szCs w:val="24"/>
          <w:highlight w:val="none"/>
        </w:rPr>
        <w:t>小时。</w:t>
      </w:r>
    </w:p>
    <w:p w14:paraId="694FC699">
      <w:pPr>
        <w:pStyle w:val="6"/>
        <w:spacing w:before="120" w:after="120" w:line="360" w:lineRule="auto"/>
        <w:rPr>
          <w:rFonts w:ascii="Times New Roman" w:hAnsi="Times New Roman" w:eastAsia="黑体"/>
          <w:b w:val="0"/>
          <w:color w:val="auto"/>
          <w:sz w:val="24"/>
          <w:szCs w:val="24"/>
          <w:highlight w:val="none"/>
        </w:rPr>
      </w:pPr>
      <w:bookmarkStart w:id="627" w:name="_Toc32835777"/>
      <w:r>
        <w:rPr>
          <w:rFonts w:ascii="Times New Roman" w:hAnsi="Times New Roman" w:eastAsia="黑体"/>
          <w:b w:val="0"/>
          <w:color w:val="auto"/>
          <w:sz w:val="24"/>
          <w:szCs w:val="24"/>
          <w:highlight w:val="none"/>
        </w:rPr>
        <w:t>6. 安全文明施工与环境保护</w:t>
      </w:r>
      <w:bookmarkEnd w:id="627"/>
    </w:p>
    <w:p w14:paraId="669EDC9B">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6.1安全文明施工</w:t>
      </w:r>
    </w:p>
    <w:p w14:paraId="3211B2CF">
      <w:pPr>
        <w:spacing w:line="360" w:lineRule="auto"/>
        <w:ind w:firstLine="480" w:firstLineChars="200"/>
        <w:jc w:val="left"/>
        <w:rPr>
          <w:rFonts w:hint="eastAsia" w:eastAsia="仿宋_GB2312"/>
          <w:color w:val="auto"/>
          <w:sz w:val="24"/>
          <w:szCs w:val="24"/>
          <w:highlight w:val="none"/>
          <w:u w:val="single"/>
        </w:rPr>
      </w:pPr>
      <w:r>
        <w:rPr>
          <w:rFonts w:eastAsia="仿宋_GB2312"/>
          <w:color w:val="auto"/>
          <w:sz w:val="24"/>
          <w:szCs w:val="24"/>
          <w:highlight w:val="none"/>
        </w:rPr>
        <w:t>6.1.1 项目安全生产的达标目标及相应事项的约定：</w:t>
      </w:r>
      <w:r>
        <w:rPr>
          <w:rFonts w:hint="eastAsia" w:eastAsia="仿宋_GB2312"/>
          <w:color w:val="auto"/>
          <w:sz w:val="24"/>
          <w:szCs w:val="24"/>
          <w:highlight w:val="none"/>
          <w:u w:val="single"/>
        </w:rPr>
        <w:t>承包人承担项目安全生产管理责任，杜绝发生安全事故，承包人应严格执行《中华人民共和国安全生产法》、《建设工程安全生产管理条例》（国务院令第393号）、《建筑施工安全检查标准》（JGJ5999）、《建筑施工安全检查标准》(JGJ 59-2011)及广东省、市及行业主管部门现行相关法律法规及管理要求。</w:t>
      </w:r>
    </w:p>
    <w:p w14:paraId="00198128">
      <w:pPr>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补充6</w:t>
      </w:r>
      <w:r>
        <w:rPr>
          <w:rFonts w:eastAsia="仿宋_GB2312"/>
          <w:b/>
          <w:bCs/>
          <w:color w:val="auto"/>
          <w:sz w:val="24"/>
          <w:szCs w:val="24"/>
          <w:highlight w:val="none"/>
        </w:rPr>
        <w:t>.1.3</w:t>
      </w:r>
      <w:r>
        <w:rPr>
          <w:rFonts w:hint="eastAsia" w:eastAsia="仿宋_GB2312"/>
          <w:b/>
          <w:bCs/>
          <w:color w:val="auto"/>
          <w:sz w:val="24"/>
          <w:szCs w:val="24"/>
          <w:highlight w:val="none"/>
        </w:rPr>
        <w:t>款约定，具体如下：</w:t>
      </w:r>
    </w:p>
    <w:p w14:paraId="18705607">
      <w:pPr>
        <w:spacing w:line="360" w:lineRule="auto"/>
        <w:ind w:firstLine="480" w:firstLineChars="200"/>
        <w:jc w:val="left"/>
        <w:rPr>
          <w:rFonts w:eastAsia="仿宋_GB2312"/>
          <w:color w:val="auto"/>
          <w:sz w:val="24"/>
          <w:szCs w:val="24"/>
          <w:highlight w:val="none"/>
          <w:u w:val="single"/>
        </w:rPr>
      </w:pPr>
      <w:r>
        <w:rPr>
          <w:rFonts w:eastAsia="仿宋_GB2312"/>
          <w:color w:val="auto"/>
          <w:sz w:val="24"/>
          <w:szCs w:val="24"/>
          <w:highlight w:val="none"/>
          <w:u w:val="single"/>
        </w:rPr>
        <w:t>需单独编制危险性较大分部分项专项工程施工方案的，及要求进行专家论证的超过一定规模的危险性较大的分部分项工程，承包人应及时编制和组织论证</w:t>
      </w:r>
      <w:r>
        <w:rPr>
          <w:rFonts w:hint="eastAsia" w:eastAsia="仿宋_GB2312"/>
          <w:color w:val="auto"/>
          <w:sz w:val="24"/>
          <w:szCs w:val="24"/>
          <w:highlight w:val="none"/>
          <w:u w:val="single"/>
        </w:rPr>
        <w:t>，由此产生的费用已包含在签约合同价中，发包人无需再另行支付其它费用。</w:t>
      </w:r>
    </w:p>
    <w:p w14:paraId="4C2FCE80">
      <w:pPr>
        <w:spacing w:line="360" w:lineRule="auto"/>
        <w:ind w:firstLine="480" w:firstLineChars="200"/>
        <w:jc w:val="left"/>
        <w:rPr>
          <w:rFonts w:eastAsia="仿宋_GB2312"/>
          <w:color w:val="auto"/>
          <w:sz w:val="24"/>
          <w:szCs w:val="24"/>
          <w:highlight w:val="none"/>
          <w:u w:val="single"/>
        </w:rPr>
      </w:pPr>
      <w:r>
        <w:rPr>
          <w:rFonts w:eastAsia="仿宋_GB2312"/>
          <w:color w:val="auto"/>
          <w:sz w:val="24"/>
          <w:szCs w:val="24"/>
          <w:highlight w:val="none"/>
        </w:rPr>
        <w:t>6.1.4 关于治安保卫的特别约定：</w:t>
      </w:r>
      <w:r>
        <w:rPr>
          <w:rFonts w:hint="eastAsia" w:eastAsia="仿宋_GB2312"/>
          <w:color w:val="auto"/>
          <w:sz w:val="24"/>
          <w:szCs w:val="24"/>
          <w:highlight w:val="none"/>
          <w:u w:val="single"/>
        </w:rPr>
        <w:t>按“有关规定执行，</w:t>
      </w:r>
      <w:r>
        <w:rPr>
          <w:rFonts w:eastAsia="仿宋_GB2312"/>
          <w:color w:val="auto"/>
          <w:sz w:val="24"/>
          <w:szCs w:val="24"/>
          <w:highlight w:val="none"/>
          <w:u w:val="single"/>
        </w:rPr>
        <w:t>杜绝重大</w:t>
      </w:r>
      <w:r>
        <w:rPr>
          <w:rFonts w:hint="eastAsia" w:eastAsia="仿宋_GB2312"/>
          <w:color w:val="auto"/>
          <w:sz w:val="24"/>
          <w:szCs w:val="24"/>
          <w:highlight w:val="none"/>
          <w:u w:val="single"/>
        </w:rPr>
        <w:t>生产</w:t>
      </w:r>
      <w:r>
        <w:rPr>
          <w:rFonts w:eastAsia="仿宋_GB2312"/>
          <w:color w:val="auto"/>
          <w:sz w:val="24"/>
          <w:szCs w:val="24"/>
          <w:highlight w:val="none"/>
          <w:u w:val="single"/>
        </w:rPr>
        <w:t>安全事故（零死亡</w:t>
      </w:r>
      <w:r>
        <w:rPr>
          <w:rFonts w:hint="eastAsia" w:eastAsia="仿宋_GB2312"/>
          <w:color w:val="auto"/>
          <w:sz w:val="24"/>
          <w:szCs w:val="24"/>
          <w:highlight w:val="none"/>
          <w:u w:val="single"/>
        </w:rPr>
        <w:t>、零重伤</w:t>
      </w:r>
      <w:r>
        <w:rPr>
          <w:rFonts w:eastAsia="仿宋_GB2312"/>
          <w:color w:val="auto"/>
          <w:sz w:val="24"/>
          <w:szCs w:val="24"/>
          <w:highlight w:val="none"/>
          <w:u w:val="single"/>
        </w:rPr>
        <w:t>）。</w:t>
      </w:r>
    </w:p>
    <w:p w14:paraId="4FC80EF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6.1.5 文明施工</w:t>
      </w:r>
    </w:p>
    <w:p w14:paraId="74D9DD38">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合同当事人对文明施工的要求：</w:t>
      </w:r>
    </w:p>
    <w:p w14:paraId="1E1EF0BB">
      <w:pPr>
        <w:spacing w:line="360" w:lineRule="auto"/>
        <w:ind w:firstLine="482" w:firstLineChars="200"/>
        <w:jc w:val="left"/>
        <w:rPr>
          <w:rFonts w:hint="eastAsia" w:eastAsia="仿宋_GB2312"/>
          <w:color w:val="auto"/>
          <w:sz w:val="24"/>
          <w:szCs w:val="24"/>
          <w:highlight w:val="none"/>
        </w:rPr>
      </w:pPr>
      <w:r>
        <w:rPr>
          <w:rFonts w:hint="eastAsia" w:eastAsia="仿宋_GB2312"/>
          <w:b/>
          <w:bCs/>
          <w:color w:val="auto"/>
          <w:sz w:val="24"/>
          <w:szCs w:val="24"/>
          <w:highlight w:val="none"/>
        </w:rPr>
        <w:t>增加（1）~（28）条款，具体如下：</w:t>
      </w:r>
    </w:p>
    <w:p w14:paraId="6B03D32E">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承包人应建立健全安全防护和文明施工的制度，完善安全防护和文明施工条件，严格按照安全防护和文明施工的规定组织施工，采取必要的安全防护措施，消除事故隐患，自觉接受和配合依法实施的监督检查。在合同工程实施、完成及保修期间，承包人应做好下列工作：</w:t>
      </w:r>
    </w:p>
    <w:p w14:paraId="02C7B6E8">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（1）承包人必须严格按照现行建设工程现场文明施工管理办法，将投标时承诺的文明施工措施落实到位。</w:t>
      </w:r>
    </w:p>
    <w:p w14:paraId="46AD8DC1">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承包人应在进入现场前提交施工期间的环境保护方案，经监理人批准后实施。对于承包人施工过程中造成的环境污染问题，经发包人或者监理人指出后，承包人未能在24小时之内采取整治措施，或者所采取的整治措施未有效消除污染的，发包人可以自行或者委托他人代为整治，由此所产生的一切损失、费用均由承包人承担。</w:t>
      </w:r>
    </w:p>
    <w:p w14:paraId="131C6A2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（3）承包人须按发包人批准的施工组织设计进行施工现场布置、放置材料机械及其他设施，及时将施工垃圾、余泥运出场外，保证施工场地清洁符合环境卫生管理的有关规定。</w:t>
      </w:r>
    </w:p>
    <w:p w14:paraId="1EC1BA8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4）完工后接到发包人书面退场通知后7天内按发包人指示拆除临时建筑、设施、清走器材、剩余材料和余泥渣土，施工范围内的清理以通过发包人验收为标准。如逾期不拆，影响后续施工，发包人有权安排其他单位完成，所需费用由承包人结算款中扣除。</w:t>
      </w:r>
    </w:p>
    <w:p w14:paraId="096E025F">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5）在施工现场入口处、施工起重机械、临时用电设施、脚手架、出入通道口、楼梯口、电梯井口、孔洞口、桥梁口、隧道口、基坑边沿、爆破物及有害危险气体和液体存放处等危险部位，设置明显的安全警示标志。</w:t>
      </w:r>
    </w:p>
    <w:p w14:paraId="33AF1A8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（6）保持现场道路畅通、排水及排水设施畅通，实施必要的工地地面硬化处理和设置必要的绿化带。</w:t>
      </w:r>
    </w:p>
    <w:p w14:paraId="02ECC427">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（7）妥善存放和处理材料设备和施工机械，水泥和其它易飞扬细颗粒建筑材料应密闭存放或采取覆盖等措施，易燃易爆和有毒有害物品应分类存放。</w:t>
      </w:r>
    </w:p>
    <w:p w14:paraId="2795FF0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（8）现场设置消防信道、消防水源、配置消防设施和灭火器器材，合理布置安全通道和安全设施，保证现场安全，建立消防安全责任制度。</w:t>
      </w:r>
    </w:p>
    <w:p w14:paraId="013473D5">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（9）现场设置密闭式垃圾站，施工垃圾、生活垃圾应分类存放。施工垃圾必须采用相应的容器或管道运输及时从现场清除并运走。</w:t>
      </w:r>
    </w:p>
    <w:p w14:paraId="3227868A">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（10）为了公众安全和方便或为了保护工程，按照监理人的指令或政府的要求提供并保持必要的照明、防护、围栏、警告信号和看守。</w:t>
      </w:r>
    </w:p>
    <w:p w14:paraId="5AB42245">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（11）政府有关部门关于安全防护、文明施工规定的其它工作。</w:t>
      </w:r>
    </w:p>
    <w:p w14:paraId="311B6BC1">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（12）承包人对合同工程的安全施工负责，并应及时、如实报告生产安全事故。承包人违反上述规定或由于承包人原因造成的安全事故的，由承包人承担相应责任和费用，工期不予顺延。</w:t>
      </w:r>
    </w:p>
    <w:p w14:paraId="0EAB4C65">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13）承包人应注意对现有的道路、排水管、供水管、绿化、路灯、电力和通讯设施等进行保护，如有毁损，承包人应负责修复，不能修复的应全责赔偿，并承担由此产生的一切费用。若不能按要求修复则由发包人另行委托其它单位修复，承包人同意由此产生的费用由发包人从承包人工程款中直接扣付。</w:t>
      </w:r>
    </w:p>
    <w:p w14:paraId="5A947143">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14）承包人应采取适当措施，确保其施工作业人员的身体健康，遵照当地卫生部门的相关要求，保证在施工的全过程当中若出现任何重大或恶性传染性的疾病，承包人必须遵守并执行省市卫生部门为处理或控制上述传染病而制定的规章、命令和要求，迅速向发包人和当地疾病控制中心报告。</w:t>
      </w:r>
    </w:p>
    <w:p w14:paraId="5945E97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（15）若承包人认为发包人或监理人的指令违反了安全管理规定，可以拒绝执行，同时必须书面向监理人提交有关说明，否则，责任由承包人承担。</w:t>
      </w:r>
    </w:p>
    <w:p w14:paraId="5955D6EF">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16）承包人在动力设备、输电线路、地下管道、密封防震车间、易燃易爆地段、毗邻建(构)筑物或临街交通要道附近、放射毒害性环境中施工以及实施爆破作业、使用毒害性腐蚀性物品施工时，应事先向监理人提出安全防护措施，经监理人同意并由其报发包人批准后实施。</w:t>
      </w:r>
    </w:p>
    <w:p w14:paraId="36DDDDD1">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17）承包人应保证施工场地的清洁达到环境卫生部门的管理要求，为现场所有人员提供并维护有效的清洁的生活设施，并在颁发合同工程竣工验收证书后的28天内，清理现场，运走全部施工机械、剩余材料和垃圾，保持施工场地和合同工程的清洁整齐。否则，发包人可自行或指派第三方出售或处理留下的物品，所得金额在扣除因而发生的各种支出之后，余额退还给承包人。余额不足以清偿清理费用的，发包人有权要求承办人补足。</w:t>
      </w:r>
    </w:p>
    <w:p w14:paraId="4FCFDB80">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（18）安全防护和文明施工须达到项目绿色建筑标准要求。</w:t>
      </w:r>
    </w:p>
    <w:p w14:paraId="691E97AC">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（19）在施工过程中，如遇到突发的地质变动、事先未知的地下施工障碍等影响施工安全的紧急情况，承包人应及时报告监理人和发包人，发包人应当及时下令停工并报政府有关行政管理部门采取应急措施。</w:t>
      </w:r>
    </w:p>
    <w:p w14:paraId="23C41A88">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20）承包人应及时执行监理工程师发出的绿色施工安全防护的工作指令，并按合同约定的期限和绿色施工安全防护内容编制绿色施工安全防护措施计划，包括施工扬尘污染防治措施、用工实名管理等各类专项方案计划，以及余泥运输方案并承诺使用专用运输工具运输，提交给监理工程师并由其报发包人批准后实施。</w:t>
      </w:r>
    </w:p>
    <w:p w14:paraId="3944AD6F">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（21）承包人应严格按照国家、省、市有关绿色施工安全防护的标准、内容与规范制定绿色施工安全防护操作规程，配备必要的安全生产和劳动保护设施，加强对承包人人员的施工安全教育和培训。</w:t>
      </w:r>
    </w:p>
    <w:p w14:paraId="56C6B0CA">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（2</w:t>
      </w:r>
      <w:r>
        <w:rPr>
          <w:rFonts w:eastAsia="仿宋_GB2312"/>
          <w:color w:val="auto"/>
          <w:sz w:val="24"/>
          <w:szCs w:val="24"/>
          <w:highlight w:val="none"/>
        </w:rPr>
        <w:t>2</w:t>
      </w:r>
      <w:r>
        <w:rPr>
          <w:rFonts w:hint="eastAsia" w:eastAsia="仿宋_GB2312"/>
          <w:color w:val="auto"/>
          <w:sz w:val="24"/>
          <w:szCs w:val="24"/>
          <w:highlight w:val="none"/>
        </w:rPr>
        <w:t>）承包人应对合同工程的绿色施工安全防护负责，采取有效的安全措施消除安全事故隐患，并接受和配合依法实施的监督检查。</w:t>
      </w:r>
    </w:p>
    <w:p w14:paraId="7927FEDF">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（2</w:t>
      </w:r>
      <w:r>
        <w:rPr>
          <w:rFonts w:eastAsia="仿宋_GB2312"/>
          <w:color w:val="auto"/>
          <w:sz w:val="24"/>
          <w:szCs w:val="24"/>
          <w:highlight w:val="none"/>
        </w:rPr>
        <w:t>3</w:t>
      </w:r>
      <w:r>
        <w:rPr>
          <w:rFonts w:hint="eastAsia" w:eastAsia="仿宋_GB2312"/>
          <w:color w:val="auto"/>
          <w:sz w:val="24"/>
          <w:szCs w:val="24"/>
          <w:highlight w:val="none"/>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3F95635E">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（2</w:t>
      </w:r>
      <w:r>
        <w:rPr>
          <w:rFonts w:eastAsia="仿宋_GB2312"/>
          <w:color w:val="auto"/>
          <w:sz w:val="24"/>
          <w:szCs w:val="24"/>
          <w:highlight w:val="none"/>
        </w:rPr>
        <w:t>4</w:t>
      </w:r>
      <w:r>
        <w:rPr>
          <w:rFonts w:hint="eastAsia" w:eastAsia="仿宋_GB2312"/>
          <w:color w:val="auto"/>
          <w:sz w:val="24"/>
          <w:szCs w:val="24"/>
          <w:highlight w:val="none"/>
        </w:rPr>
        <w:t>）承包人应按监理工程师的指令制定应对灾害的紧急预案，并按预案做好安全检查，配置必要的救助物资和器材，切实保护好有关人员的人身和财产安全。</w:t>
      </w:r>
    </w:p>
    <w:p w14:paraId="342B0CDF">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（2</w:t>
      </w:r>
      <w:r>
        <w:rPr>
          <w:rFonts w:eastAsia="仿宋_GB2312"/>
          <w:color w:val="auto"/>
          <w:sz w:val="24"/>
          <w:szCs w:val="24"/>
          <w:highlight w:val="none"/>
        </w:rPr>
        <w:t>5</w:t>
      </w:r>
      <w:r>
        <w:rPr>
          <w:rFonts w:hint="eastAsia" w:eastAsia="仿宋_GB2312"/>
          <w:color w:val="auto"/>
          <w:sz w:val="24"/>
          <w:szCs w:val="24"/>
          <w:highlight w:val="none"/>
        </w:rPr>
        <w:t>）承包人违反本条规定或由于承包人原因造成安全事故的，由承包人承担责任，由此增加的费用和延误的工期由承包人承担。</w:t>
      </w:r>
    </w:p>
    <w:p w14:paraId="3FBAF592">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（2</w:t>
      </w:r>
      <w:r>
        <w:rPr>
          <w:rFonts w:eastAsia="仿宋_GB2312"/>
          <w:color w:val="auto"/>
          <w:sz w:val="24"/>
          <w:szCs w:val="24"/>
          <w:highlight w:val="none"/>
        </w:rPr>
        <w:t>6</w:t>
      </w:r>
      <w:r>
        <w:rPr>
          <w:rFonts w:hint="eastAsia" w:eastAsia="仿宋_GB2312"/>
          <w:color w:val="auto"/>
          <w:sz w:val="24"/>
          <w:szCs w:val="24"/>
          <w:highlight w:val="none"/>
        </w:rPr>
        <w:t>）承包人应对其履行合同所雇佣的全部人员，包括分包人人员的安全事故承担责任。</w:t>
      </w:r>
    </w:p>
    <w:p w14:paraId="25AB959D">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w:t>
      </w:r>
      <w:r>
        <w:rPr>
          <w:rFonts w:eastAsia="仿宋_GB2312"/>
          <w:color w:val="auto"/>
          <w:sz w:val="24"/>
          <w:szCs w:val="24"/>
          <w:highlight w:val="none"/>
        </w:rPr>
        <w:t>7</w:t>
      </w:r>
      <w:r>
        <w:rPr>
          <w:rFonts w:hint="eastAsia" w:eastAsia="仿宋_GB2312"/>
          <w:color w:val="auto"/>
          <w:sz w:val="24"/>
          <w:szCs w:val="24"/>
          <w:highlight w:val="none"/>
        </w:rPr>
        <w:t>）由于承包人原因在施工场地内及其毗邻造成的第三者人身伤亡和财产损失，由承包人负责赔偿。</w:t>
      </w:r>
    </w:p>
    <w:p w14:paraId="05FBE4D8">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（28）项目安全防护和文明施工安全所需的防护措施费已包含在签约合同价内。承包人违反有关安全防护和文明施工，或未达到本合同约定的安全文明施工目标的按第</w:t>
      </w:r>
      <w:r>
        <w:rPr>
          <w:rFonts w:eastAsia="仿宋_GB2312"/>
          <w:color w:val="auto"/>
          <w:sz w:val="24"/>
          <w:szCs w:val="24"/>
          <w:highlight w:val="none"/>
        </w:rPr>
        <w:t>16.2.2</w:t>
      </w:r>
      <w:r>
        <w:rPr>
          <w:rFonts w:hint="eastAsia" w:eastAsia="仿宋_GB2312"/>
          <w:color w:val="auto"/>
          <w:sz w:val="24"/>
          <w:szCs w:val="24"/>
          <w:highlight w:val="none"/>
        </w:rPr>
        <w:t>条承担违约责任。</w:t>
      </w:r>
    </w:p>
    <w:p w14:paraId="7FE5D88D">
      <w:pPr>
        <w:spacing w:line="360" w:lineRule="auto"/>
        <w:ind w:firstLine="480" w:firstLineChars="200"/>
        <w:jc w:val="left"/>
        <w:rPr>
          <w:rFonts w:hint="eastAsia" w:eastAsia="仿宋_GB2312"/>
          <w:color w:val="auto"/>
          <w:sz w:val="24"/>
          <w:szCs w:val="24"/>
          <w:highlight w:val="none"/>
          <w:u w:val="single"/>
        </w:rPr>
      </w:pPr>
      <w:r>
        <w:rPr>
          <w:rFonts w:eastAsia="仿宋_GB2312"/>
          <w:color w:val="auto"/>
          <w:sz w:val="24"/>
          <w:szCs w:val="24"/>
          <w:highlight w:val="none"/>
        </w:rPr>
        <w:t>6.1.6 关于绿色施工安全防护措施费支付比例和支付期限的约定：</w:t>
      </w:r>
      <w:r>
        <w:rPr>
          <w:rFonts w:hint="eastAsia" w:eastAsia="仿宋_GB2312"/>
          <w:color w:val="auto"/>
          <w:sz w:val="24"/>
          <w:szCs w:val="24"/>
          <w:highlight w:val="none"/>
          <w:u w:val="single"/>
        </w:rPr>
        <w:t>按合同专用条款第</w:t>
      </w:r>
      <w:r>
        <w:rPr>
          <w:rFonts w:eastAsia="仿宋_GB2312"/>
          <w:color w:val="auto"/>
          <w:sz w:val="24"/>
          <w:szCs w:val="24"/>
          <w:highlight w:val="none"/>
          <w:u w:val="single"/>
        </w:rPr>
        <w:t>12.4.4</w:t>
      </w:r>
      <w:r>
        <w:rPr>
          <w:rFonts w:hint="eastAsia" w:eastAsia="仿宋_GB2312"/>
          <w:color w:val="auto"/>
          <w:sz w:val="24"/>
          <w:szCs w:val="24"/>
          <w:highlight w:val="none"/>
          <w:u w:val="single"/>
        </w:rPr>
        <w:t>款支付约定执行</w:t>
      </w:r>
      <w:r>
        <w:rPr>
          <w:rFonts w:eastAsia="仿宋_GB2312"/>
          <w:color w:val="auto"/>
          <w:sz w:val="24"/>
          <w:szCs w:val="24"/>
          <w:highlight w:val="none"/>
          <w:u w:val="single"/>
        </w:rPr>
        <w:t>。</w:t>
      </w:r>
    </w:p>
    <w:p w14:paraId="083E275E">
      <w:pPr>
        <w:autoSpaceDE w:val="0"/>
        <w:autoSpaceDN w:val="0"/>
        <w:adjustRightInd w:val="0"/>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增加（1）条款，具体如下：</w:t>
      </w:r>
    </w:p>
    <w:p w14:paraId="1149AB90">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本合同绿色施工安全防护措施费已包含在合同签约价中，由承包人包干使用。因基准日期后合同所适用的法律或政府有关规定发生变化，涉及增加的绿色施工安全防护措施费由承包人承担，承包人不得要求发包人承担；涉及费用减少的，按合同签约价执行，即发包人亦不扣减相应费用。</w:t>
      </w:r>
    </w:p>
    <w:p w14:paraId="60DCCF22">
      <w:pPr>
        <w:autoSpaceDE w:val="0"/>
        <w:autoSpaceDN w:val="0"/>
        <w:adjustRightInd w:val="0"/>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通用条款6</w:t>
      </w:r>
      <w:r>
        <w:rPr>
          <w:rFonts w:eastAsia="仿宋_GB2312"/>
          <w:b/>
          <w:bCs/>
          <w:color w:val="auto"/>
          <w:sz w:val="24"/>
          <w:szCs w:val="24"/>
          <w:highlight w:val="none"/>
        </w:rPr>
        <w:t>.1.</w:t>
      </w:r>
      <w:r>
        <w:rPr>
          <w:rFonts w:hint="eastAsia" w:eastAsia="仿宋_GB2312"/>
          <w:b/>
          <w:bCs/>
          <w:color w:val="auto"/>
          <w:sz w:val="24"/>
          <w:szCs w:val="24"/>
          <w:highlight w:val="none"/>
        </w:rPr>
        <w:t>9.1（1）不适用，替换为：</w:t>
      </w:r>
    </w:p>
    <w:p w14:paraId="1F02C68D">
      <w:pPr>
        <w:numPr>
          <w:ilvl w:val="0"/>
          <w:numId w:val="6"/>
        </w:num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工程或工程的任何部分对土地的占用所造成的第三者财产损失</w:t>
      </w:r>
      <w:r>
        <w:rPr>
          <w:rFonts w:hint="eastAsia" w:eastAsia="仿宋_GB2312"/>
          <w:color w:val="auto"/>
          <w:sz w:val="24"/>
          <w:szCs w:val="24"/>
          <w:highlight w:val="none"/>
        </w:rPr>
        <w:t>，但由于承包人原因造成的，应由承包人负责赔偿损失。</w:t>
      </w:r>
    </w:p>
    <w:p w14:paraId="6DFD8BA7">
      <w:pPr>
        <w:numPr>
          <w:ilvl w:val="0"/>
          <w:numId w:val="6"/>
        </w:num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承包人对施工现场的安全生产负总责，负责管理施工总承包安全职责范围管理内所有相关单位（包括但不限于：分包人、指定分包人、平行发包工程承包人、材料或设备供应商、监测及监测人等）的现场施工、服务、材料设备进场、安装等所有活动，并与相关现场施工、服务、安装单位签订安全生产管理协议，该安全生产管理协议需由报监理人及发包人审核及备案。承包人应采取有效安全措施及管控方式，加强安全防范措施，消除安全事故隐患，因承包人对各单位缺乏安全监管或防控的原因，造成安全事故的和财产损失的，承包人应承担连带责任。相应的费用由承包人在报价中综合考虑。</w:t>
      </w:r>
    </w:p>
    <w:bookmarkEnd w:id="619"/>
    <w:bookmarkEnd w:id="620"/>
    <w:bookmarkEnd w:id="621"/>
    <w:bookmarkEnd w:id="622"/>
    <w:bookmarkEnd w:id="623"/>
    <w:bookmarkEnd w:id="624"/>
    <w:bookmarkEnd w:id="625"/>
    <w:p w14:paraId="39833126">
      <w:pPr>
        <w:pStyle w:val="6"/>
        <w:spacing w:before="120" w:after="120" w:line="360" w:lineRule="auto"/>
        <w:rPr>
          <w:rFonts w:ascii="Times New Roman" w:hAnsi="Times New Roman" w:eastAsia="黑体"/>
          <w:b w:val="0"/>
          <w:color w:val="auto"/>
          <w:sz w:val="24"/>
          <w:szCs w:val="24"/>
          <w:highlight w:val="none"/>
        </w:rPr>
      </w:pPr>
      <w:bookmarkStart w:id="628" w:name="_Toc32835778"/>
      <w:r>
        <w:rPr>
          <w:rFonts w:ascii="Times New Roman" w:hAnsi="Times New Roman" w:eastAsia="黑体"/>
          <w:b w:val="0"/>
          <w:color w:val="auto"/>
          <w:sz w:val="24"/>
          <w:szCs w:val="24"/>
          <w:highlight w:val="none"/>
        </w:rPr>
        <w:t>7. 工期和进度</w:t>
      </w:r>
      <w:bookmarkEnd w:id="628"/>
    </w:p>
    <w:p w14:paraId="74923F88">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7.1 施工组织设计</w:t>
      </w:r>
    </w:p>
    <w:p w14:paraId="19D1962D">
      <w:pPr>
        <w:autoSpaceDE w:val="0"/>
        <w:autoSpaceDN w:val="0"/>
        <w:adjustRightInd w:val="0"/>
        <w:spacing w:line="360" w:lineRule="auto"/>
        <w:ind w:firstLine="480" w:firstLineChars="200"/>
        <w:jc w:val="left"/>
        <w:rPr>
          <w:rFonts w:hint="eastAsia" w:eastAsia="仿宋_GB2312"/>
          <w:color w:val="auto"/>
          <w:kern w:val="0"/>
          <w:sz w:val="24"/>
          <w:szCs w:val="24"/>
          <w:highlight w:val="none"/>
        </w:rPr>
      </w:pPr>
      <w:r>
        <w:rPr>
          <w:rFonts w:eastAsia="仿宋_GB2312"/>
          <w:color w:val="auto"/>
          <w:sz w:val="24"/>
          <w:szCs w:val="24"/>
          <w:highlight w:val="none"/>
        </w:rPr>
        <w:t>7.1.</w:t>
      </w:r>
      <w:r>
        <w:rPr>
          <w:rFonts w:hint="eastAsia" w:eastAsia="仿宋_GB2312"/>
          <w:color w:val="auto"/>
          <w:sz w:val="24"/>
          <w:szCs w:val="24"/>
          <w:highlight w:val="none"/>
        </w:rPr>
        <w:t>1 合</w:t>
      </w:r>
      <w:r>
        <w:rPr>
          <w:rFonts w:hint="eastAsia" w:eastAsia="仿宋_GB2312"/>
          <w:color w:val="auto"/>
          <w:kern w:val="0"/>
          <w:sz w:val="24"/>
          <w:szCs w:val="24"/>
          <w:highlight w:val="none"/>
        </w:rPr>
        <w:t>同当事人约定的</w:t>
      </w:r>
      <w:r>
        <w:rPr>
          <w:rFonts w:eastAsia="仿宋_GB2312"/>
          <w:color w:val="auto"/>
          <w:kern w:val="0"/>
          <w:sz w:val="24"/>
          <w:szCs w:val="24"/>
          <w:highlight w:val="none"/>
        </w:rPr>
        <w:t>施工组织设计</w:t>
      </w:r>
      <w:r>
        <w:rPr>
          <w:rFonts w:hint="eastAsia" w:eastAsia="仿宋_GB2312"/>
          <w:color w:val="auto"/>
          <w:kern w:val="0"/>
          <w:sz w:val="24"/>
          <w:szCs w:val="24"/>
          <w:highlight w:val="none"/>
        </w:rPr>
        <w:t>应包括的其他内容</w:t>
      </w:r>
      <w:r>
        <w:rPr>
          <w:rFonts w:eastAsia="仿宋_GB2312"/>
          <w:color w:val="auto"/>
          <w:kern w:val="0"/>
          <w:sz w:val="24"/>
          <w:szCs w:val="24"/>
          <w:highlight w:val="none"/>
        </w:rPr>
        <w:t>：</w:t>
      </w:r>
    </w:p>
    <w:p w14:paraId="7BE0F0D5">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7.1.</w:t>
      </w:r>
      <w:r>
        <w:rPr>
          <w:rFonts w:hint="eastAsia" w:eastAsia="仿宋_GB2312"/>
          <w:color w:val="auto"/>
          <w:sz w:val="24"/>
          <w:szCs w:val="24"/>
          <w:highlight w:val="none"/>
        </w:rPr>
        <w:t>1</w:t>
      </w:r>
      <w:r>
        <w:rPr>
          <w:rFonts w:eastAsia="仿宋_GB2312"/>
          <w:color w:val="auto"/>
          <w:sz w:val="24"/>
          <w:szCs w:val="24"/>
          <w:highlight w:val="none"/>
        </w:rPr>
        <w:t>.1</w:t>
      </w:r>
      <w:r>
        <w:rPr>
          <w:rFonts w:hint="eastAsia" w:eastAsia="仿宋_GB2312"/>
          <w:color w:val="auto"/>
          <w:sz w:val="24"/>
          <w:szCs w:val="24"/>
          <w:highlight w:val="none"/>
        </w:rPr>
        <w:t xml:space="preserve"> 承包人应于接到中标通知书后7天内向发包人提交工程进度计划（网络计划），应包括按总日历天数（包括法定节假日）计算完成某一阶段或某一工序及全部工程的天数及计划日期，进度计划应满足合同工期要求。进度计划经发包人及监理工程师批准后实施。</w:t>
      </w:r>
    </w:p>
    <w:p w14:paraId="43CDA42F">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7.1.</w:t>
      </w:r>
      <w:r>
        <w:rPr>
          <w:rFonts w:hint="eastAsia" w:eastAsia="仿宋_GB2312"/>
          <w:color w:val="auto"/>
          <w:sz w:val="24"/>
          <w:szCs w:val="24"/>
          <w:highlight w:val="none"/>
        </w:rPr>
        <w:t>1</w:t>
      </w:r>
      <w:r>
        <w:rPr>
          <w:rFonts w:eastAsia="仿宋_GB2312"/>
          <w:color w:val="auto"/>
          <w:sz w:val="24"/>
          <w:szCs w:val="24"/>
          <w:highlight w:val="none"/>
        </w:rPr>
        <w:t>.</w:t>
      </w:r>
      <w:r>
        <w:rPr>
          <w:rFonts w:hint="eastAsia" w:eastAsia="仿宋_GB2312"/>
          <w:color w:val="auto"/>
          <w:sz w:val="24"/>
          <w:szCs w:val="24"/>
          <w:highlight w:val="none"/>
        </w:rPr>
        <w:t>2承包人应于接到中标通知书28天内提交总体施工组织设计（施工方案）给发包人，该施工组织设计应当载明如下内容（包括但不限于）：</w:t>
      </w:r>
    </w:p>
    <w:p w14:paraId="318D68EB">
      <w:pPr>
        <w:autoSpaceDE w:val="0"/>
        <w:autoSpaceDN w:val="0"/>
        <w:adjustRightInd w:val="0"/>
        <w:spacing w:line="360" w:lineRule="auto"/>
        <w:ind w:firstLine="360" w:firstLineChars="150"/>
        <w:jc w:val="left"/>
        <w:rPr>
          <w:rFonts w:hint="eastAsia" w:eastAsia="仿宋_GB2312"/>
          <w:color w:val="auto"/>
          <w:sz w:val="24"/>
          <w:szCs w:val="24"/>
          <w:highlight w:val="none"/>
        </w:rPr>
      </w:pPr>
      <w:r>
        <w:rPr>
          <w:rFonts w:hint="eastAsia" w:eastAsia="仿宋_GB2312"/>
          <w:color w:val="auto"/>
          <w:sz w:val="24"/>
          <w:szCs w:val="24"/>
          <w:highlight w:val="none"/>
        </w:rPr>
        <w:t>（1）完整的施工方案；</w:t>
      </w:r>
    </w:p>
    <w:p w14:paraId="16F1576B">
      <w:pPr>
        <w:autoSpaceDE w:val="0"/>
        <w:autoSpaceDN w:val="0"/>
        <w:adjustRightInd w:val="0"/>
        <w:spacing w:line="360" w:lineRule="auto"/>
        <w:ind w:firstLine="360" w:firstLineChars="150"/>
        <w:jc w:val="left"/>
        <w:rPr>
          <w:rFonts w:hint="eastAsia" w:eastAsia="仿宋_GB2312"/>
          <w:color w:val="auto"/>
          <w:sz w:val="24"/>
          <w:szCs w:val="24"/>
          <w:highlight w:val="none"/>
        </w:rPr>
      </w:pPr>
      <w:r>
        <w:rPr>
          <w:rFonts w:hint="eastAsia" w:eastAsia="仿宋_GB2312"/>
          <w:color w:val="auto"/>
          <w:sz w:val="24"/>
          <w:szCs w:val="24"/>
          <w:highlight w:val="none"/>
        </w:rPr>
        <w:t>（2）施工资源投入计划，包括：机械设备进场计划、工程材料和物料进场计划、施工人员进场计划等；</w:t>
      </w:r>
    </w:p>
    <w:p w14:paraId="5BE91D2F">
      <w:pPr>
        <w:autoSpaceDE w:val="0"/>
        <w:autoSpaceDN w:val="0"/>
        <w:adjustRightInd w:val="0"/>
        <w:spacing w:line="360" w:lineRule="auto"/>
        <w:ind w:firstLine="360" w:firstLineChars="150"/>
        <w:jc w:val="left"/>
        <w:rPr>
          <w:rFonts w:hint="eastAsia" w:eastAsia="仿宋_GB2312"/>
          <w:color w:val="auto"/>
          <w:sz w:val="24"/>
          <w:szCs w:val="24"/>
          <w:highlight w:val="none"/>
        </w:rPr>
      </w:pPr>
      <w:r>
        <w:rPr>
          <w:rFonts w:hint="eastAsia" w:eastAsia="仿宋_GB2312"/>
          <w:color w:val="auto"/>
          <w:sz w:val="24"/>
          <w:szCs w:val="24"/>
          <w:highlight w:val="none"/>
        </w:rPr>
        <w:t>（3）施工现场平面布置图、施工道路平面图、临时设施的场地选择及布置等；</w:t>
      </w:r>
    </w:p>
    <w:p w14:paraId="6028175D">
      <w:pPr>
        <w:autoSpaceDE w:val="0"/>
        <w:autoSpaceDN w:val="0"/>
        <w:adjustRightInd w:val="0"/>
        <w:spacing w:line="360" w:lineRule="auto"/>
        <w:ind w:firstLine="360" w:firstLineChars="150"/>
        <w:jc w:val="left"/>
        <w:rPr>
          <w:rFonts w:hint="eastAsia" w:eastAsia="仿宋_GB2312"/>
          <w:color w:val="auto"/>
          <w:sz w:val="24"/>
          <w:szCs w:val="24"/>
          <w:highlight w:val="none"/>
        </w:rPr>
      </w:pPr>
      <w:r>
        <w:rPr>
          <w:rFonts w:hint="eastAsia" w:eastAsia="仿宋_GB2312"/>
          <w:color w:val="auto"/>
          <w:sz w:val="24"/>
          <w:szCs w:val="24"/>
          <w:highlight w:val="none"/>
        </w:rPr>
        <w:t>（4）关键性技术工作施工方案；</w:t>
      </w:r>
    </w:p>
    <w:p w14:paraId="13F5DEAC">
      <w:pPr>
        <w:autoSpaceDE w:val="0"/>
        <w:autoSpaceDN w:val="0"/>
        <w:adjustRightInd w:val="0"/>
        <w:spacing w:line="360" w:lineRule="auto"/>
        <w:ind w:firstLine="360" w:firstLineChars="150"/>
        <w:jc w:val="left"/>
        <w:rPr>
          <w:rFonts w:hint="eastAsia" w:eastAsia="仿宋_GB2312"/>
          <w:color w:val="auto"/>
          <w:sz w:val="24"/>
          <w:szCs w:val="24"/>
          <w:highlight w:val="none"/>
        </w:rPr>
      </w:pPr>
      <w:r>
        <w:rPr>
          <w:rFonts w:hint="eastAsia" w:eastAsia="仿宋_GB2312"/>
          <w:color w:val="auto"/>
          <w:sz w:val="24"/>
          <w:szCs w:val="24"/>
          <w:highlight w:val="none"/>
        </w:rPr>
        <w:t>（5）季节性施工措施；</w:t>
      </w:r>
    </w:p>
    <w:p w14:paraId="5FBC854D">
      <w:pPr>
        <w:autoSpaceDE w:val="0"/>
        <w:autoSpaceDN w:val="0"/>
        <w:adjustRightInd w:val="0"/>
        <w:spacing w:line="360" w:lineRule="auto"/>
        <w:ind w:firstLine="360" w:firstLineChars="150"/>
        <w:jc w:val="left"/>
        <w:rPr>
          <w:rFonts w:hint="eastAsia" w:eastAsia="仿宋_GB2312"/>
          <w:color w:val="auto"/>
          <w:sz w:val="24"/>
          <w:szCs w:val="24"/>
          <w:highlight w:val="none"/>
        </w:rPr>
      </w:pPr>
      <w:r>
        <w:rPr>
          <w:rFonts w:hint="eastAsia" w:eastAsia="仿宋_GB2312"/>
          <w:color w:val="auto"/>
          <w:sz w:val="24"/>
          <w:szCs w:val="24"/>
          <w:highlight w:val="none"/>
        </w:rPr>
        <w:t>（6）地下管线及其他地下设施的加固措施；</w:t>
      </w:r>
    </w:p>
    <w:p w14:paraId="374F5393">
      <w:pPr>
        <w:autoSpaceDE w:val="0"/>
        <w:autoSpaceDN w:val="0"/>
        <w:adjustRightInd w:val="0"/>
        <w:spacing w:line="360" w:lineRule="auto"/>
        <w:ind w:firstLine="360" w:firstLineChars="150"/>
        <w:jc w:val="left"/>
        <w:rPr>
          <w:rFonts w:hint="eastAsia" w:eastAsia="仿宋_GB2312"/>
          <w:color w:val="auto"/>
          <w:sz w:val="24"/>
          <w:szCs w:val="24"/>
          <w:highlight w:val="none"/>
        </w:rPr>
      </w:pPr>
      <w:r>
        <w:rPr>
          <w:rFonts w:hint="eastAsia" w:eastAsia="仿宋_GB2312"/>
          <w:color w:val="auto"/>
          <w:sz w:val="24"/>
          <w:szCs w:val="24"/>
          <w:highlight w:val="none"/>
        </w:rPr>
        <w:t>（7）保证工期、质量的措施；</w:t>
      </w:r>
    </w:p>
    <w:p w14:paraId="165F8B36">
      <w:pPr>
        <w:autoSpaceDE w:val="0"/>
        <w:autoSpaceDN w:val="0"/>
        <w:adjustRightInd w:val="0"/>
        <w:spacing w:line="360" w:lineRule="auto"/>
        <w:ind w:firstLine="360" w:firstLineChars="150"/>
        <w:jc w:val="left"/>
        <w:rPr>
          <w:rFonts w:hint="eastAsia" w:eastAsia="仿宋_GB2312"/>
          <w:color w:val="auto"/>
          <w:sz w:val="24"/>
          <w:szCs w:val="24"/>
          <w:highlight w:val="none"/>
        </w:rPr>
      </w:pPr>
      <w:r>
        <w:rPr>
          <w:rFonts w:hint="eastAsia" w:eastAsia="仿宋_GB2312"/>
          <w:color w:val="auto"/>
          <w:sz w:val="24"/>
          <w:szCs w:val="24"/>
          <w:highlight w:val="none"/>
        </w:rPr>
        <w:t>（8）保证安全生产，文明施工，减少扰民，降低环境污染和噪音的措施及安全应急措施；</w:t>
      </w:r>
    </w:p>
    <w:p w14:paraId="6E65CD7C">
      <w:pPr>
        <w:autoSpaceDE w:val="0"/>
        <w:autoSpaceDN w:val="0"/>
        <w:adjustRightInd w:val="0"/>
        <w:spacing w:line="360" w:lineRule="auto"/>
        <w:ind w:firstLine="360" w:firstLineChars="150"/>
        <w:jc w:val="left"/>
        <w:rPr>
          <w:rFonts w:hint="eastAsia" w:eastAsia="仿宋_GB2312"/>
          <w:color w:val="auto"/>
          <w:sz w:val="24"/>
          <w:szCs w:val="24"/>
          <w:highlight w:val="none"/>
        </w:rPr>
      </w:pPr>
      <w:r>
        <w:rPr>
          <w:rFonts w:hint="eastAsia" w:eastAsia="仿宋_GB2312"/>
          <w:color w:val="auto"/>
          <w:sz w:val="24"/>
          <w:szCs w:val="24"/>
          <w:highlight w:val="none"/>
        </w:rPr>
        <w:t>（9）妥善处理与相邻施工地作业现场关系的措施；</w:t>
      </w:r>
    </w:p>
    <w:p w14:paraId="5B4A36D3">
      <w:pPr>
        <w:autoSpaceDE w:val="0"/>
        <w:autoSpaceDN w:val="0"/>
        <w:adjustRightInd w:val="0"/>
        <w:spacing w:line="360" w:lineRule="auto"/>
        <w:ind w:firstLine="360" w:firstLineChars="150"/>
        <w:jc w:val="left"/>
        <w:rPr>
          <w:rFonts w:hint="eastAsia" w:eastAsia="仿宋_GB2312"/>
          <w:color w:val="auto"/>
          <w:sz w:val="24"/>
          <w:szCs w:val="24"/>
          <w:highlight w:val="none"/>
        </w:rPr>
      </w:pPr>
      <w:r>
        <w:rPr>
          <w:rFonts w:hint="eastAsia" w:eastAsia="仿宋_GB2312"/>
          <w:color w:val="auto"/>
          <w:sz w:val="24"/>
          <w:szCs w:val="24"/>
          <w:highlight w:val="none"/>
        </w:rPr>
        <w:t>（10）施工总承包管理配合服务方案；</w:t>
      </w:r>
    </w:p>
    <w:p w14:paraId="302CC879">
      <w:pPr>
        <w:autoSpaceDE w:val="0"/>
        <w:autoSpaceDN w:val="0"/>
        <w:adjustRightInd w:val="0"/>
        <w:spacing w:line="360" w:lineRule="auto"/>
        <w:ind w:firstLine="360" w:firstLineChars="150"/>
        <w:jc w:val="left"/>
        <w:rPr>
          <w:rFonts w:hint="eastAsia" w:eastAsia="仿宋_GB2312"/>
          <w:color w:val="auto"/>
          <w:sz w:val="24"/>
          <w:szCs w:val="24"/>
          <w:highlight w:val="none"/>
        </w:rPr>
      </w:pPr>
      <w:r>
        <w:rPr>
          <w:rFonts w:hint="eastAsia" w:eastAsia="仿宋_GB2312"/>
          <w:color w:val="auto"/>
          <w:sz w:val="24"/>
          <w:szCs w:val="24"/>
          <w:highlight w:val="none"/>
        </w:rPr>
        <w:t>（11）其他与工程施工有关的管理方案、措施。</w:t>
      </w:r>
    </w:p>
    <w:p w14:paraId="3D18BEE5">
      <w:pPr>
        <w:autoSpaceDE w:val="0"/>
        <w:autoSpaceDN w:val="0"/>
        <w:adjustRightInd w:val="0"/>
        <w:spacing w:line="360" w:lineRule="auto"/>
        <w:ind w:firstLine="360" w:firstLineChars="150"/>
        <w:jc w:val="left"/>
        <w:rPr>
          <w:rFonts w:hint="eastAsia" w:eastAsia="仿宋_GB2312"/>
          <w:color w:val="auto"/>
          <w:sz w:val="24"/>
          <w:szCs w:val="24"/>
          <w:highlight w:val="none"/>
        </w:rPr>
      </w:pPr>
      <w:r>
        <w:rPr>
          <w:rFonts w:hint="eastAsia" w:eastAsia="仿宋_GB2312"/>
          <w:color w:val="auto"/>
          <w:sz w:val="24"/>
          <w:szCs w:val="24"/>
          <w:highlight w:val="none"/>
        </w:rPr>
        <w:t>（12）材料、设备品牌报审计划；</w:t>
      </w:r>
    </w:p>
    <w:p w14:paraId="5A5D4536">
      <w:pPr>
        <w:autoSpaceDE w:val="0"/>
        <w:autoSpaceDN w:val="0"/>
        <w:adjustRightInd w:val="0"/>
        <w:spacing w:line="360" w:lineRule="auto"/>
        <w:ind w:firstLine="360" w:firstLineChars="150"/>
        <w:jc w:val="left"/>
        <w:rPr>
          <w:rFonts w:hint="eastAsia" w:eastAsia="仿宋_GB2312"/>
          <w:color w:val="auto"/>
          <w:sz w:val="24"/>
          <w:szCs w:val="24"/>
          <w:highlight w:val="none"/>
        </w:rPr>
      </w:pPr>
      <w:r>
        <w:rPr>
          <w:rFonts w:hint="eastAsia" w:eastAsia="仿宋_GB2312"/>
          <w:color w:val="auto"/>
          <w:sz w:val="24"/>
          <w:szCs w:val="24"/>
          <w:highlight w:val="none"/>
        </w:rPr>
        <w:t>（13）绿色建筑的实施细则；</w:t>
      </w:r>
    </w:p>
    <w:p w14:paraId="3A92499F">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承包人应于监理工程师要求的时间提交专项施工组织设计给发包人，专项施工组织设计的内容及要求应满足工程的需要。</w:t>
      </w:r>
    </w:p>
    <w:p w14:paraId="116E71EE">
      <w:pPr>
        <w:autoSpaceDE w:val="0"/>
        <w:autoSpaceDN w:val="0"/>
        <w:adjustRightInd w:val="0"/>
        <w:spacing w:line="360" w:lineRule="auto"/>
        <w:ind w:firstLine="480" w:firstLineChars="200"/>
        <w:jc w:val="left"/>
        <w:rPr>
          <w:rFonts w:eastAsia="仿宋_GB2312"/>
          <w:color w:val="auto"/>
          <w:sz w:val="24"/>
          <w:szCs w:val="24"/>
          <w:highlight w:val="none"/>
          <w:u w:val="single"/>
        </w:rPr>
      </w:pPr>
      <w:r>
        <w:rPr>
          <w:rFonts w:hint="eastAsia" w:eastAsia="仿宋_GB2312"/>
          <w:color w:val="auto"/>
          <w:sz w:val="24"/>
          <w:szCs w:val="24"/>
          <w:highlight w:val="none"/>
        </w:rPr>
        <w:t>承包人编制的施工组织设计内容应全面详实，且应有针对性的提出工程质量及工程安全方面的应急处理方案。</w:t>
      </w:r>
    </w:p>
    <w:p w14:paraId="554FDA55">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eastAsia="仿宋_GB2312"/>
          <w:color w:val="auto"/>
          <w:sz w:val="24"/>
          <w:szCs w:val="24"/>
          <w:highlight w:val="none"/>
        </w:rPr>
        <w:t xml:space="preserve">7.1.2 </w:t>
      </w:r>
      <w:r>
        <w:rPr>
          <w:rFonts w:eastAsia="仿宋_GB2312"/>
          <w:color w:val="auto"/>
          <w:kern w:val="0"/>
          <w:sz w:val="24"/>
          <w:szCs w:val="24"/>
          <w:highlight w:val="none"/>
        </w:rPr>
        <w:t>施工组织设计的提交和修改</w:t>
      </w:r>
    </w:p>
    <w:p w14:paraId="32A6BE74">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olor w:val="auto"/>
          <w:kern w:val="0"/>
          <w:sz w:val="24"/>
          <w:szCs w:val="24"/>
          <w:highlight w:val="none"/>
        </w:rPr>
        <w:t>承包人提交详细施工组织设计的期限的约定：</w:t>
      </w:r>
      <w:r>
        <w:rPr>
          <w:rFonts w:hint="eastAsia" w:eastAsia="仿宋_GB2312"/>
          <w:color w:val="auto"/>
          <w:sz w:val="24"/>
          <w:szCs w:val="24"/>
          <w:highlight w:val="none"/>
          <w:u w:val="single"/>
        </w:rPr>
        <w:t>见专用条款3.1条</w:t>
      </w:r>
      <w:r>
        <w:rPr>
          <w:rFonts w:eastAsia="仿宋_GB2312"/>
          <w:color w:val="auto"/>
          <w:sz w:val="24"/>
          <w:szCs w:val="24"/>
          <w:highlight w:val="none"/>
        </w:rPr>
        <w:t>。</w:t>
      </w:r>
    </w:p>
    <w:p w14:paraId="2F36ACB4">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发包人和监理人在收到</w:t>
      </w:r>
      <w:r>
        <w:rPr>
          <w:rFonts w:hint="eastAsia" w:eastAsia="仿宋_GB2312"/>
          <w:color w:val="auto"/>
          <w:sz w:val="24"/>
          <w:szCs w:val="24"/>
          <w:highlight w:val="none"/>
        </w:rPr>
        <w:t>详细的施工组织设计</w:t>
      </w:r>
      <w:r>
        <w:rPr>
          <w:rFonts w:eastAsia="仿宋_GB2312"/>
          <w:color w:val="auto"/>
          <w:sz w:val="24"/>
          <w:szCs w:val="24"/>
          <w:highlight w:val="none"/>
        </w:rPr>
        <w:t>后确认或提出修改意见的期限：</w:t>
      </w:r>
      <w:r>
        <w:rPr>
          <w:rFonts w:hint="eastAsia" w:eastAsia="仿宋_GB2312"/>
          <w:color w:val="auto"/>
          <w:sz w:val="24"/>
          <w:szCs w:val="24"/>
          <w:highlight w:val="none"/>
          <w:u w:val="single"/>
        </w:rPr>
        <w:t>14天内</w:t>
      </w:r>
      <w:r>
        <w:rPr>
          <w:rFonts w:eastAsia="仿宋_GB2312"/>
          <w:color w:val="auto"/>
          <w:sz w:val="24"/>
          <w:szCs w:val="24"/>
          <w:highlight w:val="none"/>
          <w:u w:val="single"/>
        </w:rPr>
        <w:t>。</w:t>
      </w:r>
    </w:p>
    <w:p w14:paraId="00F8CD20">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7</w:t>
      </w:r>
      <w:bookmarkStart w:id="629" w:name="_Toc304295541"/>
      <w:bookmarkStart w:id="630" w:name="_Toc312678005"/>
      <w:bookmarkStart w:id="631" w:name="_Toc300934966"/>
      <w:bookmarkStart w:id="632" w:name="_Toc297123514"/>
      <w:bookmarkStart w:id="633" w:name="_Toc303539123"/>
      <w:bookmarkStart w:id="634" w:name="_Toc312677479"/>
      <w:bookmarkStart w:id="635" w:name="_Toc297216173"/>
      <w:r>
        <w:rPr>
          <w:rFonts w:eastAsia="黑体"/>
          <w:color w:val="auto"/>
          <w:sz w:val="24"/>
          <w:szCs w:val="24"/>
          <w:highlight w:val="none"/>
        </w:rPr>
        <w:t>.2 施工进度计划</w:t>
      </w:r>
    </w:p>
    <w:p w14:paraId="3382478C">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7.2.2 施工进度计划的修订</w:t>
      </w:r>
    </w:p>
    <w:p w14:paraId="5FB86F49">
      <w:pPr>
        <w:spacing w:line="360" w:lineRule="auto"/>
        <w:ind w:firstLine="645"/>
        <w:jc w:val="left"/>
        <w:rPr>
          <w:rFonts w:hint="eastAsia" w:eastAsia="仿宋_GB2312"/>
          <w:color w:val="auto"/>
          <w:sz w:val="24"/>
          <w:szCs w:val="24"/>
          <w:highlight w:val="none"/>
          <w:u w:val="single"/>
        </w:rPr>
      </w:pPr>
      <w:r>
        <w:rPr>
          <w:rFonts w:eastAsia="仿宋_GB2312"/>
          <w:color w:val="auto"/>
          <w:sz w:val="24"/>
          <w:szCs w:val="24"/>
          <w:highlight w:val="none"/>
        </w:rPr>
        <w:t>发包人和监理人在收到修订的施工进度计划后确认或提出修改意见的期限：</w:t>
      </w:r>
      <w:r>
        <w:rPr>
          <w:rFonts w:hint="eastAsia" w:eastAsia="仿宋_GB2312"/>
          <w:color w:val="auto"/>
          <w:sz w:val="24"/>
          <w:szCs w:val="24"/>
          <w:highlight w:val="none"/>
          <w:u w:val="single"/>
        </w:rPr>
        <w:t>承包人应编制月施工进度报告并每季对进度计划修订一次，并分别在每月及季结束后的7天内一式两份提交。提交施工月进度报告的时间：每月21日；提交进度计划修订的时间：发生进度偏移后的2天内。承包人亦应按规定提交周报告。月施工进度报告的内容至少应包括：</w:t>
      </w:r>
    </w:p>
    <w:p w14:paraId="0518DBE1">
      <w:pPr>
        <w:spacing w:line="360" w:lineRule="auto"/>
        <w:ind w:firstLine="645"/>
        <w:jc w:val="left"/>
        <w:rPr>
          <w:rFonts w:hint="eastAsia" w:eastAsia="仿宋_GB2312"/>
          <w:color w:val="auto"/>
          <w:sz w:val="24"/>
          <w:szCs w:val="24"/>
          <w:highlight w:val="none"/>
        </w:rPr>
      </w:pPr>
      <w:r>
        <w:rPr>
          <w:rFonts w:hint="eastAsia" w:eastAsia="仿宋_GB2312"/>
          <w:color w:val="auto"/>
          <w:sz w:val="24"/>
          <w:szCs w:val="24"/>
          <w:highlight w:val="none"/>
        </w:rPr>
        <w:t xml:space="preserve"> (1)</w:t>
      </w:r>
      <w:r>
        <w:rPr>
          <w:rFonts w:hint="eastAsia" w:eastAsia="仿宋_GB2312"/>
          <w:color w:val="auto"/>
          <w:sz w:val="24"/>
          <w:szCs w:val="24"/>
          <w:highlight w:val="none"/>
        </w:rPr>
        <w:tab/>
      </w:r>
      <w:r>
        <w:rPr>
          <w:rFonts w:hint="eastAsia" w:eastAsia="仿宋_GB2312"/>
          <w:color w:val="auto"/>
          <w:sz w:val="24"/>
          <w:szCs w:val="24"/>
          <w:highlight w:val="none"/>
        </w:rPr>
        <w:t>施工、安装、试验以及发包人工作等进展情况的图表和说明；</w:t>
      </w:r>
    </w:p>
    <w:p w14:paraId="49FE4A66">
      <w:pPr>
        <w:spacing w:line="360" w:lineRule="auto"/>
        <w:ind w:firstLine="645"/>
        <w:jc w:val="left"/>
        <w:rPr>
          <w:rFonts w:hint="eastAsia" w:eastAsia="仿宋_GB2312"/>
          <w:color w:val="auto"/>
          <w:sz w:val="24"/>
          <w:szCs w:val="24"/>
          <w:highlight w:val="none"/>
        </w:rPr>
      </w:pPr>
      <w:r>
        <w:rPr>
          <w:rFonts w:hint="eastAsia" w:eastAsia="仿宋_GB2312"/>
          <w:color w:val="auto"/>
          <w:sz w:val="24"/>
          <w:szCs w:val="24"/>
          <w:highlight w:val="none"/>
        </w:rPr>
        <w:t>(2)材料、设备、货物的采购和制造商名称、地点以及进入现场情况；</w:t>
      </w:r>
    </w:p>
    <w:p w14:paraId="6635C5B9">
      <w:pPr>
        <w:spacing w:line="360" w:lineRule="auto"/>
        <w:ind w:firstLine="645"/>
        <w:jc w:val="left"/>
        <w:rPr>
          <w:rFonts w:hint="eastAsia" w:eastAsia="仿宋_GB2312"/>
          <w:color w:val="auto"/>
          <w:sz w:val="24"/>
          <w:szCs w:val="24"/>
          <w:highlight w:val="none"/>
        </w:rPr>
      </w:pPr>
      <w:r>
        <w:rPr>
          <w:rFonts w:hint="eastAsia" w:eastAsia="仿宋_GB2312"/>
          <w:color w:val="auto"/>
          <w:sz w:val="24"/>
          <w:szCs w:val="24"/>
          <w:highlight w:val="none"/>
        </w:rPr>
        <w:t>(3)索赔情况和安全统计；</w:t>
      </w:r>
    </w:p>
    <w:p w14:paraId="2D721A43">
      <w:pPr>
        <w:spacing w:line="360" w:lineRule="auto"/>
        <w:ind w:firstLine="645"/>
        <w:jc w:val="left"/>
        <w:rPr>
          <w:rFonts w:hint="eastAsia" w:eastAsia="仿宋_GB2312"/>
          <w:color w:val="auto"/>
          <w:sz w:val="24"/>
          <w:szCs w:val="24"/>
          <w:highlight w:val="none"/>
        </w:rPr>
      </w:pPr>
      <w:r>
        <w:rPr>
          <w:rFonts w:hint="eastAsia" w:eastAsia="仿宋_GB2312"/>
          <w:color w:val="auto"/>
          <w:sz w:val="24"/>
          <w:szCs w:val="24"/>
          <w:highlight w:val="none"/>
        </w:rPr>
        <w:t>(4)实际进度与计划进度的对比、总承包人分包人对进度延误的责任，以及为消除延误正在或准备采取的措施；</w:t>
      </w:r>
    </w:p>
    <w:p w14:paraId="70E1F3E3">
      <w:pPr>
        <w:spacing w:line="360" w:lineRule="auto"/>
        <w:ind w:firstLine="645"/>
        <w:jc w:val="left"/>
        <w:rPr>
          <w:rFonts w:hint="eastAsia" w:eastAsia="仿宋_GB2312"/>
          <w:color w:val="auto"/>
          <w:sz w:val="24"/>
          <w:szCs w:val="24"/>
          <w:highlight w:val="none"/>
          <w:u w:val="single"/>
        </w:rPr>
      </w:pPr>
      <w:r>
        <w:rPr>
          <w:rFonts w:hint="eastAsia" w:eastAsia="仿宋_GB2312"/>
          <w:color w:val="auto"/>
          <w:sz w:val="24"/>
          <w:szCs w:val="24"/>
          <w:highlight w:val="none"/>
        </w:rPr>
        <w:t>(5)按当地住建部门的要求，提交相应的报告、资料。</w:t>
      </w:r>
    </w:p>
    <w:p w14:paraId="278D4333">
      <w:pPr>
        <w:spacing w:line="360" w:lineRule="auto"/>
        <w:ind w:firstLine="482" w:firstLineChars="200"/>
        <w:jc w:val="left"/>
        <w:rPr>
          <w:rFonts w:hint="eastAsia" w:eastAsia="仿宋_GB2312"/>
          <w:color w:val="auto"/>
          <w:sz w:val="24"/>
          <w:szCs w:val="24"/>
          <w:highlight w:val="none"/>
        </w:rPr>
      </w:pPr>
      <w:r>
        <w:rPr>
          <w:rFonts w:hint="eastAsia" w:eastAsia="仿宋_GB2312"/>
          <w:b/>
          <w:bCs/>
          <w:color w:val="auto"/>
          <w:sz w:val="24"/>
          <w:szCs w:val="24"/>
          <w:highlight w:val="none"/>
        </w:rPr>
        <w:t>补充实际进度与进度计划不符时的处理约定：</w:t>
      </w:r>
    </w:p>
    <w:p w14:paraId="0CF4DC78">
      <w:pPr>
        <w:spacing w:line="360" w:lineRule="auto"/>
        <w:ind w:firstLine="645"/>
        <w:jc w:val="left"/>
        <w:rPr>
          <w:rFonts w:hint="eastAsia" w:eastAsia="仿宋_GB2312"/>
          <w:color w:val="auto"/>
          <w:sz w:val="24"/>
          <w:szCs w:val="24"/>
          <w:highlight w:val="none"/>
        </w:rPr>
      </w:pPr>
      <w:r>
        <w:rPr>
          <w:rFonts w:hint="eastAsia" w:eastAsia="仿宋_GB2312"/>
          <w:color w:val="auto"/>
          <w:sz w:val="24"/>
          <w:szCs w:val="24"/>
          <w:highlight w:val="none"/>
        </w:rPr>
        <w:t>如果监理工程师指出承包人的实际进度和经确认的进度计划不符时，承包人应按监理工程师的要求提出改进措施，经监理工程师确认后执行。因承包人原因导致实际进度与计划进度不符，承包人无权就改进措施要求支付任何附加的费用。工程进度计划即使经监理工程师、发包人确认，也不能免除承包人根据合同约定应负的任何责任和义务。</w:t>
      </w:r>
    </w:p>
    <w:p w14:paraId="0B61C5B3">
      <w:pPr>
        <w:spacing w:line="360" w:lineRule="auto"/>
        <w:ind w:firstLine="645"/>
        <w:jc w:val="left"/>
        <w:rPr>
          <w:rFonts w:eastAsia="仿宋_GB2312"/>
          <w:color w:val="auto"/>
          <w:sz w:val="24"/>
          <w:szCs w:val="24"/>
          <w:highlight w:val="none"/>
        </w:rPr>
      </w:pPr>
      <w:r>
        <w:rPr>
          <w:rFonts w:hint="eastAsia" w:eastAsia="仿宋_GB2312"/>
          <w:color w:val="auto"/>
          <w:sz w:val="24"/>
          <w:szCs w:val="24"/>
          <w:highlight w:val="none"/>
        </w:rPr>
        <w:t>工程实际进度与经监理工程师确认的进度计划或者更新进度计划不符时，监理工程师认为本工程或其中任何部分工程进度滞后而不能按预定工期完工，则应将此情况通知承包人，承包人应据此编制修改工程进度计划，采取监理工程师同意的必要措施加快工程进度，属承包人原因，则承包人无权要求发包人支付任何附加费用。如承包人未能在监理工程师发布指令后10天内采取有效措施，工程进度仍然无明显改进，承包人承担严重违约责任，且发包人有权部分或全部解除合同，将未完工程另行发包或者划拨给其他有能力的承包商，承包人必须无条件服从，由此所造成的全部损失（包括但不限于因交予第三方施工导致发包人额外增加的费用，如第三方施工造价高于承包人签约合同价等情况）由承包人承担。</w:t>
      </w:r>
    </w:p>
    <w:p w14:paraId="7D7B0AA9">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7.3 开工</w:t>
      </w:r>
    </w:p>
    <w:p w14:paraId="4EF27A1A">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7.3.1 开工准备</w:t>
      </w:r>
    </w:p>
    <w:p w14:paraId="6528F4EA">
      <w:pPr>
        <w:spacing w:line="360" w:lineRule="auto"/>
        <w:ind w:firstLine="645"/>
        <w:jc w:val="left"/>
        <w:rPr>
          <w:rFonts w:eastAsia="仿宋_GB2312"/>
          <w:color w:val="auto"/>
          <w:sz w:val="24"/>
          <w:szCs w:val="24"/>
          <w:highlight w:val="none"/>
          <w:u w:val="single"/>
        </w:rPr>
      </w:pPr>
      <w:r>
        <w:rPr>
          <w:rFonts w:eastAsia="仿宋_GB2312"/>
          <w:color w:val="auto"/>
          <w:sz w:val="24"/>
          <w:szCs w:val="24"/>
          <w:highlight w:val="none"/>
        </w:rPr>
        <w:t>关于承包人提交</w:t>
      </w:r>
      <w:r>
        <w:rPr>
          <w:rFonts w:eastAsia="仿宋_GB2312"/>
          <w:color w:val="auto"/>
          <w:kern w:val="0"/>
          <w:sz w:val="24"/>
          <w:szCs w:val="24"/>
          <w:highlight w:val="none"/>
        </w:rPr>
        <w:t>工程开工报审表的期限：</w:t>
      </w:r>
      <w:r>
        <w:rPr>
          <w:rFonts w:hint="eastAsia" w:eastAsia="仿宋_GB2312"/>
          <w:color w:val="auto"/>
          <w:sz w:val="24"/>
          <w:szCs w:val="24"/>
          <w:highlight w:val="none"/>
          <w:u w:val="single"/>
        </w:rPr>
        <w:t>办理施工许可证后14天内向监理工程师提交开工申请，并附上表明已做好开工准备的有关资料</w:t>
      </w:r>
      <w:r>
        <w:rPr>
          <w:rFonts w:eastAsia="仿宋_GB2312"/>
          <w:color w:val="auto"/>
          <w:sz w:val="24"/>
          <w:szCs w:val="24"/>
          <w:highlight w:val="none"/>
          <w:u w:val="single"/>
        </w:rPr>
        <w:t>。</w:t>
      </w:r>
    </w:p>
    <w:p w14:paraId="131D5688">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7.3.2开工通知</w:t>
      </w:r>
    </w:p>
    <w:bookmarkEnd w:id="629"/>
    <w:bookmarkEnd w:id="630"/>
    <w:bookmarkEnd w:id="631"/>
    <w:bookmarkEnd w:id="632"/>
    <w:bookmarkEnd w:id="633"/>
    <w:bookmarkEnd w:id="634"/>
    <w:bookmarkEnd w:id="635"/>
    <w:p w14:paraId="7C9ABED8">
      <w:pPr>
        <w:spacing w:line="360" w:lineRule="auto"/>
        <w:ind w:firstLine="645"/>
        <w:jc w:val="left"/>
        <w:rPr>
          <w:rFonts w:hint="eastAsia" w:eastAsia="仿宋_GB2312"/>
          <w:b/>
          <w:bCs/>
          <w:color w:val="auto"/>
          <w:sz w:val="24"/>
          <w:szCs w:val="24"/>
          <w:highlight w:val="none"/>
        </w:rPr>
      </w:pPr>
      <w:r>
        <w:rPr>
          <w:rFonts w:hint="eastAsia" w:eastAsia="仿宋_GB2312"/>
          <w:b/>
          <w:bCs/>
          <w:color w:val="auto"/>
          <w:sz w:val="24"/>
          <w:szCs w:val="24"/>
          <w:highlight w:val="none"/>
        </w:rPr>
        <w:t>通用条款</w:t>
      </w:r>
      <w:r>
        <w:rPr>
          <w:rFonts w:eastAsia="仿宋_GB2312"/>
          <w:b/>
          <w:bCs/>
          <w:color w:val="auto"/>
          <w:sz w:val="24"/>
          <w:szCs w:val="24"/>
          <w:highlight w:val="none"/>
        </w:rPr>
        <w:t>7.3.2</w:t>
      </w:r>
      <w:r>
        <w:rPr>
          <w:rFonts w:hint="eastAsia" w:eastAsia="仿宋_GB2312"/>
          <w:b/>
          <w:bCs/>
          <w:color w:val="auto"/>
          <w:sz w:val="24"/>
          <w:szCs w:val="24"/>
          <w:highlight w:val="none"/>
        </w:rPr>
        <w:t>条不适用，替换为：</w:t>
      </w:r>
    </w:p>
    <w:p w14:paraId="2C6FEC99">
      <w:pPr>
        <w:spacing w:line="360" w:lineRule="auto"/>
        <w:ind w:firstLine="645"/>
        <w:jc w:val="left"/>
        <w:rPr>
          <w:rFonts w:eastAsia="仿宋_GB2312"/>
          <w:color w:val="auto"/>
          <w:sz w:val="24"/>
          <w:szCs w:val="24"/>
          <w:highlight w:val="none"/>
        </w:rPr>
      </w:pPr>
      <w:r>
        <w:rPr>
          <w:rFonts w:hint="eastAsia" w:eastAsia="仿宋_GB2312"/>
          <w:color w:val="auto"/>
          <w:sz w:val="24"/>
          <w:szCs w:val="24"/>
          <w:highlight w:val="none"/>
        </w:rPr>
        <w:t>承包人接受发包人的委托，承包人</w:t>
      </w:r>
      <w:r>
        <w:rPr>
          <w:rFonts w:eastAsia="仿宋_GB2312"/>
          <w:color w:val="auto"/>
          <w:sz w:val="24"/>
          <w:szCs w:val="24"/>
          <w:highlight w:val="none"/>
        </w:rPr>
        <w:t>应</w:t>
      </w:r>
      <w:r>
        <w:rPr>
          <w:rFonts w:hint="eastAsia" w:eastAsia="仿宋_GB2312"/>
          <w:color w:val="auto"/>
          <w:sz w:val="24"/>
          <w:szCs w:val="24"/>
          <w:highlight w:val="none"/>
        </w:rPr>
        <w:t>积极依法</w:t>
      </w:r>
      <w:r>
        <w:rPr>
          <w:rFonts w:eastAsia="仿宋_GB2312"/>
          <w:color w:val="auto"/>
          <w:sz w:val="24"/>
          <w:szCs w:val="24"/>
          <w:highlight w:val="none"/>
        </w:rPr>
        <w:t>获得工程施工所需的许可。经发包人同意后，监理人发出的开工通知应符合法律规定。监理人应在计划开工日期7天前向承包人发出开工通知，工期自开工通知中载明的开工日期起算。</w:t>
      </w:r>
    </w:p>
    <w:p w14:paraId="47218536">
      <w:pPr>
        <w:spacing w:line="360" w:lineRule="auto"/>
        <w:ind w:firstLine="645"/>
        <w:jc w:val="left"/>
        <w:rPr>
          <w:rFonts w:hint="eastAsia" w:eastAsia="仿宋_GB2312"/>
          <w:color w:val="auto"/>
          <w:sz w:val="24"/>
          <w:szCs w:val="24"/>
          <w:highlight w:val="none"/>
        </w:rPr>
      </w:pPr>
      <w:r>
        <w:rPr>
          <w:rFonts w:hint="eastAsia" w:eastAsia="仿宋_GB2312"/>
          <w:color w:val="auto"/>
          <w:sz w:val="24"/>
          <w:szCs w:val="24"/>
          <w:highlight w:val="none"/>
        </w:rPr>
        <w:t>因发包人原因不能在规定的时间内发出</w:t>
      </w:r>
      <w:r>
        <w:rPr>
          <w:rFonts w:eastAsia="仿宋_GB2312"/>
          <w:color w:val="auto"/>
          <w:sz w:val="24"/>
          <w:szCs w:val="24"/>
          <w:highlight w:val="none"/>
        </w:rPr>
        <w:t>开工通知</w:t>
      </w:r>
      <w:r>
        <w:rPr>
          <w:rFonts w:hint="eastAsia" w:eastAsia="仿宋_GB2312"/>
          <w:color w:val="auto"/>
          <w:sz w:val="24"/>
          <w:szCs w:val="24"/>
          <w:highlight w:val="none"/>
        </w:rPr>
        <w:t>的，监理工程师应至少提前3天以书面形式通知承包人推迟开工，承包人不得以此为由向发包人要求费用补偿，发包人不赔偿因此而给承包人造成的损失。</w:t>
      </w:r>
    </w:p>
    <w:p w14:paraId="467E7027">
      <w:pPr>
        <w:spacing w:line="360" w:lineRule="auto"/>
        <w:ind w:firstLine="645"/>
        <w:jc w:val="left"/>
        <w:rPr>
          <w:rFonts w:eastAsia="仿宋_GB2312"/>
          <w:color w:val="auto"/>
          <w:sz w:val="24"/>
          <w:szCs w:val="24"/>
          <w:highlight w:val="none"/>
        </w:rPr>
      </w:pPr>
      <w:r>
        <w:rPr>
          <w:rFonts w:hint="eastAsia" w:eastAsia="仿宋_GB2312"/>
          <w:color w:val="auto"/>
          <w:sz w:val="24"/>
          <w:szCs w:val="24"/>
          <w:highlight w:val="none"/>
        </w:rPr>
        <w:t>承包人必须提前进入施工场地，做好施工准备工作，按照约定的开工日期开工，然后一直保持合同工程连续均衡地施工。</w:t>
      </w:r>
    </w:p>
    <w:p w14:paraId="4066379F">
      <w:pPr>
        <w:spacing w:line="360" w:lineRule="auto"/>
        <w:ind w:firstLine="645"/>
        <w:jc w:val="left"/>
        <w:rPr>
          <w:rFonts w:hint="eastAsia" w:eastAsia="仿宋_GB2312"/>
          <w:color w:val="auto"/>
          <w:sz w:val="24"/>
          <w:szCs w:val="24"/>
          <w:highlight w:val="none"/>
        </w:rPr>
      </w:pPr>
      <w:r>
        <w:rPr>
          <w:rFonts w:hint="eastAsia" w:eastAsia="仿宋_GB2312"/>
          <w:b/>
          <w:bCs/>
          <w:color w:val="auto"/>
          <w:sz w:val="24"/>
          <w:szCs w:val="24"/>
          <w:highlight w:val="none"/>
        </w:rPr>
        <w:t>增加</w:t>
      </w:r>
      <w:r>
        <w:rPr>
          <w:rFonts w:eastAsia="仿宋_GB2312"/>
          <w:b/>
          <w:bCs/>
          <w:color w:val="auto"/>
          <w:sz w:val="24"/>
          <w:szCs w:val="24"/>
          <w:highlight w:val="none"/>
        </w:rPr>
        <w:t>7.3.3</w:t>
      </w:r>
      <w:r>
        <w:rPr>
          <w:rFonts w:hint="eastAsia" w:eastAsia="仿宋_GB2312"/>
          <w:b/>
          <w:bCs/>
          <w:color w:val="auto"/>
          <w:sz w:val="24"/>
          <w:szCs w:val="24"/>
          <w:highlight w:val="none"/>
        </w:rPr>
        <w:t>条款，具体如下：</w:t>
      </w:r>
    </w:p>
    <w:p w14:paraId="60A66B03">
      <w:pPr>
        <w:spacing w:line="360" w:lineRule="auto"/>
        <w:ind w:firstLine="645"/>
        <w:jc w:val="left"/>
        <w:rPr>
          <w:rFonts w:hint="eastAsia" w:eastAsia="仿宋_GB2312"/>
          <w:color w:val="auto"/>
          <w:sz w:val="24"/>
          <w:szCs w:val="24"/>
          <w:highlight w:val="none"/>
        </w:rPr>
      </w:pPr>
      <w:r>
        <w:rPr>
          <w:rFonts w:eastAsia="仿宋_GB2312"/>
          <w:color w:val="auto"/>
          <w:sz w:val="24"/>
          <w:szCs w:val="24"/>
          <w:highlight w:val="none"/>
        </w:rPr>
        <w:t>7.3.</w:t>
      </w:r>
      <w:r>
        <w:rPr>
          <w:rFonts w:hint="eastAsia" w:eastAsia="仿宋_GB2312"/>
          <w:color w:val="auto"/>
          <w:sz w:val="24"/>
          <w:szCs w:val="24"/>
          <w:highlight w:val="none"/>
        </w:rPr>
        <w:t>3承包人不按时开工的处理程序和责任</w:t>
      </w:r>
    </w:p>
    <w:p w14:paraId="6D2DF076">
      <w:pPr>
        <w:spacing w:line="360" w:lineRule="auto"/>
        <w:ind w:firstLine="645"/>
        <w:jc w:val="left"/>
        <w:rPr>
          <w:rFonts w:hint="eastAsia" w:eastAsia="仿宋_GB2312"/>
          <w:color w:val="auto"/>
          <w:sz w:val="24"/>
          <w:szCs w:val="24"/>
          <w:highlight w:val="none"/>
        </w:rPr>
      </w:pPr>
      <w:r>
        <w:rPr>
          <w:rFonts w:hint="eastAsia" w:eastAsia="仿宋_GB2312"/>
          <w:color w:val="auto"/>
          <w:sz w:val="24"/>
          <w:szCs w:val="24"/>
          <w:highlight w:val="none"/>
        </w:rPr>
        <w:t>（1）承包人不能按时开工，应在接到开工令后立即以书面形式向监理工程师提出延期开工的要求并说明理由。监理工程师应当在接到延期开工申请后的48小时内书面予以答复，否则视为同意。由于承包人原因不能按时开工造成的损失由承包人承担，工期不予顺延。</w:t>
      </w:r>
    </w:p>
    <w:p w14:paraId="50869FF0">
      <w:pPr>
        <w:spacing w:line="360" w:lineRule="auto"/>
        <w:ind w:firstLine="645"/>
        <w:jc w:val="left"/>
        <w:rPr>
          <w:rFonts w:hint="eastAsia" w:eastAsia="仿宋_GB2312"/>
          <w:color w:val="auto"/>
          <w:sz w:val="24"/>
          <w:szCs w:val="24"/>
          <w:highlight w:val="none"/>
        </w:rPr>
      </w:pPr>
      <w:r>
        <w:rPr>
          <w:rFonts w:hint="eastAsia" w:eastAsia="仿宋_GB2312"/>
          <w:color w:val="auto"/>
          <w:sz w:val="24"/>
          <w:szCs w:val="24"/>
          <w:highlight w:val="none"/>
        </w:rPr>
        <w:t xml:space="preserve">（2）在工程已具备开工条件，但因承包人自身的原因（包括项目经理及现场管理机构尚未到位等）而无法实际开工的，经发包人书面同意，监理工程师可以签发开工令，工期开始正式计算，但现场不允许开工；再由监理工程师发出停工令，待承包人准备妥当后才批准复工。由此产生的工期延误等损失由承包人承担，并按照第  </w:t>
      </w:r>
      <w:r>
        <w:rPr>
          <w:rFonts w:eastAsia="仿宋_GB2312"/>
          <w:color w:val="auto"/>
          <w:sz w:val="24"/>
          <w:szCs w:val="24"/>
          <w:highlight w:val="none"/>
        </w:rPr>
        <w:t xml:space="preserve">7.5.2 </w:t>
      </w:r>
      <w:r>
        <w:rPr>
          <w:rFonts w:hint="eastAsia" w:eastAsia="仿宋_GB2312"/>
          <w:color w:val="auto"/>
          <w:sz w:val="24"/>
          <w:szCs w:val="24"/>
          <w:highlight w:val="none"/>
        </w:rPr>
        <w:t>条规定承担相应违约责任。</w:t>
      </w:r>
    </w:p>
    <w:p w14:paraId="79507D11">
      <w:pPr>
        <w:spacing w:line="360" w:lineRule="auto"/>
        <w:ind w:firstLine="645"/>
        <w:jc w:val="left"/>
        <w:rPr>
          <w:rFonts w:eastAsia="仿宋_GB2312"/>
          <w:color w:val="auto"/>
          <w:sz w:val="24"/>
          <w:szCs w:val="24"/>
          <w:highlight w:val="none"/>
        </w:rPr>
      </w:pPr>
      <w:r>
        <w:rPr>
          <w:rFonts w:hint="eastAsia" w:eastAsia="仿宋_GB2312"/>
          <w:color w:val="auto"/>
          <w:sz w:val="24"/>
          <w:szCs w:val="24"/>
          <w:highlight w:val="none"/>
        </w:rPr>
        <w:t>（3）承包人须接受在进场日期当天的现场实况。如发现现场出现任何缺陷及影响本工程之永久施工时，应实时通知发包人。若因承包人忽视现场情况，及后因原有建筑物的缺陷而引至工程上错误或损坏，在发包人提出要求时，承包人需自费重建、修复该等错误或损坏。</w:t>
      </w:r>
    </w:p>
    <w:p w14:paraId="709D86A8">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7.4 测量放线</w:t>
      </w:r>
    </w:p>
    <w:p w14:paraId="2E16EA9E">
      <w:pPr>
        <w:spacing w:line="360" w:lineRule="auto"/>
        <w:ind w:firstLine="480" w:firstLineChars="200"/>
        <w:jc w:val="left"/>
        <w:rPr>
          <w:rFonts w:hint="eastAsia" w:eastAsia="仿宋_GB2312"/>
          <w:color w:val="auto"/>
          <w:sz w:val="24"/>
          <w:szCs w:val="24"/>
          <w:highlight w:val="none"/>
          <w:u w:val="single"/>
        </w:rPr>
      </w:pPr>
      <w:r>
        <w:rPr>
          <w:rFonts w:eastAsia="仿宋_GB2312"/>
          <w:color w:val="auto"/>
          <w:sz w:val="24"/>
          <w:szCs w:val="24"/>
          <w:highlight w:val="none"/>
        </w:rPr>
        <w:t>7.4.1发包人通过监理人向承包人提供测量基准点、基准线和水准点及其书面资料的期限：</w:t>
      </w:r>
      <w:r>
        <w:rPr>
          <w:rFonts w:hint="eastAsia" w:eastAsia="仿宋_GB2312"/>
          <w:color w:val="auto"/>
          <w:sz w:val="24"/>
          <w:szCs w:val="24"/>
          <w:highlight w:val="none"/>
          <w:u w:val="single"/>
        </w:rPr>
        <w:t>开工日期前7天</w:t>
      </w:r>
      <w:r>
        <w:rPr>
          <w:rFonts w:eastAsia="仿宋_GB2312"/>
          <w:color w:val="auto"/>
          <w:sz w:val="24"/>
          <w:szCs w:val="24"/>
          <w:highlight w:val="none"/>
          <w:u w:val="single"/>
        </w:rPr>
        <w:t>。</w:t>
      </w:r>
    </w:p>
    <w:p w14:paraId="0CCEC2D5">
      <w:pPr>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增加</w:t>
      </w:r>
      <w:r>
        <w:rPr>
          <w:rFonts w:eastAsia="仿宋_GB2312"/>
          <w:b/>
          <w:bCs/>
          <w:color w:val="auto"/>
          <w:sz w:val="24"/>
          <w:szCs w:val="24"/>
          <w:highlight w:val="none"/>
        </w:rPr>
        <w:t>7.4.3</w:t>
      </w:r>
      <w:r>
        <w:rPr>
          <w:rFonts w:hint="eastAsia" w:eastAsia="仿宋_GB2312"/>
          <w:b/>
          <w:bCs/>
          <w:color w:val="auto"/>
          <w:sz w:val="24"/>
          <w:szCs w:val="24"/>
          <w:highlight w:val="none"/>
        </w:rPr>
        <w:t>~</w:t>
      </w:r>
      <w:r>
        <w:rPr>
          <w:rFonts w:eastAsia="仿宋_GB2312"/>
          <w:b/>
          <w:bCs/>
          <w:color w:val="auto"/>
          <w:sz w:val="24"/>
          <w:szCs w:val="24"/>
          <w:highlight w:val="none"/>
        </w:rPr>
        <w:t>7.4.4</w:t>
      </w:r>
      <w:r>
        <w:rPr>
          <w:rFonts w:hint="eastAsia" w:eastAsia="仿宋_GB2312"/>
          <w:b/>
          <w:bCs/>
          <w:color w:val="auto"/>
          <w:sz w:val="24"/>
          <w:szCs w:val="24"/>
          <w:highlight w:val="none"/>
        </w:rPr>
        <w:t>条款，具体如下：</w:t>
      </w:r>
    </w:p>
    <w:p w14:paraId="0479A23E">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7.4.3</w:t>
      </w:r>
      <w:r>
        <w:rPr>
          <w:rFonts w:hint="eastAsia" w:eastAsia="仿宋_GB2312"/>
          <w:color w:val="auto"/>
          <w:sz w:val="24"/>
          <w:szCs w:val="24"/>
          <w:highlight w:val="none"/>
        </w:rPr>
        <w:t>在开工之前，承包人应核实图纸所示的所有尺寸和地面标高。当实际尺寸或标高与图纸所示出现任何的不一致时，应立刻提交给发包人澄清。发包人对任何该类不一致的澄清指令应是最终的决定。</w:t>
      </w:r>
    </w:p>
    <w:p w14:paraId="65686B3F">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7.4</w:t>
      </w:r>
      <w:r>
        <w:rPr>
          <w:rFonts w:hint="eastAsia" w:eastAsia="仿宋_GB2312"/>
          <w:color w:val="auto"/>
          <w:sz w:val="24"/>
          <w:szCs w:val="24"/>
          <w:highlight w:val="none"/>
        </w:rPr>
        <w:t>.</w:t>
      </w:r>
      <w:r>
        <w:rPr>
          <w:rFonts w:eastAsia="仿宋_GB2312"/>
          <w:color w:val="auto"/>
          <w:sz w:val="24"/>
          <w:szCs w:val="24"/>
          <w:highlight w:val="none"/>
        </w:rPr>
        <w:t>4</w:t>
      </w:r>
      <w:r>
        <w:rPr>
          <w:rFonts w:hint="eastAsia" w:eastAsia="仿宋_GB2312"/>
          <w:color w:val="auto"/>
          <w:sz w:val="24"/>
          <w:szCs w:val="24"/>
          <w:highlight w:val="none"/>
        </w:rPr>
        <w:t>承包人应向平行发包工程、分包工程及其他后续工程施工单位提供保存完好的一切基准点、基准线和其他有关的标志。</w:t>
      </w:r>
    </w:p>
    <w:p w14:paraId="43B2B516">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7</w:t>
      </w:r>
      <w:bookmarkStart w:id="636" w:name="_Toc303539125"/>
      <w:bookmarkStart w:id="637" w:name="_Toc312678010"/>
      <w:bookmarkStart w:id="638" w:name="_Toc300934968"/>
      <w:bookmarkStart w:id="639" w:name="_Toc297123516"/>
      <w:bookmarkStart w:id="640" w:name="_Toc297216175"/>
      <w:bookmarkStart w:id="641" w:name="_Toc312677484"/>
      <w:bookmarkStart w:id="642" w:name="_Toc304295546"/>
      <w:r>
        <w:rPr>
          <w:rFonts w:eastAsia="黑体"/>
          <w:color w:val="auto"/>
          <w:sz w:val="24"/>
          <w:szCs w:val="24"/>
          <w:highlight w:val="none"/>
        </w:rPr>
        <w:t>.5 工期延误</w:t>
      </w:r>
    </w:p>
    <w:bookmarkEnd w:id="636"/>
    <w:bookmarkEnd w:id="637"/>
    <w:bookmarkEnd w:id="638"/>
    <w:bookmarkEnd w:id="639"/>
    <w:bookmarkEnd w:id="640"/>
    <w:bookmarkEnd w:id="641"/>
    <w:bookmarkEnd w:id="642"/>
    <w:p w14:paraId="2120D001">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7.5.1 因发包人原因导致工期延误</w:t>
      </w:r>
    </w:p>
    <w:p w14:paraId="2974DD03">
      <w:pPr>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通用条款7.5.1条款不适用，替换为：</w:t>
      </w:r>
    </w:p>
    <w:p w14:paraId="61BABFD9">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7.5.1 因发包人原因导致工期延误</w:t>
      </w:r>
    </w:p>
    <w:p w14:paraId="47A8A5B4">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在合同履行过程中，因下列情况导致工期延误和（或）费用增加的，承包人有权按如下约定申请工期顺延。</w:t>
      </w:r>
    </w:p>
    <w:p w14:paraId="72B5E6B5">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（1）发包人未能按合同约定提供图纸或所提供图纸不符合合同约定的；</w:t>
      </w:r>
    </w:p>
    <w:p w14:paraId="0ADF9A53">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（2）发包人未能按合同约定提供施工现场、施工条件、基础资料、许可、批准等开工条件的；</w:t>
      </w:r>
    </w:p>
    <w:p w14:paraId="37EF6C35">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（3）发包人提供的测量基准点、基准线和水准点及其书面资料存在错误或疏漏的</w:t>
      </w:r>
      <w:r>
        <w:rPr>
          <w:rFonts w:hint="eastAsia" w:eastAsia="仿宋_GB2312"/>
          <w:color w:val="auto"/>
          <w:sz w:val="24"/>
          <w:szCs w:val="24"/>
          <w:highlight w:val="none"/>
        </w:rPr>
        <w:t>，且承包人在接收场地时已书面提出的</w:t>
      </w:r>
      <w:r>
        <w:rPr>
          <w:rFonts w:eastAsia="仿宋_GB2312"/>
          <w:color w:val="auto"/>
          <w:sz w:val="24"/>
          <w:szCs w:val="24"/>
          <w:highlight w:val="none"/>
        </w:rPr>
        <w:t>；</w:t>
      </w:r>
    </w:p>
    <w:p w14:paraId="219FE6D5">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（4）</w:t>
      </w:r>
      <w:r>
        <w:rPr>
          <w:rFonts w:hint="eastAsia" w:eastAsia="仿宋_GB2312"/>
          <w:color w:val="auto"/>
          <w:sz w:val="24"/>
          <w:szCs w:val="24"/>
          <w:highlight w:val="none"/>
        </w:rPr>
        <w:t>工程变更，工程量增加影响关键节点工期；</w:t>
      </w:r>
    </w:p>
    <w:p w14:paraId="6956F8D5">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（5）</w:t>
      </w:r>
      <w:r>
        <w:rPr>
          <w:rFonts w:hint="eastAsia" w:eastAsia="仿宋_GB2312"/>
          <w:color w:val="auto"/>
          <w:sz w:val="24"/>
          <w:szCs w:val="24"/>
          <w:highlight w:val="none"/>
        </w:rPr>
        <w:t>因</w:t>
      </w:r>
      <w:r>
        <w:rPr>
          <w:rFonts w:eastAsia="仿宋_GB2312"/>
          <w:color w:val="auto"/>
          <w:sz w:val="24"/>
          <w:szCs w:val="24"/>
          <w:highlight w:val="none"/>
        </w:rPr>
        <w:t>发包人</w:t>
      </w:r>
      <w:r>
        <w:rPr>
          <w:rFonts w:hint="eastAsia" w:eastAsia="仿宋_GB2312"/>
          <w:color w:val="auto"/>
          <w:sz w:val="24"/>
          <w:szCs w:val="24"/>
          <w:highlight w:val="none"/>
        </w:rPr>
        <w:t>原因</w:t>
      </w:r>
      <w:r>
        <w:rPr>
          <w:rFonts w:eastAsia="仿宋_GB2312"/>
          <w:color w:val="auto"/>
          <w:sz w:val="24"/>
          <w:szCs w:val="24"/>
          <w:highlight w:val="none"/>
        </w:rPr>
        <w:t>未能按合同约定支付工程预付款、进度款的；</w:t>
      </w:r>
    </w:p>
    <w:p w14:paraId="28BCE65D">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（6）监理人未按合同约定发出指示、批准等文件的；</w:t>
      </w:r>
    </w:p>
    <w:p w14:paraId="60AB934B">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（7）非承包人失误、违约，以及监理工程师同意工期顺延的其它情况；</w:t>
      </w:r>
    </w:p>
    <w:p w14:paraId="21386933">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因上述原因影响关键线路，工程不能在原定的日期或按本合同条款已延长了的日期之前完成，则承包人须在有关事件发生后</w:t>
      </w:r>
      <w:r>
        <w:rPr>
          <w:rFonts w:eastAsia="仿宋_GB2312"/>
          <w:color w:val="auto"/>
          <w:sz w:val="24"/>
          <w:szCs w:val="24"/>
          <w:highlight w:val="none"/>
        </w:rPr>
        <w:t>7天内以书面详细通知发包人，发包人须在收悉前述通知后的合理时间内以书面批准有关工期合理的延长。</w:t>
      </w:r>
    </w:p>
    <w:p w14:paraId="2C01E80A">
      <w:pPr>
        <w:widowControl/>
        <w:tabs>
          <w:tab w:val="left" w:pos="1418"/>
        </w:tabs>
        <w:spacing w:line="360" w:lineRule="auto"/>
        <w:ind w:left="1" w:firstLine="566" w:firstLineChars="236"/>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若因上述的原因（其它原因除外）</w:t>
      </w:r>
      <w:r>
        <w:rPr>
          <w:rFonts w:ascii="仿宋_GB2312" w:eastAsia="仿宋_GB2312"/>
          <w:color w:val="auto"/>
          <w:sz w:val="24"/>
          <w:szCs w:val="24"/>
          <w:highlight w:val="none"/>
        </w:rPr>
        <w:t>工期延误且</w:t>
      </w:r>
      <w:r>
        <w:rPr>
          <w:rFonts w:hint="eastAsia" w:ascii="仿宋_GB2312" w:eastAsia="仿宋_GB2312"/>
          <w:color w:val="auto"/>
          <w:sz w:val="24"/>
          <w:szCs w:val="24"/>
          <w:highlight w:val="none"/>
        </w:rPr>
        <w:t>延误时间不超过30日历天（包括30日历天），承包人</w:t>
      </w:r>
      <w:r>
        <w:rPr>
          <w:rFonts w:ascii="仿宋_GB2312" w:eastAsia="仿宋_GB2312"/>
          <w:color w:val="auto"/>
          <w:sz w:val="24"/>
          <w:szCs w:val="24"/>
          <w:highlight w:val="none"/>
        </w:rPr>
        <w:t>应采取赶工措施以确保本工程于合同工期内完成，赶工的费用视作已考虑于签约合同价内，合同工期不会再予延长，发包人亦不会再补偿任何费用；</w:t>
      </w:r>
    </w:p>
    <w:p w14:paraId="4D20F857">
      <w:pPr>
        <w:widowControl/>
        <w:tabs>
          <w:tab w:val="left" w:pos="1418"/>
        </w:tabs>
        <w:spacing w:line="360" w:lineRule="auto"/>
        <w:ind w:left="1" w:firstLine="566" w:firstLineChars="236"/>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若因上述原因（其它原因除外）</w:t>
      </w:r>
      <w:r>
        <w:rPr>
          <w:rFonts w:ascii="仿宋_GB2312" w:eastAsia="仿宋_GB2312"/>
          <w:color w:val="auto"/>
          <w:sz w:val="24"/>
          <w:szCs w:val="24"/>
          <w:highlight w:val="none"/>
        </w:rPr>
        <w:t>工期延误且延误时间超过</w:t>
      </w:r>
      <w:r>
        <w:rPr>
          <w:rFonts w:hint="eastAsia" w:ascii="仿宋_GB2312" w:eastAsia="仿宋_GB2312"/>
          <w:color w:val="auto"/>
          <w:sz w:val="24"/>
          <w:szCs w:val="24"/>
          <w:highlight w:val="none"/>
        </w:rPr>
        <w:t>30日历天的，</w:t>
      </w:r>
      <w:r>
        <w:rPr>
          <w:rFonts w:ascii="仿宋_GB2312" w:eastAsia="仿宋_GB2312"/>
          <w:color w:val="auto"/>
          <w:sz w:val="24"/>
          <w:szCs w:val="24"/>
          <w:highlight w:val="none"/>
        </w:rPr>
        <w:t>超过</w:t>
      </w:r>
      <w:r>
        <w:rPr>
          <w:rFonts w:hint="eastAsia" w:ascii="仿宋_GB2312" w:eastAsia="仿宋_GB2312"/>
          <w:color w:val="auto"/>
          <w:sz w:val="24"/>
          <w:szCs w:val="24"/>
          <w:highlight w:val="none"/>
        </w:rPr>
        <w:t>30日历天</w:t>
      </w:r>
      <w:r>
        <w:rPr>
          <w:rFonts w:ascii="仿宋_GB2312" w:eastAsia="仿宋_GB2312"/>
          <w:color w:val="auto"/>
          <w:sz w:val="24"/>
          <w:szCs w:val="24"/>
          <w:highlight w:val="none"/>
        </w:rPr>
        <w:t>以外的工期可予延长但发包人不会补偿任何费用</w:t>
      </w:r>
      <w:r>
        <w:rPr>
          <w:rFonts w:hint="eastAsia" w:ascii="仿宋_GB2312" w:eastAsia="仿宋_GB2312"/>
          <w:color w:val="auto"/>
          <w:sz w:val="24"/>
          <w:szCs w:val="24"/>
          <w:highlight w:val="none"/>
        </w:rPr>
        <w:t>；</w:t>
      </w:r>
    </w:p>
    <w:p w14:paraId="79269B05">
      <w:pPr>
        <w:widowControl/>
        <w:tabs>
          <w:tab w:val="left" w:pos="1418"/>
        </w:tabs>
        <w:spacing w:line="360" w:lineRule="auto"/>
        <w:ind w:left="1" w:firstLine="566" w:firstLineChars="236"/>
        <w:jc w:val="left"/>
        <w:rPr>
          <w:rFonts w:ascii="仿宋_GB2312" w:eastAsia="仿宋_GB2312"/>
          <w:color w:val="auto"/>
          <w:sz w:val="24"/>
          <w:szCs w:val="24"/>
          <w:highlight w:val="none"/>
        </w:rPr>
      </w:pPr>
      <w:r>
        <w:rPr>
          <w:rFonts w:eastAsia="仿宋_GB2312"/>
          <w:color w:val="auto"/>
          <w:sz w:val="24"/>
          <w:szCs w:val="24"/>
          <w:highlight w:val="none"/>
        </w:rPr>
        <w:t>因第三方原因包括不可抗力</w:t>
      </w:r>
      <w:r>
        <w:rPr>
          <w:rFonts w:hint="eastAsia" w:eastAsia="仿宋_GB2312"/>
          <w:color w:val="auto"/>
          <w:sz w:val="24"/>
          <w:szCs w:val="24"/>
          <w:highlight w:val="none"/>
        </w:rPr>
        <w:t>、政府要求的停工（非承包人原因）</w:t>
      </w:r>
      <w:r>
        <w:rPr>
          <w:rFonts w:eastAsia="仿宋_GB2312"/>
          <w:color w:val="auto"/>
          <w:sz w:val="24"/>
          <w:szCs w:val="24"/>
          <w:highlight w:val="none"/>
        </w:rPr>
        <w:t>及</w:t>
      </w:r>
      <w:r>
        <w:rPr>
          <w:rFonts w:hint="eastAsia" w:eastAsia="仿宋_GB2312"/>
          <w:color w:val="auto"/>
          <w:sz w:val="24"/>
          <w:szCs w:val="24"/>
          <w:highlight w:val="none"/>
        </w:rPr>
        <w:t>专用条款</w:t>
      </w:r>
      <w:r>
        <w:rPr>
          <w:rFonts w:eastAsia="仿宋_GB2312"/>
          <w:color w:val="auto"/>
          <w:sz w:val="24"/>
          <w:szCs w:val="24"/>
          <w:highlight w:val="none"/>
        </w:rPr>
        <w:t>第7.7条所述的异常恶劣的气候条件原因影响关键线路，</w:t>
      </w:r>
      <w:r>
        <w:rPr>
          <w:rFonts w:hint="eastAsia" w:eastAsia="仿宋_GB2312"/>
          <w:color w:val="auto"/>
          <w:sz w:val="24"/>
          <w:szCs w:val="24"/>
          <w:highlight w:val="none"/>
        </w:rPr>
        <w:t>影响</w:t>
      </w:r>
      <w:r>
        <w:rPr>
          <w:rFonts w:hint="eastAsia" w:ascii="仿宋_GB2312" w:eastAsia="仿宋_GB2312"/>
          <w:color w:val="auto"/>
          <w:sz w:val="24"/>
          <w:szCs w:val="24"/>
          <w:highlight w:val="none"/>
        </w:rPr>
        <w:t>时间不超过30日历天（包括30日历天），</w:t>
      </w:r>
      <w:r>
        <w:rPr>
          <w:rFonts w:ascii="仿宋_GB2312" w:eastAsia="仿宋_GB2312"/>
          <w:color w:val="auto"/>
          <w:sz w:val="24"/>
          <w:szCs w:val="24"/>
          <w:highlight w:val="none"/>
        </w:rPr>
        <w:t>合同工期不予延长，发包人亦</w:t>
      </w:r>
      <w:r>
        <w:rPr>
          <w:rFonts w:hint="eastAsia" w:eastAsia="仿宋_GB2312"/>
          <w:color w:val="auto"/>
          <w:sz w:val="24"/>
          <w:szCs w:val="24"/>
          <w:highlight w:val="none"/>
        </w:rPr>
        <w:t>无需承担费用补偿或赔偿责任</w:t>
      </w:r>
      <w:r>
        <w:rPr>
          <w:rFonts w:ascii="仿宋_GB2312" w:eastAsia="仿宋_GB2312"/>
          <w:color w:val="auto"/>
          <w:sz w:val="24"/>
          <w:szCs w:val="24"/>
          <w:highlight w:val="none"/>
        </w:rPr>
        <w:t>；</w:t>
      </w:r>
      <w:r>
        <w:rPr>
          <w:rFonts w:hint="eastAsia" w:eastAsia="仿宋_GB2312"/>
          <w:color w:val="auto"/>
          <w:sz w:val="24"/>
          <w:szCs w:val="24"/>
          <w:highlight w:val="none"/>
        </w:rPr>
        <w:t>累计</w:t>
      </w:r>
      <w:r>
        <w:rPr>
          <w:rFonts w:eastAsia="仿宋_GB2312"/>
          <w:color w:val="auto"/>
          <w:sz w:val="24"/>
          <w:szCs w:val="24"/>
          <w:highlight w:val="none"/>
        </w:rPr>
        <w:t>超过</w:t>
      </w:r>
      <w:r>
        <w:rPr>
          <w:rFonts w:hint="eastAsia" w:eastAsia="仿宋_GB2312"/>
          <w:color w:val="auto"/>
          <w:sz w:val="24"/>
          <w:szCs w:val="24"/>
          <w:highlight w:val="none"/>
        </w:rPr>
        <w:t>30</w:t>
      </w:r>
      <w:r>
        <w:rPr>
          <w:rFonts w:eastAsia="仿宋_GB2312"/>
          <w:color w:val="auto"/>
          <w:sz w:val="24"/>
          <w:szCs w:val="24"/>
          <w:highlight w:val="none"/>
        </w:rPr>
        <w:t>天以外的工期可予</w:t>
      </w:r>
      <w:r>
        <w:rPr>
          <w:rFonts w:hint="eastAsia" w:eastAsia="仿宋_GB2312"/>
          <w:color w:val="auto"/>
          <w:sz w:val="24"/>
          <w:szCs w:val="24"/>
          <w:highlight w:val="none"/>
        </w:rPr>
        <w:t>顺延但发包人无需承担费用补偿或赔偿责任。但政府发文规定发包人必须在停工期间承担补偿责任的，则按政府规定执行。</w:t>
      </w:r>
    </w:p>
    <w:p w14:paraId="1034AF4B">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因发包人原因未按计划开工日期开工的，发包人应按实际开工日期顺延竣工日期，确保实际工期不低于合同约定的工期总日历天数</w:t>
      </w:r>
      <w:r>
        <w:rPr>
          <w:rFonts w:hint="eastAsia" w:eastAsia="仿宋_GB2312"/>
          <w:color w:val="auto"/>
          <w:sz w:val="24"/>
          <w:szCs w:val="24"/>
          <w:highlight w:val="none"/>
        </w:rPr>
        <w:t>，</w:t>
      </w:r>
      <w:r>
        <w:rPr>
          <w:rFonts w:eastAsia="仿宋_GB2312"/>
          <w:color w:val="auto"/>
          <w:sz w:val="24"/>
          <w:szCs w:val="24"/>
          <w:highlight w:val="none"/>
        </w:rPr>
        <w:t>但发包人</w:t>
      </w:r>
      <w:r>
        <w:rPr>
          <w:rFonts w:hint="eastAsia" w:eastAsia="仿宋_GB2312"/>
          <w:color w:val="auto"/>
          <w:sz w:val="24"/>
          <w:szCs w:val="24"/>
          <w:highlight w:val="none"/>
        </w:rPr>
        <w:t>不承担任何</w:t>
      </w:r>
      <w:r>
        <w:rPr>
          <w:rFonts w:eastAsia="仿宋_GB2312"/>
          <w:color w:val="auto"/>
          <w:sz w:val="24"/>
          <w:szCs w:val="24"/>
          <w:highlight w:val="none"/>
        </w:rPr>
        <w:t>费用的补</w:t>
      </w:r>
      <w:r>
        <w:rPr>
          <w:rFonts w:hint="eastAsia" w:eastAsia="仿宋_GB2312"/>
          <w:color w:val="auto"/>
          <w:sz w:val="24"/>
          <w:szCs w:val="24"/>
          <w:highlight w:val="none"/>
        </w:rPr>
        <w:t>（赔）</w:t>
      </w:r>
      <w:r>
        <w:rPr>
          <w:rFonts w:eastAsia="仿宋_GB2312"/>
          <w:color w:val="auto"/>
          <w:sz w:val="24"/>
          <w:szCs w:val="24"/>
          <w:highlight w:val="none"/>
        </w:rPr>
        <w:t>偿。因发包人原因导致工期延误需要修订施工进度计划的，按照</w:t>
      </w:r>
      <w:r>
        <w:rPr>
          <w:rFonts w:hint="eastAsia" w:eastAsia="仿宋_GB2312"/>
          <w:color w:val="auto"/>
          <w:sz w:val="24"/>
          <w:szCs w:val="24"/>
          <w:highlight w:val="none"/>
        </w:rPr>
        <w:t>专用条款</w:t>
      </w:r>
      <w:r>
        <w:rPr>
          <w:rFonts w:eastAsia="仿宋_GB2312"/>
          <w:color w:val="auto"/>
          <w:sz w:val="24"/>
          <w:szCs w:val="24"/>
          <w:highlight w:val="none"/>
        </w:rPr>
        <w:t>第7.2.2项</w:t>
      </w:r>
      <w:r>
        <w:rPr>
          <w:rFonts w:hint="eastAsia" w:eastAsia="仿宋_GB2312"/>
          <w:color w:val="auto"/>
          <w:sz w:val="24"/>
          <w:szCs w:val="24"/>
          <w:highlight w:val="none"/>
        </w:rPr>
        <w:t>〔</w:t>
      </w:r>
      <w:r>
        <w:rPr>
          <w:rFonts w:eastAsia="仿宋_GB2312"/>
          <w:color w:val="auto"/>
          <w:sz w:val="24"/>
          <w:szCs w:val="24"/>
          <w:highlight w:val="none"/>
        </w:rPr>
        <w:t>施工进度计划的修订</w:t>
      </w:r>
      <w:r>
        <w:rPr>
          <w:rFonts w:hint="eastAsia" w:eastAsia="仿宋_GB2312"/>
          <w:color w:val="auto"/>
          <w:sz w:val="24"/>
          <w:szCs w:val="24"/>
          <w:highlight w:val="none"/>
        </w:rPr>
        <w:t>〕</w:t>
      </w:r>
      <w:r>
        <w:rPr>
          <w:rFonts w:eastAsia="仿宋_GB2312"/>
          <w:color w:val="auto"/>
          <w:sz w:val="24"/>
          <w:szCs w:val="24"/>
          <w:highlight w:val="none"/>
        </w:rPr>
        <w:t>执行。</w:t>
      </w:r>
    </w:p>
    <w:p w14:paraId="183B78CD">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顺延工期的天数，由承包人提出，经监理工程师核实后，由发包人、承包人协商确定；协商不能达成一致的，由监理工程师暂定，通知承包人并抄报发包人。</w:t>
      </w:r>
    </w:p>
    <w:p w14:paraId="16F307A7">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7</w:t>
      </w:r>
      <w:bookmarkStart w:id="643" w:name="_Toc300934970"/>
      <w:bookmarkStart w:id="644" w:name="_Toc297123518"/>
      <w:bookmarkStart w:id="645" w:name="_Toc318581169"/>
      <w:bookmarkStart w:id="646" w:name="_Toc312678012"/>
      <w:bookmarkStart w:id="647" w:name="_Toc297216177"/>
      <w:bookmarkStart w:id="648" w:name="_Toc303539127"/>
      <w:bookmarkStart w:id="649" w:name="_Toc304295548"/>
      <w:bookmarkStart w:id="650" w:name="_Toc312677486"/>
      <w:r>
        <w:rPr>
          <w:rFonts w:eastAsia="仿宋_GB2312"/>
          <w:color w:val="auto"/>
          <w:sz w:val="24"/>
          <w:szCs w:val="24"/>
          <w:highlight w:val="none"/>
        </w:rPr>
        <w:t>.5.2 因承包人原因导致工期延误</w:t>
      </w:r>
    </w:p>
    <w:bookmarkEnd w:id="643"/>
    <w:bookmarkEnd w:id="644"/>
    <w:bookmarkEnd w:id="645"/>
    <w:bookmarkEnd w:id="646"/>
    <w:bookmarkEnd w:id="647"/>
    <w:bookmarkEnd w:id="648"/>
    <w:bookmarkEnd w:id="649"/>
    <w:bookmarkEnd w:id="650"/>
    <w:p w14:paraId="27AA61B4">
      <w:pPr>
        <w:spacing w:line="360" w:lineRule="auto"/>
        <w:ind w:firstLine="482" w:firstLineChars="200"/>
        <w:jc w:val="left"/>
        <w:rPr>
          <w:rFonts w:hint="eastAsia" w:eastAsia="仿宋_GB2312"/>
          <w:color w:val="auto"/>
          <w:sz w:val="24"/>
          <w:szCs w:val="24"/>
          <w:highlight w:val="none"/>
        </w:rPr>
      </w:pPr>
      <w:r>
        <w:rPr>
          <w:rFonts w:hint="eastAsia" w:eastAsia="仿宋_GB2312"/>
          <w:b/>
          <w:bCs/>
          <w:color w:val="auto"/>
          <w:sz w:val="24"/>
          <w:szCs w:val="24"/>
          <w:highlight w:val="none"/>
        </w:rPr>
        <w:t>增加</w:t>
      </w:r>
      <w:r>
        <w:rPr>
          <w:rFonts w:eastAsia="仿宋_GB2312"/>
          <w:b/>
          <w:bCs/>
          <w:color w:val="auto"/>
          <w:sz w:val="24"/>
          <w:szCs w:val="24"/>
          <w:highlight w:val="none"/>
        </w:rPr>
        <w:t>7.5.2.1</w:t>
      </w:r>
      <w:r>
        <w:rPr>
          <w:rFonts w:hint="eastAsia" w:eastAsia="仿宋_GB2312"/>
          <w:b/>
          <w:bCs/>
          <w:color w:val="auto"/>
          <w:sz w:val="24"/>
          <w:szCs w:val="24"/>
          <w:highlight w:val="none"/>
        </w:rPr>
        <w:t>~</w:t>
      </w:r>
      <w:r>
        <w:rPr>
          <w:rFonts w:eastAsia="仿宋_GB2312"/>
          <w:b/>
          <w:bCs/>
          <w:color w:val="auto"/>
          <w:sz w:val="24"/>
          <w:szCs w:val="24"/>
          <w:highlight w:val="none"/>
        </w:rPr>
        <w:t>7.5.2.</w:t>
      </w:r>
      <w:r>
        <w:rPr>
          <w:rFonts w:hint="eastAsia" w:eastAsia="仿宋_GB2312"/>
          <w:b/>
          <w:bCs/>
          <w:color w:val="auto"/>
          <w:sz w:val="24"/>
          <w:szCs w:val="24"/>
          <w:highlight w:val="none"/>
        </w:rPr>
        <w:t>5条款，具体如下：</w:t>
      </w:r>
    </w:p>
    <w:p w14:paraId="05204EAD">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因</w:t>
      </w:r>
      <w:bookmarkStart w:id="651" w:name="_Toc312678013"/>
      <w:bookmarkStart w:id="652" w:name="_Toc312677487"/>
      <w:bookmarkStart w:id="653" w:name="_Toc318581170"/>
      <w:r>
        <w:rPr>
          <w:rFonts w:hint="eastAsia" w:eastAsia="仿宋_GB2312"/>
          <w:color w:val="auto"/>
          <w:sz w:val="24"/>
          <w:szCs w:val="24"/>
          <w:highlight w:val="none"/>
        </w:rPr>
        <w:t>承包人原因造成工期延误，</w:t>
      </w:r>
      <w:bookmarkEnd w:id="651"/>
      <w:bookmarkEnd w:id="652"/>
      <w:r>
        <w:rPr>
          <w:rFonts w:hint="eastAsia" w:eastAsia="仿宋_GB2312"/>
          <w:color w:val="auto"/>
          <w:sz w:val="24"/>
          <w:szCs w:val="24"/>
          <w:highlight w:val="none"/>
        </w:rPr>
        <w:t>承包人须承担相应违约责任。</w:t>
      </w:r>
    </w:p>
    <w:p w14:paraId="6872F14B">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7.5.2.1</w:t>
      </w:r>
      <w:r>
        <w:rPr>
          <w:rFonts w:hint="eastAsia" w:eastAsia="仿宋_GB2312"/>
          <w:color w:val="auto"/>
          <w:sz w:val="24"/>
          <w:szCs w:val="24"/>
          <w:highlight w:val="none"/>
        </w:rPr>
        <w:t xml:space="preserve"> 承包人违反第</w:t>
      </w:r>
      <w:r>
        <w:rPr>
          <w:rFonts w:eastAsia="仿宋_GB2312"/>
          <w:color w:val="auto"/>
          <w:sz w:val="24"/>
          <w:szCs w:val="24"/>
          <w:highlight w:val="none"/>
        </w:rPr>
        <w:t>7.3</w:t>
      </w:r>
      <w:r>
        <w:rPr>
          <w:rFonts w:hint="eastAsia" w:eastAsia="仿宋_GB2312"/>
          <w:color w:val="auto"/>
          <w:sz w:val="24"/>
          <w:szCs w:val="24"/>
          <w:highlight w:val="none"/>
        </w:rPr>
        <w:t>条约定延期开工的，每迟延开工1天，应给发包人支付5万元违约金；迟延开工超过15天的，发包人有权解除合同，将本工程另行发包，但并不免除承包人的违约赔偿责任；对于一般节点工期延误时，发包人有权视严重程度作出一般违约至解除合同的违约处罚。造成发包人经济损失的，承包人还应据实赔偿。</w:t>
      </w:r>
    </w:p>
    <w:p w14:paraId="12D20127">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7.5.2.</w:t>
      </w:r>
      <w:r>
        <w:rPr>
          <w:rFonts w:hint="eastAsia" w:eastAsia="仿宋_GB2312"/>
          <w:color w:val="auto"/>
          <w:sz w:val="24"/>
          <w:szCs w:val="24"/>
          <w:highlight w:val="none"/>
        </w:rPr>
        <w:t>2 承包人因第7</w:t>
      </w:r>
      <w:r>
        <w:rPr>
          <w:rFonts w:eastAsia="仿宋_GB2312"/>
          <w:color w:val="auto"/>
          <w:sz w:val="24"/>
          <w:szCs w:val="24"/>
          <w:highlight w:val="none"/>
        </w:rPr>
        <w:t>.5</w:t>
      </w:r>
      <w:r>
        <w:rPr>
          <w:rFonts w:hint="eastAsia" w:eastAsia="仿宋_GB2312"/>
          <w:color w:val="auto"/>
          <w:sz w:val="24"/>
          <w:szCs w:val="24"/>
          <w:highlight w:val="none"/>
        </w:rPr>
        <w:t>条约定造成工期延误后，对于工程关键节点工期延误的情况，承包人应在2天内制定出具体可行的自行赶工措施，报发包人和监理工程师批准。如发包人认为承包人的赶工计划不可行，承包人应立即改正直至发包人满意为止，否则，承包人须承担严重违约责任，同时，发包人有权要求全部或部分解除合同，并可以要求承包人赔偿发包人的实际损失。</w:t>
      </w:r>
    </w:p>
    <w:p w14:paraId="24088CE9">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7.5.2.</w:t>
      </w:r>
      <w:r>
        <w:rPr>
          <w:rFonts w:hint="eastAsia" w:eastAsia="仿宋_GB2312"/>
          <w:color w:val="auto"/>
          <w:sz w:val="24"/>
          <w:szCs w:val="24"/>
          <w:highlight w:val="none"/>
        </w:rPr>
        <w:t>3 因承包人原因造成工程不能按照合同约定日期竣工的，每逾期1日，承包人必须按工程签约合同价（扣除含税暂列金额）的万分之一向发包人支付违约金，并赔偿发包人因此遭受的实际损失；逾期超过60天的，承包人除必须支付违约金和赔偿损失外，发包人还有权单方解除未完成部分工程合同。</w:t>
      </w:r>
    </w:p>
    <w:bookmarkEnd w:id="653"/>
    <w:p w14:paraId="63C5AE6D">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7.5.2.</w:t>
      </w:r>
      <w:r>
        <w:rPr>
          <w:rFonts w:hint="eastAsia" w:eastAsia="仿宋_GB2312"/>
          <w:color w:val="auto"/>
          <w:sz w:val="24"/>
          <w:szCs w:val="24"/>
          <w:highlight w:val="none"/>
        </w:rPr>
        <w:t xml:space="preserve">4 </w:t>
      </w:r>
      <w:r>
        <w:rPr>
          <w:rFonts w:eastAsia="仿宋_GB2312"/>
          <w:color w:val="auto"/>
          <w:sz w:val="24"/>
          <w:szCs w:val="24"/>
          <w:highlight w:val="none"/>
        </w:rPr>
        <w:t>因承包人原因造成工期延误，</w:t>
      </w:r>
      <w:r>
        <w:rPr>
          <w:rFonts w:hint="eastAsia" w:eastAsia="仿宋_GB2312"/>
          <w:color w:val="auto"/>
          <w:sz w:val="24"/>
          <w:szCs w:val="24"/>
          <w:highlight w:val="none"/>
        </w:rPr>
        <w:t>最高</w:t>
      </w:r>
      <w:r>
        <w:rPr>
          <w:rFonts w:eastAsia="仿宋_GB2312"/>
          <w:color w:val="auto"/>
          <w:sz w:val="24"/>
          <w:szCs w:val="24"/>
          <w:highlight w:val="none"/>
        </w:rPr>
        <w:t>逾</w:t>
      </w:r>
      <w:bookmarkStart w:id="654" w:name="_Toc312678014"/>
      <w:bookmarkStart w:id="655" w:name="_Toc318581171"/>
      <w:r>
        <w:rPr>
          <w:rFonts w:eastAsia="仿宋_GB2312"/>
          <w:color w:val="auto"/>
          <w:sz w:val="24"/>
          <w:szCs w:val="24"/>
          <w:highlight w:val="none"/>
        </w:rPr>
        <w:t>期竣工违约金</w:t>
      </w:r>
      <w:r>
        <w:rPr>
          <w:rFonts w:hint="eastAsia" w:eastAsia="仿宋_GB2312"/>
          <w:color w:val="auto"/>
          <w:sz w:val="24"/>
          <w:szCs w:val="24"/>
          <w:highlight w:val="none"/>
        </w:rPr>
        <w:t>为签约合同价（扣除含税暂列金额）的5％。</w:t>
      </w:r>
    </w:p>
    <w:p w14:paraId="7B4E0E84">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7.5.2.5 承包人未按时完成合同协议书中的关键节点时（合理顺延工期除外），每逾期1日，承包人必须按工程签约合同价（扣除含税暂列金额）的万分之一向发包人支付违约金，并在工程进度款中扣除；若最终按约定日期如期竣工，则结算时不予扣除。</w:t>
      </w:r>
    </w:p>
    <w:p w14:paraId="3B5034E3">
      <w:pPr>
        <w:spacing w:line="360" w:lineRule="auto"/>
        <w:ind w:firstLine="482" w:firstLineChars="200"/>
        <w:jc w:val="left"/>
        <w:rPr>
          <w:rFonts w:eastAsia="仿宋_GB2312"/>
          <w:b/>
          <w:bCs/>
          <w:color w:val="auto"/>
          <w:sz w:val="24"/>
          <w:szCs w:val="24"/>
          <w:highlight w:val="none"/>
        </w:rPr>
      </w:pPr>
      <w:r>
        <w:rPr>
          <w:rFonts w:hint="eastAsia" w:eastAsia="仿宋_GB2312"/>
          <w:b/>
          <w:bCs/>
          <w:color w:val="auto"/>
          <w:sz w:val="24"/>
          <w:szCs w:val="24"/>
          <w:highlight w:val="none"/>
        </w:rPr>
        <w:t>增加</w:t>
      </w:r>
      <w:r>
        <w:rPr>
          <w:rFonts w:eastAsia="仿宋_GB2312"/>
          <w:b/>
          <w:bCs/>
          <w:color w:val="auto"/>
          <w:sz w:val="24"/>
          <w:szCs w:val="24"/>
          <w:highlight w:val="none"/>
        </w:rPr>
        <w:t>7.5.3</w:t>
      </w:r>
      <w:r>
        <w:rPr>
          <w:rFonts w:hint="eastAsia" w:eastAsia="仿宋_GB2312"/>
          <w:b/>
          <w:bCs/>
          <w:color w:val="auto"/>
          <w:sz w:val="24"/>
          <w:szCs w:val="24"/>
          <w:highlight w:val="none"/>
        </w:rPr>
        <w:t>条款，具体如下：</w:t>
      </w:r>
    </w:p>
    <w:p w14:paraId="2336555F">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7.5.3</w:t>
      </w:r>
      <w:r>
        <w:rPr>
          <w:rFonts w:hint="eastAsia" w:eastAsia="仿宋_GB2312"/>
          <w:color w:val="auto"/>
          <w:sz w:val="24"/>
          <w:szCs w:val="24"/>
          <w:highlight w:val="none"/>
        </w:rPr>
        <w:t>工期调整的原则是：</w:t>
      </w:r>
    </w:p>
    <w:p w14:paraId="285F85CC">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(1)</w:t>
      </w:r>
      <w:r>
        <w:rPr>
          <w:rFonts w:hint="eastAsia" w:eastAsia="仿宋_GB2312"/>
          <w:color w:val="auto"/>
          <w:sz w:val="24"/>
          <w:szCs w:val="24"/>
          <w:highlight w:val="none"/>
        </w:rPr>
        <w:t>对于承包人原因造成的工期延误，工期一概不得顺延。对于非承包人造成的工期延误，经发包人书面同意的，一般节点工期可以相应顺延，但该项顺延以不对关键节点工期和总工期构成不利影响为限；关键节点工期一般不予调整，承包人应当采取合理有效的赶工措施予以消化，而且这些合理有效的赶工措施费用已包括在签约合同总价中。</w:t>
      </w:r>
    </w:p>
    <w:p w14:paraId="7358D3DD">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(2)</w:t>
      </w:r>
      <w:r>
        <w:rPr>
          <w:rFonts w:hint="eastAsia" w:eastAsia="仿宋_GB2312"/>
          <w:color w:val="auto"/>
          <w:sz w:val="24"/>
          <w:szCs w:val="24"/>
          <w:highlight w:val="none"/>
        </w:rPr>
        <w:t>在特殊情况下，关键节点工期确需调整的，承包人必须重新编制总工期控制计划和关键节点工期调整计划并报请监理工程师和发包人审核。经监理工程师、发包人审核，确认承包人编制的关键节点工期调整计划已十分完备，且已采取了合理的赶工措施足以确保工程按期竣工的，应当同意工期调整。承包人必须在监理工程师、发包人批准其调整计划后3天内，将调整后的总工期控制计划和关键节点工期调整计划按合同份数送各方。</w:t>
      </w:r>
    </w:p>
    <w:p w14:paraId="687CDFA5">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(3)</w:t>
      </w:r>
      <w:r>
        <w:rPr>
          <w:rFonts w:hint="eastAsia" w:eastAsia="仿宋_GB2312"/>
          <w:color w:val="auto"/>
          <w:sz w:val="24"/>
          <w:szCs w:val="24"/>
          <w:highlight w:val="none"/>
        </w:rPr>
        <w:t>因承包人对现场组织管理不力或未能提供协调、配合服务，以致分包工程的进度影响工期，承包人不得以此为由提出延长工期的要求。</w:t>
      </w:r>
    </w:p>
    <w:p w14:paraId="5BD753B6">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(4)</w:t>
      </w:r>
      <w:r>
        <w:rPr>
          <w:rFonts w:hint="eastAsia" w:eastAsia="仿宋_GB2312"/>
          <w:color w:val="auto"/>
          <w:sz w:val="24"/>
          <w:szCs w:val="24"/>
          <w:highlight w:val="none"/>
        </w:rPr>
        <w:t>因承包人原因造成工期延误的，按第</w:t>
      </w:r>
      <w:r>
        <w:rPr>
          <w:rFonts w:eastAsia="仿宋_GB2312"/>
          <w:color w:val="auto"/>
          <w:sz w:val="24"/>
          <w:szCs w:val="24"/>
          <w:highlight w:val="none"/>
        </w:rPr>
        <w:t xml:space="preserve">7.5.2 </w:t>
      </w:r>
      <w:r>
        <w:rPr>
          <w:rFonts w:hint="eastAsia" w:eastAsia="仿宋_GB2312"/>
          <w:color w:val="auto"/>
          <w:sz w:val="24"/>
          <w:szCs w:val="24"/>
          <w:highlight w:val="none"/>
        </w:rPr>
        <w:t>条规定承担相应违约责任。</w:t>
      </w:r>
    </w:p>
    <w:bookmarkEnd w:id="654"/>
    <w:bookmarkEnd w:id="655"/>
    <w:p w14:paraId="4AA61F45">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7</w:t>
      </w:r>
      <w:bookmarkStart w:id="656" w:name="_Toc297216178"/>
      <w:bookmarkStart w:id="657" w:name="_Toc312678015"/>
      <w:bookmarkStart w:id="658" w:name="_Toc304295549"/>
      <w:bookmarkStart w:id="659" w:name="_Toc300934971"/>
      <w:bookmarkStart w:id="660" w:name="_Toc303539128"/>
      <w:bookmarkStart w:id="661" w:name="_Toc297123519"/>
      <w:r>
        <w:rPr>
          <w:rFonts w:eastAsia="黑体"/>
          <w:color w:val="auto"/>
          <w:sz w:val="24"/>
          <w:szCs w:val="24"/>
          <w:highlight w:val="none"/>
        </w:rPr>
        <w:t>.6 不</w:t>
      </w:r>
      <w:bookmarkEnd w:id="656"/>
      <w:bookmarkEnd w:id="657"/>
      <w:bookmarkEnd w:id="658"/>
      <w:bookmarkEnd w:id="659"/>
      <w:bookmarkEnd w:id="660"/>
      <w:bookmarkEnd w:id="661"/>
      <w:r>
        <w:rPr>
          <w:rFonts w:eastAsia="黑体"/>
          <w:color w:val="auto"/>
          <w:sz w:val="24"/>
          <w:szCs w:val="24"/>
          <w:highlight w:val="none"/>
        </w:rPr>
        <w:t>利物质条件</w:t>
      </w:r>
    </w:p>
    <w:p w14:paraId="2C51A3A0">
      <w:pPr>
        <w:spacing w:line="360" w:lineRule="auto"/>
        <w:ind w:firstLine="480" w:firstLineChars="200"/>
        <w:jc w:val="left"/>
        <w:rPr>
          <w:rFonts w:eastAsia="仿宋_GB2312"/>
          <w:color w:val="auto"/>
          <w:sz w:val="24"/>
          <w:szCs w:val="24"/>
          <w:highlight w:val="none"/>
        </w:rPr>
      </w:pPr>
      <w:bookmarkStart w:id="662" w:name="_Toc297216179"/>
      <w:bookmarkStart w:id="663" w:name="_Toc297123520"/>
      <w:bookmarkStart w:id="664" w:name="_Toc318581172"/>
      <w:bookmarkStart w:id="665" w:name="_Toc304295550"/>
      <w:bookmarkStart w:id="666" w:name="_Toc312678016"/>
      <w:bookmarkStart w:id="667" w:name="_Toc303539129"/>
      <w:bookmarkStart w:id="668" w:name="_Toc300934972"/>
      <w:r>
        <w:rPr>
          <w:rFonts w:eastAsia="仿宋_GB2312"/>
          <w:color w:val="auto"/>
          <w:sz w:val="24"/>
          <w:szCs w:val="24"/>
          <w:highlight w:val="none"/>
        </w:rPr>
        <w:t xml:space="preserve">不利物质条件的其他情形和有关约定： </w:t>
      </w:r>
      <w:r>
        <w:rPr>
          <w:rFonts w:hint="eastAsia" w:eastAsia="仿宋_GB2312"/>
          <w:color w:val="auto"/>
          <w:sz w:val="24"/>
          <w:szCs w:val="24"/>
          <w:highlight w:val="none"/>
        </w:rPr>
        <w:t>承包人不得以当地创建文明城市或举办大型活动为由顺延工期（通知明确需停工的除外）和增加/调整费用，承包人在投标报价时已充分调查了解，并在综合考虑相关费用</w:t>
      </w:r>
      <w:r>
        <w:rPr>
          <w:rFonts w:eastAsia="仿宋_GB2312"/>
          <w:color w:val="auto"/>
          <w:sz w:val="24"/>
          <w:szCs w:val="24"/>
          <w:highlight w:val="none"/>
        </w:rPr>
        <w:t>。</w:t>
      </w:r>
    </w:p>
    <w:bookmarkEnd w:id="662"/>
    <w:bookmarkEnd w:id="663"/>
    <w:bookmarkEnd w:id="664"/>
    <w:bookmarkEnd w:id="665"/>
    <w:bookmarkEnd w:id="666"/>
    <w:bookmarkEnd w:id="667"/>
    <w:bookmarkEnd w:id="668"/>
    <w:p w14:paraId="454D25B7">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7</w:t>
      </w:r>
      <w:bookmarkStart w:id="669" w:name="_Toc303539130"/>
      <w:bookmarkStart w:id="670" w:name="_Toc300934973"/>
      <w:bookmarkStart w:id="671" w:name="_Toc304295551"/>
      <w:bookmarkStart w:id="672" w:name="_Toc297216180"/>
      <w:bookmarkStart w:id="673" w:name="_Toc297123521"/>
      <w:bookmarkStart w:id="674" w:name="_Toc312678017"/>
      <w:r>
        <w:rPr>
          <w:rFonts w:eastAsia="黑体"/>
          <w:color w:val="auto"/>
          <w:sz w:val="24"/>
          <w:szCs w:val="24"/>
          <w:highlight w:val="none"/>
        </w:rPr>
        <w:t>.7异常恶劣的气候条件</w:t>
      </w:r>
    </w:p>
    <w:bookmarkEnd w:id="669"/>
    <w:bookmarkEnd w:id="670"/>
    <w:bookmarkEnd w:id="671"/>
    <w:bookmarkEnd w:id="672"/>
    <w:bookmarkEnd w:id="673"/>
    <w:bookmarkEnd w:id="674"/>
    <w:p w14:paraId="62416D70">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发包人和承包人同意以下情形视为异常恶劣的气候条件：</w:t>
      </w:r>
    </w:p>
    <w:p w14:paraId="736A5A32">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（1）台风黄色或以上预警信号；</w:t>
      </w:r>
    </w:p>
    <w:p w14:paraId="3CF0E03B">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（2）暴雨红色或以上预警信号；</w:t>
      </w:r>
    </w:p>
    <w:p w14:paraId="44CF9BB5">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（3）高温红色或以上预警信号；</w:t>
      </w:r>
    </w:p>
    <w:p w14:paraId="27BE05E0">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（4）雷雨大风黄色或以上预警信号。</w:t>
      </w:r>
    </w:p>
    <w:p w14:paraId="6714046A">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发包人应按合同第7.5条约定对异常恶劣的气候条件引致的延误工期予以承担，但承包人不会获得任何有关费用的补偿。</w:t>
      </w:r>
    </w:p>
    <w:p w14:paraId="26D09599">
      <w:pPr>
        <w:spacing w:line="360" w:lineRule="auto"/>
        <w:ind w:firstLine="480" w:firstLineChars="200"/>
        <w:jc w:val="left"/>
        <w:rPr>
          <w:rFonts w:hint="eastAsia" w:eastAsia="仿宋_GB2312"/>
          <w:color w:val="auto"/>
          <w:sz w:val="24"/>
          <w:szCs w:val="24"/>
          <w:highlight w:val="none"/>
          <w:u w:val="single"/>
        </w:rPr>
      </w:pPr>
      <w:r>
        <w:rPr>
          <w:rFonts w:eastAsia="仿宋_GB2312"/>
          <w:color w:val="auto"/>
          <w:sz w:val="24"/>
          <w:szCs w:val="24"/>
          <w:highlight w:val="none"/>
          <w:u w:val="single"/>
        </w:rPr>
        <w:t>7.</w:t>
      </w:r>
      <w:r>
        <w:rPr>
          <w:rFonts w:hint="eastAsia" w:eastAsia="仿宋_GB2312"/>
          <w:color w:val="auto"/>
          <w:sz w:val="24"/>
          <w:szCs w:val="24"/>
          <w:highlight w:val="none"/>
          <w:u w:val="single"/>
        </w:rPr>
        <w:t>8</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暂停施工</w:t>
      </w:r>
    </w:p>
    <w:p w14:paraId="3D9CDEE0">
      <w:pPr>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通用条款</w:t>
      </w:r>
      <w:r>
        <w:rPr>
          <w:rFonts w:eastAsia="仿宋_GB2312"/>
          <w:b/>
          <w:bCs/>
          <w:color w:val="auto"/>
          <w:sz w:val="24"/>
          <w:szCs w:val="24"/>
          <w:highlight w:val="none"/>
        </w:rPr>
        <w:t>7.8.</w:t>
      </w:r>
      <w:r>
        <w:rPr>
          <w:rFonts w:hint="eastAsia" w:eastAsia="仿宋_GB2312"/>
          <w:b/>
          <w:bCs/>
          <w:color w:val="auto"/>
          <w:sz w:val="24"/>
          <w:szCs w:val="24"/>
          <w:highlight w:val="none"/>
        </w:rPr>
        <w:t>1~7.8.3不适用，替换为：</w:t>
      </w:r>
    </w:p>
    <w:p w14:paraId="329A4186">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7.8.1发包人原因引起的暂停施工</w:t>
      </w:r>
    </w:p>
    <w:p w14:paraId="4DEB8D92">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因发包人原因引起的暂停施工，</w:t>
      </w:r>
      <w:r>
        <w:rPr>
          <w:rFonts w:hint="eastAsia" w:eastAsia="仿宋_GB2312"/>
          <w:color w:val="auto"/>
          <w:sz w:val="24"/>
          <w:szCs w:val="24"/>
          <w:highlight w:val="none"/>
        </w:rPr>
        <w:t>承包人有权要求按专用条款7.5</w:t>
      </w:r>
      <w:r>
        <w:rPr>
          <w:rFonts w:eastAsia="仿宋_GB2312"/>
          <w:color w:val="auto"/>
          <w:sz w:val="24"/>
          <w:szCs w:val="24"/>
          <w:highlight w:val="none"/>
        </w:rPr>
        <w:t>.1</w:t>
      </w:r>
      <w:r>
        <w:rPr>
          <w:rFonts w:hint="eastAsia" w:eastAsia="仿宋_GB2312"/>
          <w:color w:val="auto"/>
          <w:sz w:val="24"/>
          <w:szCs w:val="24"/>
          <w:highlight w:val="none"/>
        </w:rPr>
        <w:t>条约定顺延工期，但承包人不得以此为由向发包人要求费用补偿，发包人不赔偿因此而给承包人造成的损失，但专用条款7.5</w:t>
      </w:r>
      <w:r>
        <w:rPr>
          <w:rFonts w:eastAsia="仿宋_GB2312"/>
          <w:color w:val="auto"/>
          <w:sz w:val="24"/>
          <w:szCs w:val="24"/>
          <w:highlight w:val="none"/>
        </w:rPr>
        <w:t>.1</w:t>
      </w:r>
      <w:r>
        <w:rPr>
          <w:rFonts w:hint="eastAsia" w:eastAsia="仿宋_GB2312"/>
          <w:color w:val="auto"/>
          <w:sz w:val="24"/>
          <w:szCs w:val="24"/>
          <w:highlight w:val="none"/>
        </w:rPr>
        <w:t>条另有约定的除外。</w:t>
      </w:r>
    </w:p>
    <w:p w14:paraId="53671EBF">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7.8.2 承包人原因引起的暂停施工</w:t>
      </w:r>
    </w:p>
    <w:p w14:paraId="5F20DE4A">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因承包人原因引起的暂停施工，承包人应承担由此增加的费用和（或）延误的工期，且承包人在收到监理人复工指示后</w:t>
      </w:r>
      <w:r>
        <w:rPr>
          <w:rFonts w:hint="eastAsia" w:eastAsia="仿宋_GB2312"/>
          <w:color w:val="auto"/>
          <w:sz w:val="24"/>
          <w:szCs w:val="24"/>
          <w:highlight w:val="none"/>
        </w:rPr>
        <w:t>3</w:t>
      </w:r>
      <w:r>
        <w:rPr>
          <w:rFonts w:eastAsia="仿宋_GB2312"/>
          <w:color w:val="auto"/>
          <w:sz w:val="24"/>
          <w:szCs w:val="24"/>
          <w:highlight w:val="none"/>
        </w:rPr>
        <w:t>天内</w:t>
      </w:r>
      <w:r>
        <w:rPr>
          <w:rFonts w:hint="eastAsia" w:eastAsia="仿宋_GB2312"/>
          <w:color w:val="auto"/>
          <w:sz w:val="24"/>
          <w:szCs w:val="24"/>
          <w:highlight w:val="none"/>
        </w:rPr>
        <w:t>无正当理由</w:t>
      </w:r>
      <w:r>
        <w:rPr>
          <w:rFonts w:eastAsia="仿宋_GB2312"/>
          <w:color w:val="auto"/>
          <w:sz w:val="24"/>
          <w:szCs w:val="24"/>
          <w:highlight w:val="none"/>
        </w:rPr>
        <w:t>仍未复工的，</w:t>
      </w:r>
      <w:r>
        <w:rPr>
          <w:rFonts w:hint="eastAsia" w:eastAsia="仿宋_GB2312"/>
          <w:color w:val="auto"/>
          <w:sz w:val="24"/>
          <w:szCs w:val="24"/>
          <w:highlight w:val="none"/>
        </w:rPr>
        <w:t>每迟复工1天，应给发包人支付本工程签约合同价的1‰的违约金；迟延复工超过10天的，发包人有权解除合同，将本工程另行发包，且并不免除承包人的违约赔偿责任。</w:t>
      </w:r>
    </w:p>
    <w:p w14:paraId="2DB67DAC">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 xml:space="preserve">7.8.3 指示暂停施工 </w:t>
      </w:r>
      <w:r>
        <w:rPr>
          <w:rFonts w:hint="eastAsia" w:eastAsia="仿宋_GB2312"/>
          <w:color w:val="auto"/>
          <w:sz w:val="24"/>
          <w:szCs w:val="24"/>
          <w:highlight w:val="none"/>
        </w:rPr>
        <w:t xml:space="preserve"> </w:t>
      </w:r>
    </w:p>
    <w:p w14:paraId="14008A2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为了保证工程质量安全，凡出现下列情况之一（不限于此）的，监理工程师有权下达停工令，责令承包人停工整改，由此造成的损失由承包人自行负责，造成工期延误的，承包人应按合同7.5.2条承担违约责任：</w:t>
      </w:r>
    </w:p>
    <w:p w14:paraId="238E09B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1）质量事故；</w:t>
      </w:r>
    </w:p>
    <w:p w14:paraId="21AE5901">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2）安全生产事故；</w:t>
      </w:r>
    </w:p>
    <w:p w14:paraId="17567BC4">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3）拒绝监理单位管理；</w:t>
      </w:r>
    </w:p>
    <w:p w14:paraId="1BEAFC31">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4）施工组织设计（方案）未获监理工程师批准而进行施工；</w:t>
      </w:r>
    </w:p>
    <w:p w14:paraId="2E7BE039">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5）未经监理单位检验而进行下一道工序作业者；</w:t>
      </w:r>
    </w:p>
    <w:p w14:paraId="322E5635">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6）擅自采用未经监理单位及发包人认可或批准的材料的，或者使用的原材料、构配件不合格或未经检查确认的，或者擅自采用未经认可的代用材料的；</w:t>
      </w:r>
    </w:p>
    <w:p w14:paraId="7744CD31">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7）擅自变更设计图纸的要求；</w:t>
      </w:r>
    </w:p>
    <w:p w14:paraId="05974D4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8）转包工程；</w:t>
      </w:r>
    </w:p>
    <w:p w14:paraId="20D1F457">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9）擅自让未经监理工程师批准的分包单位进场作业；</w:t>
      </w:r>
    </w:p>
    <w:p w14:paraId="2B7798E2">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10）存在安全隐患，未按监理单位要求及时进行整改；</w:t>
      </w:r>
    </w:p>
    <w:p w14:paraId="43346B1B">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11）未按双方约定的资料上报要求上报所需资料的。</w:t>
      </w:r>
    </w:p>
    <w:p w14:paraId="5B762468">
      <w:pPr>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通用条款</w:t>
      </w:r>
      <w:r>
        <w:rPr>
          <w:rFonts w:eastAsia="仿宋_GB2312"/>
          <w:b/>
          <w:bCs/>
          <w:color w:val="auto"/>
          <w:sz w:val="24"/>
          <w:szCs w:val="24"/>
          <w:highlight w:val="none"/>
        </w:rPr>
        <w:t>7.8.</w:t>
      </w:r>
      <w:r>
        <w:rPr>
          <w:rFonts w:hint="eastAsia" w:eastAsia="仿宋_GB2312"/>
          <w:b/>
          <w:bCs/>
          <w:color w:val="auto"/>
          <w:sz w:val="24"/>
          <w:szCs w:val="24"/>
          <w:highlight w:val="none"/>
        </w:rPr>
        <w:t>6~7.8.10不适用，替换为：</w:t>
      </w:r>
    </w:p>
    <w:p w14:paraId="7FB0D639">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7.8.6 暂停施工持续56天以上</w:t>
      </w:r>
    </w:p>
    <w:p w14:paraId="188B79CE">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因发包人原因暂停施工引起的工期延误按专用条款</w:t>
      </w:r>
      <w:r>
        <w:rPr>
          <w:rFonts w:eastAsia="仿宋_GB2312"/>
          <w:color w:val="auto"/>
          <w:sz w:val="24"/>
          <w:szCs w:val="24"/>
          <w:highlight w:val="none"/>
        </w:rPr>
        <w:t>7.5.1</w:t>
      </w:r>
      <w:r>
        <w:rPr>
          <w:rFonts w:hint="eastAsia" w:eastAsia="仿宋_GB2312"/>
          <w:color w:val="auto"/>
          <w:sz w:val="24"/>
          <w:szCs w:val="24"/>
          <w:highlight w:val="none"/>
        </w:rPr>
        <w:t>条约定执行。承包人按约定提出价格调整要求的，发包人应参照专用条款第11条款价格调整的办法给予调整。</w:t>
      </w:r>
    </w:p>
    <w:p w14:paraId="46681D44">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7.8.7 暂停施工期间的工程照管</w:t>
      </w:r>
    </w:p>
    <w:p w14:paraId="484F2660">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暂停施工期间，承包人应负责妥善照管工程并提供安全保障，由此增加的费用由</w:t>
      </w:r>
      <w:r>
        <w:rPr>
          <w:rFonts w:hint="eastAsia" w:eastAsia="仿宋_GB2312"/>
          <w:color w:val="auto"/>
          <w:sz w:val="24"/>
          <w:szCs w:val="24"/>
          <w:highlight w:val="none"/>
        </w:rPr>
        <w:t>承包人承担，且视为已包括在签约合同价中</w:t>
      </w:r>
      <w:r>
        <w:rPr>
          <w:rFonts w:eastAsia="仿宋_GB2312"/>
          <w:color w:val="auto"/>
          <w:sz w:val="24"/>
          <w:szCs w:val="24"/>
          <w:highlight w:val="none"/>
        </w:rPr>
        <w:t>。</w:t>
      </w:r>
    </w:p>
    <w:p w14:paraId="0CE2FCB4">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7.8.8 暂停施工的措施</w:t>
      </w:r>
    </w:p>
    <w:p w14:paraId="35B3CE36">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暂停施工期间，承包人应采取必要的措施确保工程质量及安全，防止因暂停施工扩大损失</w:t>
      </w:r>
      <w:r>
        <w:rPr>
          <w:rFonts w:hint="eastAsia" w:eastAsia="仿宋_GB2312"/>
          <w:color w:val="auto"/>
          <w:sz w:val="24"/>
          <w:szCs w:val="24"/>
          <w:highlight w:val="none"/>
        </w:rPr>
        <w:t>，</w:t>
      </w:r>
      <w:r>
        <w:rPr>
          <w:rFonts w:eastAsia="仿宋_GB2312"/>
          <w:color w:val="auto"/>
          <w:sz w:val="24"/>
          <w:szCs w:val="24"/>
          <w:highlight w:val="none"/>
        </w:rPr>
        <w:t>由此增加的费用由</w:t>
      </w:r>
      <w:r>
        <w:rPr>
          <w:rFonts w:hint="eastAsia" w:eastAsia="仿宋_GB2312"/>
          <w:color w:val="auto"/>
          <w:sz w:val="24"/>
          <w:szCs w:val="24"/>
          <w:highlight w:val="none"/>
        </w:rPr>
        <w:t>承包人承担，且视为已包括在签约合同价中</w:t>
      </w:r>
      <w:r>
        <w:rPr>
          <w:rFonts w:eastAsia="仿宋_GB2312"/>
          <w:color w:val="auto"/>
          <w:sz w:val="24"/>
          <w:szCs w:val="24"/>
          <w:highlight w:val="none"/>
        </w:rPr>
        <w:t>。</w:t>
      </w:r>
    </w:p>
    <w:p w14:paraId="58EDF7AE">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7.8.9</w:t>
      </w:r>
      <w:r>
        <w:rPr>
          <w:rFonts w:hint="eastAsia" w:eastAsia="仿宋_GB2312"/>
          <w:color w:val="auto"/>
          <w:sz w:val="24"/>
          <w:szCs w:val="24"/>
          <w:highlight w:val="none"/>
        </w:rPr>
        <w:t>因不可抗力因素造成暂停施工的，工期延误按专用条款</w:t>
      </w:r>
      <w:r>
        <w:rPr>
          <w:rFonts w:eastAsia="仿宋_GB2312"/>
          <w:color w:val="auto"/>
          <w:sz w:val="24"/>
          <w:szCs w:val="24"/>
          <w:highlight w:val="none"/>
        </w:rPr>
        <w:t>7.5.1</w:t>
      </w:r>
      <w:r>
        <w:rPr>
          <w:rFonts w:hint="eastAsia" w:eastAsia="仿宋_GB2312"/>
          <w:color w:val="auto"/>
          <w:sz w:val="24"/>
          <w:szCs w:val="24"/>
          <w:highlight w:val="none"/>
        </w:rPr>
        <w:t>条约定执行；</w:t>
      </w:r>
    </w:p>
    <w:p w14:paraId="67379ED6">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7.8.10</w:t>
      </w:r>
      <w:r>
        <w:rPr>
          <w:rFonts w:hint="eastAsia" w:eastAsia="仿宋_GB2312"/>
          <w:color w:val="auto"/>
          <w:sz w:val="24"/>
          <w:szCs w:val="24"/>
          <w:highlight w:val="none"/>
        </w:rPr>
        <w:t>承包人不得以与发包人有争议或争议未解决为由而单方面停工（如：工程造价、工程款支付等问题）。否则，工期不顺延，由此造成工期延误的，承包人按合同7.5.2款承担违约责任。</w:t>
      </w:r>
    </w:p>
    <w:p w14:paraId="25BA2F83">
      <w:pPr>
        <w:spacing w:after="120" w:line="360" w:lineRule="auto"/>
        <w:ind w:firstLine="480" w:firstLineChars="200"/>
        <w:outlineLvl w:val="0"/>
        <w:rPr>
          <w:rFonts w:eastAsia="黑体"/>
          <w:color w:val="auto"/>
          <w:sz w:val="24"/>
          <w:szCs w:val="24"/>
          <w:highlight w:val="none"/>
        </w:rPr>
      </w:pPr>
      <w:bookmarkStart w:id="675" w:name="_Toc32835779"/>
      <w:r>
        <w:rPr>
          <w:rFonts w:eastAsia="黑体"/>
          <w:color w:val="auto"/>
          <w:sz w:val="24"/>
          <w:szCs w:val="24"/>
          <w:highlight w:val="none"/>
        </w:rPr>
        <w:t>7.9 提前竣工的奖励</w:t>
      </w:r>
      <w:bookmarkEnd w:id="675"/>
    </w:p>
    <w:p w14:paraId="42C35106">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7.9.2提前竣工的奖励：</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本合同不设提前竣工奖励</w:t>
      </w:r>
      <w:r>
        <w:rPr>
          <w:rFonts w:eastAsia="仿宋_GB2312"/>
          <w:color w:val="auto"/>
          <w:sz w:val="24"/>
          <w:szCs w:val="24"/>
          <w:highlight w:val="none"/>
          <w:u w:val="single"/>
        </w:rPr>
        <w:t xml:space="preserve">  。</w:t>
      </w:r>
    </w:p>
    <w:p w14:paraId="7381C45F">
      <w:pPr>
        <w:pStyle w:val="6"/>
        <w:spacing w:before="120" w:after="120" w:line="360" w:lineRule="auto"/>
        <w:rPr>
          <w:rFonts w:ascii="Times New Roman" w:hAnsi="Times New Roman" w:eastAsia="黑体"/>
          <w:b w:val="0"/>
          <w:color w:val="auto"/>
          <w:sz w:val="24"/>
          <w:szCs w:val="24"/>
          <w:highlight w:val="none"/>
        </w:rPr>
      </w:pPr>
      <w:bookmarkStart w:id="676" w:name="_Toc32835780"/>
      <w:r>
        <w:rPr>
          <w:rFonts w:ascii="Times New Roman" w:hAnsi="Times New Roman" w:eastAsia="黑体"/>
          <w:b w:val="0"/>
          <w:color w:val="auto"/>
          <w:sz w:val="24"/>
          <w:szCs w:val="24"/>
          <w:highlight w:val="none"/>
        </w:rPr>
        <w:t>8. 材料与设备</w:t>
      </w:r>
      <w:bookmarkEnd w:id="676"/>
    </w:p>
    <w:bookmarkEnd w:id="608"/>
    <w:bookmarkEnd w:id="609"/>
    <w:bookmarkEnd w:id="610"/>
    <w:bookmarkEnd w:id="611"/>
    <w:bookmarkEnd w:id="612"/>
    <w:bookmarkEnd w:id="613"/>
    <w:bookmarkEnd w:id="614"/>
    <w:bookmarkEnd w:id="615"/>
    <w:bookmarkEnd w:id="616"/>
    <w:bookmarkEnd w:id="617"/>
    <w:p w14:paraId="6F9FEB5E">
      <w:pPr>
        <w:spacing w:line="360" w:lineRule="auto"/>
        <w:ind w:firstLine="480" w:firstLineChars="200"/>
        <w:jc w:val="left"/>
        <w:rPr>
          <w:rFonts w:eastAsia="仿宋_GB2312"/>
          <w:color w:val="auto"/>
          <w:sz w:val="24"/>
          <w:szCs w:val="24"/>
          <w:highlight w:val="none"/>
          <w:u w:val="single"/>
        </w:rPr>
      </w:pPr>
      <w:bookmarkStart w:id="677" w:name="_Toc304295557"/>
      <w:bookmarkStart w:id="678" w:name="_Toc312678020"/>
      <w:bookmarkStart w:id="679" w:name="_Toc312677494"/>
      <w:bookmarkStart w:id="680" w:name="_Toc296346669"/>
      <w:bookmarkStart w:id="681" w:name="_Toc297123528"/>
      <w:bookmarkStart w:id="682" w:name="_Toc296347167"/>
      <w:bookmarkStart w:id="683" w:name="_Toc297048354"/>
      <w:bookmarkStart w:id="684" w:name="_Toc297120468"/>
      <w:bookmarkStart w:id="685" w:name="_Toc303539137"/>
      <w:bookmarkStart w:id="686" w:name="_Toc300934980"/>
      <w:bookmarkStart w:id="687" w:name="_Toc296891208"/>
      <w:bookmarkStart w:id="688" w:name="_Toc296890996"/>
      <w:bookmarkStart w:id="689" w:name="_Toc297216187"/>
      <w:bookmarkStart w:id="690" w:name="_Toc296503168"/>
      <w:bookmarkStart w:id="691" w:name="_Toc318581173"/>
      <w:bookmarkStart w:id="692" w:name="_Toc296944507"/>
      <w:bookmarkStart w:id="693" w:name="_Toc267251424"/>
      <w:bookmarkStart w:id="694" w:name="_Toc280868655"/>
      <w:bookmarkStart w:id="695" w:name="_Toc280868656"/>
      <w:r>
        <w:rPr>
          <w:rFonts w:hint="eastAsia" w:eastAsia="仿宋_GB2312"/>
          <w:color w:val="auto"/>
          <w:sz w:val="24"/>
          <w:szCs w:val="24"/>
          <w:highlight w:val="none"/>
          <w:u w:val="single"/>
        </w:rPr>
        <w:t>8.1</w:t>
      </w:r>
      <w:r>
        <w:rPr>
          <w:rFonts w:eastAsia="仿宋_GB2312"/>
          <w:color w:val="auto"/>
          <w:sz w:val="24"/>
          <w:szCs w:val="24"/>
          <w:highlight w:val="none"/>
          <w:u w:val="single"/>
        </w:rPr>
        <w:t>发包人供应材料</w:t>
      </w:r>
      <w:r>
        <w:rPr>
          <w:rFonts w:hint="eastAsia" w:eastAsia="仿宋_GB2312"/>
          <w:color w:val="auto"/>
          <w:sz w:val="24"/>
          <w:szCs w:val="24"/>
          <w:highlight w:val="none"/>
          <w:u w:val="single"/>
        </w:rPr>
        <w:t>与工程</w:t>
      </w:r>
      <w:r>
        <w:rPr>
          <w:rFonts w:eastAsia="仿宋_GB2312"/>
          <w:color w:val="auto"/>
          <w:sz w:val="24"/>
          <w:szCs w:val="24"/>
          <w:highlight w:val="none"/>
          <w:u w:val="single"/>
        </w:rPr>
        <w:t>设</w:t>
      </w:r>
      <w:r>
        <w:rPr>
          <w:rFonts w:hint="eastAsia" w:eastAsia="仿宋_GB2312"/>
          <w:color w:val="auto"/>
          <w:sz w:val="24"/>
          <w:szCs w:val="24"/>
          <w:highlight w:val="none"/>
          <w:u w:val="single"/>
        </w:rPr>
        <w:t>备。</w:t>
      </w:r>
    </w:p>
    <w:p w14:paraId="68403635">
      <w:pPr>
        <w:spacing w:line="360" w:lineRule="auto"/>
        <w:ind w:firstLine="482" w:firstLineChars="200"/>
        <w:jc w:val="left"/>
        <w:rPr>
          <w:rFonts w:hint="eastAsia" w:eastAsia="仿宋_GB2312"/>
          <w:b/>
          <w:bCs/>
          <w:color w:val="auto"/>
          <w:sz w:val="24"/>
          <w:szCs w:val="24"/>
          <w:highlight w:val="none"/>
        </w:rPr>
      </w:pPr>
      <w:r>
        <w:rPr>
          <w:rFonts w:eastAsia="仿宋_GB2312"/>
          <w:b/>
          <w:bCs/>
          <w:color w:val="auto"/>
          <w:sz w:val="24"/>
          <w:szCs w:val="24"/>
          <w:highlight w:val="none"/>
        </w:rPr>
        <w:t>增加8.1.1-8.1.4条</w:t>
      </w:r>
      <w:r>
        <w:rPr>
          <w:rFonts w:hint="eastAsia" w:eastAsia="仿宋_GB2312"/>
          <w:b/>
          <w:bCs/>
          <w:color w:val="auto"/>
          <w:sz w:val="24"/>
          <w:szCs w:val="24"/>
          <w:highlight w:val="none"/>
        </w:rPr>
        <w:t>款，具体如下：</w:t>
      </w:r>
    </w:p>
    <w:p w14:paraId="786F6C34">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8.1.1发包人供应材料与工程设备（即甲供材料、工程设备）</w:t>
      </w:r>
      <w:r>
        <w:rPr>
          <w:rFonts w:hint="eastAsia" w:eastAsia="仿宋_GB2312"/>
          <w:color w:val="auto"/>
          <w:sz w:val="24"/>
          <w:szCs w:val="24"/>
          <w:highlight w:val="none"/>
        </w:rPr>
        <w:t>（如有）</w:t>
      </w:r>
      <w:r>
        <w:rPr>
          <w:rFonts w:eastAsia="仿宋_GB2312"/>
          <w:color w:val="auto"/>
          <w:sz w:val="24"/>
          <w:szCs w:val="24"/>
          <w:highlight w:val="none"/>
        </w:rPr>
        <w:t>，发包人有权根据工程实际情况、材料技术要求的特性，将本由承包人供应的材料设备改为甲供设备材料，承包人不得提出异议。</w:t>
      </w:r>
    </w:p>
    <w:p w14:paraId="4CA7C538">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8.1.2发包人在采购材料与工程设备前</w:t>
      </w:r>
      <w:r>
        <w:rPr>
          <w:rFonts w:hint="eastAsia" w:eastAsia="仿宋_GB2312"/>
          <w:color w:val="auto"/>
          <w:sz w:val="24"/>
          <w:szCs w:val="24"/>
          <w:highlight w:val="none"/>
        </w:rPr>
        <w:t>（如有）</w:t>
      </w:r>
      <w:r>
        <w:rPr>
          <w:rFonts w:eastAsia="仿宋_GB2312"/>
          <w:color w:val="auto"/>
          <w:sz w:val="24"/>
          <w:szCs w:val="24"/>
          <w:highlight w:val="none"/>
        </w:rPr>
        <w:t>，由承包人编制经发包人认可的供货进场计划（该材料与工程设备进场前120天提出），承包人承担供货进场计划不正确而影响工程进度的责任。</w:t>
      </w:r>
    </w:p>
    <w:p w14:paraId="31466D5F">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8.1.3由发包人供应的材料与工程设备</w:t>
      </w:r>
      <w:r>
        <w:rPr>
          <w:rFonts w:hint="eastAsia" w:eastAsia="仿宋_GB2312"/>
          <w:color w:val="auto"/>
          <w:sz w:val="24"/>
          <w:szCs w:val="24"/>
          <w:highlight w:val="none"/>
        </w:rPr>
        <w:t>（如有）</w:t>
      </w:r>
      <w:r>
        <w:rPr>
          <w:rFonts w:eastAsia="仿宋_GB2312"/>
          <w:color w:val="auto"/>
          <w:sz w:val="24"/>
          <w:szCs w:val="24"/>
          <w:highlight w:val="none"/>
        </w:rPr>
        <w:t>，发包人对其采购质量负责。</w:t>
      </w:r>
    </w:p>
    <w:p w14:paraId="1BC766E9">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8.1.4</w:t>
      </w:r>
      <w:r>
        <w:rPr>
          <w:rFonts w:hint="eastAsia" w:eastAsia="仿宋_GB2312"/>
          <w:color w:val="auto"/>
          <w:sz w:val="24"/>
          <w:szCs w:val="24"/>
          <w:highlight w:val="none"/>
        </w:rPr>
        <w:t>发包人</w:t>
      </w:r>
      <w:r>
        <w:rPr>
          <w:rFonts w:eastAsia="仿宋_GB2312"/>
          <w:color w:val="auto"/>
          <w:sz w:val="24"/>
          <w:szCs w:val="24"/>
          <w:highlight w:val="none"/>
        </w:rPr>
        <w:t>供应的材料设备</w:t>
      </w:r>
      <w:r>
        <w:rPr>
          <w:rFonts w:hint="eastAsia" w:eastAsia="仿宋_GB2312"/>
          <w:color w:val="auto"/>
          <w:sz w:val="24"/>
          <w:szCs w:val="24"/>
          <w:highlight w:val="none"/>
        </w:rPr>
        <w:t>（如有）</w:t>
      </w:r>
      <w:r>
        <w:rPr>
          <w:rFonts w:eastAsia="仿宋_GB2312"/>
          <w:color w:val="auto"/>
          <w:sz w:val="24"/>
          <w:szCs w:val="24"/>
          <w:highlight w:val="none"/>
        </w:rPr>
        <w:t>有误时，按照下列规定承担相应责任：</w:t>
      </w:r>
    </w:p>
    <w:p w14:paraId="298A2D20">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a.材料和设备的品种、规格、型号、质量标准与图纸和技术文件不符的，承包人可以拒绝接收，由发包人运出施工场地并重新采购。</w:t>
      </w:r>
    </w:p>
    <w:p w14:paraId="09C8B5CE">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b.材料和设备的品种、规格、型号、质量标准与图纸和技术文件不符的，经发包人同意，承包人可代为调剂替换的，由发包人承担相应费用。</w:t>
      </w:r>
    </w:p>
    <w:p w14:paraId="526DFA7A">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c.供应数量少于承包人的供货计划或调整供货计划的，由供货人补齐。供应数量多于承包人的供货计划或调整供货计划的，供货人须将多出部分运出工地。</w:t>
      </w:r>
    </w:p>
    <w:p w14:paraId="3D11D4E3">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d.本工程甲供材料、工程设备</w:t>
      </w:r>
      <w:r>
        <w:rPr>
          <w:rFonts w:hint="eastAsia" w:eastAsia="仿宋_GB2312"/>
          <w:color w:val="auto"/>
          <w:sz w:val="24"/>
          <w:szCs w:val="24"/>
          <w:highlight w:val="none"/>
        </w:rPr>
        <w:t>（如有）</w:t>
      </w:r>
      <w:r>
        <w:rPr>
          <w:rFonts w:eastAsia="仿宋_GB2312"/>
          <w:color w:val="auto"/>
          <w:sz w:val="24"/>
          <w:szCs w:val="24"/>
          <w:highlight w:val="none"/>
        </w:rPr>
        <w:t>消耗量为按图纸的净量计算，不计算任何损耗率。承包人要求的供货数量超过图纸净量</w:t>
      </w:r>
      <w:r>
        <w:rPr>
          <w:rFonts w:hint="eastAsia" w:eastAsia="仿宋_GB2312"/>
          <w:color w:val="auto"/>
          <w:sz w:val="24"/>
          <w:szCs w:val="24"/>
          <w:highlight w:val="none"/>
        </w:rPr>
        <w:t>及定额损耗</w:t>
      </w:r>
      <w:r>
        <w:rPr>
          <w:rFonts w:eastAsia="仿宋_GB2312"/>
          <w:color w:val="auto"/>
          <w:sz w:val="24"/>
          <w:szCs w:val="24"/>
          <w:highlight w:val="none"/>
        </w:rPr>
        <w:t>以外的数量风险由承包人自行承担，承包人须按超出的数量及发包人的采购价支付有关费用。</w:t>
      </w:r>
    </w:p>
    <w:p w14:paraId="513210DB">
      <w:pPr>
        <w:spacing w:line="360" w:lineRule="auto"/>
        <w:ind w:firstLine="482" w:firstLineChars="200"/>
        <w:jc w:val="left"/>
        <w:rPr>
          <w:rFonts w:hint="eastAsia" w:eastAsia="仿宋_GB2312"/>
          <w:color w:val="auto"/>
          <w:sz w:val="24"/>
          <w:szCs w:val="24"/>
          <w:highlight w:val="none"/>
        </w:rPr>
      </w:pPr>
      <w:r>
        <w:rPr>
          <w:rFonts w:hint="eastAsia" w:eastAsia="仿宋_GB2312"/>
          <w:b/>
          <w:bCs/>
          <w:color w:val="auto"/>
          <w:sz w:val="24"/>
          <w:szCs w:val="24"/>
          <w:highlight w:val="none"/>
        </w:rPr>
        <w:t>通用条款8.2不适用，替换为：</w:t>
      </w:r>
    </w:p>
    <w:p w14:paraId="5B34AE17">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8.2承包人采购材料与工程设备</w:t>
      </w:r>
    </w:p>
    <w:p w14:paraId="0726AC1A">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除发包人另外采购的材料设备</w:t>
      </w:r>
      <w:r>
        <w:rPr>
          <w:rFonts w:hint="eastAsia" w:eastAsia="仿宋_GB2312"/>
          <w:color w:val="auto"/>
          <w:sz w:val="24"/>
          <w:szCs w:val="24"/>
          <w:highlight w:val="none"/>
        </w:rPr>
        <w:t>（如有）</w:t>
      </w:r>
      <w:r>
        <w:rPr>
          <w:rFonts w:eastAsia="仿宋_GB2312"/>
          <w:color w:val="auto"/>
          <w:sz w:val="24"/>
          <w:szCs w:val="24"/>
          <w:highlight w:val="none"/>
        </w:rPr>
        <w:t>外，本工程中的承包人工作范围内的所有材料设备均由承包人按招标文件规定品牌范围及设计图纸、规范要求等进行采购，材料设备的采购、装卸、运输、存储、质检和验收均由承包人负责。发包人对承包人采购材料设备的监控，并不减免承包人对此应负的责任。</w:t>
      </w:r>
    </w:p>
    <w:p w14:paraId="7AA7D489">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w:t>
      </w:r>
      <w:r>
        <w:rPr>
          <w:rFonts w:hint="eastAsia" w:eastAsia="仿宋_GB2312"/>
          <w:color w:val="auto"/>
          <w:sz w:val="24"/>
          <w:szCs w:val="24"/>
          <w:highlight w:val="none"/>
        </w:rPr>
        <w:t>合同</w:t>
      </w:r>
      <w:r>
        <w:rPr>
          <w:rFonts w:eastAsia="仿宋_GB2312"/>
          <w:color w:val="auto"/>
          <w:sz w:val="24"/>
          <w:szCs w:val="24"/>
          <w:highlight w:val="none"/>
        </w:rPr>
        <w:t>文件有推荐品牌范围的，承包人必须在推荐品牌范围内选择及</w:t>
      </w:r>
      <w:r>
        <w:rPr>
          <w:rFonts w:hint="eastAsia" w:eastAsia="仿宋_GB2312"/>
          <w:color w:val="auto"/>
          <w:sz w:val="24"/>
          <w:szCs w:val="24"/>
          <w:highlight w:val="none"/>
        </w:rPr>
        <w:t>采购</w:t>
      </w:r>
      <w:r>
        <w:rPr>
          <w:rFonts w:eastAsia="仿宋_GB2312"/>
          <w:color w:val="auto"/>
          <w:sz w:val="24"/>
          <w:szCs w:val="24"/>
          <w:highlight w:val="none"/>
        </w:rPr>
        <w:t>，并在正式签署采购合同前报发包人确认。</w:t>
      </w:r>
    </w:p>
    <w:p w14:paraId="69EAC0C9">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（2）</w:t>
      </w:r>
      <w:r>
        <w:rPr>
          <w:rFonts w:hint="eastAsia" w:eastAsia="仿宋_GB2312"/>
          <w:color w:val="auto"/>
          <w:sz w:val="24"/>
          <w:szCs w:val="24"/>
          <w:highlight w:val="none"/>
        </w:rPr>
        <w:t>合同</w:t>
      </w:r>
      <w:r>
        <w:rPr>
          <w:rFonts w:eastAsia="仿宋_GB2312"/>
          <w:color w:val="auto"/>
          <w:sz w:val="24"/>
          <w:szCs w:val="24"/>
          <w:highlight w:val="none"/>
        </w:rPr>
        <w:t>文件有推荐品牌范围的，发包人有权要求承包人按招标文件已提供范围的任何一种参考品牌来采购材料或设备，且该材料或设备的价格在结算时不进行任何调整。</w:t>
      </w:r>
    </w:p>
    <w:p w14:paraId="380AE60A">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（3）</w:t>
      </w:r>
      <w:r>
        <w:rPr>
          <w:rFonts w:hint="eastAsia" w:eastAsia="仿宋_GB2312"/>
          <w:color w:val="auto"/>
          <w:sz w:val="24"/>
          <w:szCs w:val="24"/>
          <w:highlight w:val="none"/>
        </w:rPr>
        <w:t>合同</w:t>
      </w:r>
      <w:r>
        <w:rPr>
          <w:rFonts w:eastAsia="仿宋_GB2312"/>
          <w:color w:val="auto"/>
          <w:sz w:val="24"/>
          <w:szCs w:val="24"/>
          <w:highlight w:val="none"/>
        </w:rPr>
        <w:t>文件未推荐品牌范围的，承包人应择优选择3 家以上的候选品牌和样品，报发包人最后核准。主材应由承包人选定厂家和品牌后报发包人批准，且承包人选用主材不应低于投标文件中的标准</w:t>
      </w:r>
      <w:r>
        <w:rPr>
          <w:rFonts w:hint="eastAsia" w:eastAsia="仿宋_GB2312"/>
          <w:color w:val="auto"/>
          <w:sz w:val="24"/>
          <w:szCs w:val="24"/>
          <w:highlight w:val="none"/>
        </w:rPr>
        <w:t>，具体按照发包人的相关制度执行</w:t>
      </w:r>
      <w:r>
        <w:rPr>
          <w:rFonts w:eastAsia="仿宋_GB2312"/>
          <w:color w:val="auto"/>
          <w:sz w:val="24"/>
          <w:szCs w:val="24"/>
          <w:highlight w:val="none"/>
        </w:rPr>
        <w:t>。</w:t>
      </w:r>
      <w:r>
        <w:rPr>
          <w:rFonts w:hint="eastAsia" w:eastAsia="仿宋_GB2312"/>
          <w:color w:val="auto"/>
          <w:sz w:val="24"/>
          <w:szCs w:val="24"/>
          <w:highlight w:val="none"/>
        </w:rPr>
        <w:t>发包人有权组织监理和承包人前往候选供货单位的生产基地进行实地考察。</w:t>
      </w:r>
    </w:p>
    <w:p w14:paraId="500AB1F9">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4）本工程所用的一切材料、设备和技术必须符合合同文件所规定的种类及标准，承包人应对材料、设备和技术的质量负责，并应提供相关资料，以证明上述材料、设备和技术符合合同文件所规定的种类及标准。承包人应当按</w:t>
      </w:r>
      <w:r>
        <w:rPr>
          <w:rFonts w:hint="eastAsia" w:eastAsia="仿宋_GB2312"/>
          <w:color w:val="auto"/>
          <w:sz w:val="24"/>
          <w:szCs w:val="24"/>
          <w:highlight w:val="none"/>
        </w:rPr>
        <w:t>规范和当地要求</w:t>
      </w:r>
      <w:r>
        <w:rPr>
          <w:rFonts w:eastAsia="仿宋_GB2312"/>
          <w:color w:val="auto"/>
          <w:sz w:val="24"/>
          <w:szCs w:val="24"/>
          <w:highlight w:val="none"/>
        </w:rPr>
        <w:t>提供产品合格证明和检验报告</w:t>
      </w:r>
      <w:r>
        <w:rPr>
          <w:rFonts w:hint="eastAsia" w:eastAsia="仿宋_GB2312"/>
          <w:color w:val="auto"/>
          <w:sz w:val="24"/>
          <w:szCs w:val="24"/>
          <w:highlight w:val="none"/>
        </w:rPr>
        <w:t>等资料</w:t>
      </w:r>
      <w:r>
        <w:rPr>
          <w:rFonts w:eastAsia="仿宋_GB2312"/>
          <w:color w:val="auto"/>
          <w:sz w:val="24"/>
          <w:szCs w:val="24"/>
          <w:highlight w:val="none"/>
        </w:rPr>
        <w:t>。</w:t>
      </w:r>
    </w:p>
    <w:p w14:paraId="1ABDABBB">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（5）承包人应清楚了解其所用</w:t>
      </w:r>
      <w:r>
        <w:rPr>
          <w:rFonts w:hint="eastAsia" w:eastAsia="仿宋_GB2312"/>
          <w:color w:val="auto"/>
          <w:sz w:val="24"/>
          <w:szCs w:val="24"/>
          <w:highlight w:val="none"/>
        </w:rPr>
        <w:t>主要、关键</w:t>
      </w:r>
      <w:r>
        <w:rPr>
          <w:rFonts w:eastAsia="仿宋_GB2312"/>
          <w:color w:val="auto"/>
          <w:sz w:val="24"/>
          <w:szCs w:val="24"/>
          <w:highlight w:val="none"/>
        </w:rPr>
        <w:t>材料、设备及其供货单位的有关资料。前述相关</w:t>
      </w:r>
      <w:r>
        <w:rPr>
          <w:rFonts w:hint="eastAsia" w:eastAsia="仿宋_GB2312"/>
          <w:color w:val="auto"/>
          <w:sz w:val="24"/>
          <w:szCs w:val="24"/>
          <w:highlight w:val="none"/>
        </w:rPr>
        <w:t>了解清楚的情况</w:t>
      </w:r>
      <w:r>
        <w:rPr>
          <w:rFonts w:eastAsia="仿宋_GB2312"/>
          <w:color w:val="auto"/>
          <w:sz w:val="24"/>
          <w:szCs w:val="24"/>
          <w:highlight w:val="none"/>
        </w:rPr>
        <w:t>包括但不限于：供货单位的法人营业执照、经营范围、任何关于专营权和特许权的批准、经济实力、履约信用及信誉、履约能力；对物料的品质保证应有专门的条款规定，承包人要对如出厂、原产地证明、环保监测、各种合格证、许可证、图纸、检验、试验、检测报告、有关质量认证（含3C 认证）、维修责任和</w:t>
      </w:r>
      <w:r>
        <w:rPr>
          <w:rFonts w:hint="eastAsia" w:eastAsia="仿宋_GB2312"/>
          <w:color w:val="auto"/>
          <w:sz w:val="24"/>
          <w:szCs w:val="24"/>
          <w:highlight w:val="none"/>
        </w:rPr>
        <w:t>保修义务</w:t>
      </w:r>
      <w:r>
        <w:rPr>
          <w:rFonts w:eastAsia="仿宋_GB2312"/>
          <w:color w:val="auto"/>
          <w:sz w:val="24"/>
          <w:szCs w:val="24"/>
          <w:highlight w:val="none"/>
        </w:rPr>
        <w:t>的承诺、保修期等各种方面的情况有清晰的了解，且应确保文档齐备，以证明承包人对其进行了了解和检查并便于发包人或监理工程师进行审查。</w:t>
      </w:r>
    </w:p>
    <w:p w14:paraId="7C0E422F">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6）无论工程材料是由承包人自行推荐或是由发包人推荐的品牌，均不解除承包人所负的工程全面质量的责任。承包人应该对各种材料按规范进行检查验收，拒绝不符合要求的材料用于工程。无论何种原因，出现不合格材料用于工程的情况，均由承包人承担应有的责任。</w:t>
      </w:r>
    </w:p>
    <w:p w14:paraId="3F530CB2">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（7）承包人在选择材料与工程设备时，如选择的材料设备涉及专利使用的费用，所产生的费用由承包人承担，且包含在</w:t>
      </w:r>
      <w:r>
        <w:rPr>
          <w:rFonts w:hint="eastAsia" w:eastAsia="仿宋_GB2312"/>
          <w:color w:val="auto"/>
          <w:sz w:val="24"/>
          <w:szCs w:val="24"/>
          <w:highlight w:val="none"/>
        </w:rPr>
        <w:t>签约</w:t>
      </w:r>
      <w:r>
        <w:rPr>
          <w:rFonts w:eastAsia="仿宋_GB2312"/>
          <w:color w:val="auto"/>
          <w:sz w:val="24"/>
          <w:szCs w:val="24"/>
          <w:highlight w:val="none"/>
        </w:rPr>
        <w:t>合同价款内，发包人将不另行支付。</w:t>
      </w:r>
    </w:p>
    <w:p w14:paraId="5D6DA304">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w:t>
      </w:r>
      <w:r>
        <w:rPr>
          <w:rFonts w:hint="eastAsia" w:eastAsia="仿宋_GB2312"/>
          <w:color w:val="auto"/>
          <w:sz w:val="24"/>
          <w:szCs w:val="24"/>
          <w:highlight w:val="none"/>
        </w:rPr>
        <w:t>8</w:t>
      </w:r>
      <w:r>
        <w:rPr>
          <w:rFonts w:eastAsia="仿宋_GB2312"/>
          <w:color w:val="auto"/>
          <w:sz w:val="24"/>
          <w:szCs w:val="24"/>
          <w:highlight w:val="none"/>
        </w:rPr>
        <w:t>）承包人应赔偿因其未清楚了解其所用材料、设备及其供货单位的有关资料而给发包人造成的损失。</w:t>
      </w:r>
    </w:p>
    <w:p w14:paraId="7C71B19A">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w:t>
      </w:r>
      <w:r>
        <w:rPr>
          <w:rFonts w:hint="eastAsia" w:eastAsia="仿宋_GB2312"/>
          <w:color w:val="auto"/>
          <w:sz w:val="24"/>
          <w:szCs w:val="24"/>
          <w:highlight w:val="none"/>
        </w:rPr>
        <w:t>9</w:t>
      </w:r>
      <w:r>
        <w:rPr>
          <w:rFonts w:eastAsia="仿宋_GB2312"/>
          <w:color w:val="auto"/>
          <w:sz w:val="24"/>
          <w:szCs w:val="24"/>
          <w:highlight w:val="none"/>
        </w:rPr>
        <w:t>）承包人应在工程进度计划被批准后28 天内向发包人提交甲控乙</w:t>
      </w:r>
      <w:r>
        <w:rPr>
          <w:rFonts w:hint="eastAsia" w:eastAsia="仿宋_GB2312"/>
          <w:color w:val="auto"/>
          <w:sz w:val="24"/>
          <w:szCs w:val="24"/>
          <w:highlight w:val="none"/>
        </w:rPr>
        <w:t>供材料、设备的报批、</w:t>
      </w:r>
      <w:r>
        <w:rPr>
          <w:rFonts w:eastAsia="仿宋_GB2312"/>
          <w:color w:val="auto"/>
          <w:sz w:val="24"/>
          <w:szCs w:val="24"/>
          <w:highlight w:val="none"/>
        </w:rPr>
        <w:t>采购和使用计划；工程进度计划更新后，承包人应及时更新甲控乙</w:t>
      </w:r>
      <w:r>
        <w:rPr>
          <w:rFonts w:hint="eastAsia" w:eastAsia="仿宋_GB2312"/>
          <w:color w:val="auto"/>
          <w:sz w:val="24"/>
          <w:szCs w:val="24"/>
          <w:highlight w:val="none"/>
        </w:rPr>
        <w:t>供</w:t>
      </w:r>
      <w:r>
        <w:rPr>
          <w:rFonts w:eastAsia="仿宋_GB2312"/>
          <w:color w:val="auto"/>
          <w:sz w:val="24"/>
          <w:szCs w:val="24"/>
          <w:highlight w:val="none"/>
        </w:rPr>
        <w:t>材料采购和使用计划（但必须在该材料设备进场前120 天提出）。承包人不及时提交或更新甲控乙供材料采购和使用计划的，由承包人承担因此而造成的延误或其它损失的责任。</w:t>
      </w:r>
    </w:p>
    <w:p w14:paraId="77BFC1B3">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w:t>
      </w:r>
      <w:r>
        <w:rPr>
          <w:rFonts w:hint="eastAsia" w:eastAsia="仿宋_GB2312"/>
          <w:color w:val="auto"/>
          <w:sz w:val="24"/>
          <w:szCs w:val="24"/>
          <w:highlight w:val="none"/>
        </w:rPr>
        <w:t>0</w:t>
      </w:r>
      <w:r>
        <w:rPr>
          <w:rFonts w:eastAsia="仿宋_GB2312"/>
          <w:color w:val="auto"/>
          <w:sz w:val="24"/>
          <w:szCs w:val="24"/>
          <w:highlight w:val="none"/>
        </w:rPr>
        <w:t>）承包人应在发包人选定甲控乙招材料供应商后7 天内与材料供应商签订材料采购供应合同，如承包人未及时与材料供应商签订材料采购供应合同，由此造成的工期延误责任和材料价格变动责任均由承包人承担，价款调整按发包人确定的材料价格进行。</w:t>
      </w:r>
    </w:p>
    <w:p w14:paraId="3F84065B">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w:t>
      </w:r>
      <w:r>
        <w:rPr>
          <w:rFonts w:hint="eastAsia" w:eastAsia="仿宋_GB2312"/>
          <w:color w:val="auto"/>
          <w:sz w:val="24"/>
          <w:szCs w:val="24"/>
          <w:highlight w:val="none"/>
        </w:rPr>
        <w:t>1</w:t>
      </w:r>
      <w:r>
        <w:rPr>
          <w:rFonts w:eastAsia="仿宋_GB2312"/>
          <w:color w:val="auto"/>
          <w:sz w:val="24"/>
          <w:szCs w:val="24"/>
          <w:highlight w:val="none"/>
        </w:rPr>
        <w:t>）若承包人在发包人书面要求后14天内仍未与选定的推荐材料设备品牌表内的厂家或供货人签署采购合同的,发包人有权根据实际进度和需要将采购方式修改为由发包人供应，合同内的有关材料价款将直接扣</w:t>
      </w:r>
      <w:r>
        <w:rPr>
          <w:rFonts w:hint="eastAsia" w:eastAsia="仿宋_GB2312"/>
          <w:color w:val="auto"/>
          <w:sz w:val="24"/>
          <w:szCs w:val="24"/>
          <w:highlight w:val="none"/>
        </w:rPr>
        <w:t>除</w:t>
      </w:r>
      <w:r>
        <w:rPr>
          <w:rFonts w:eastAsia="仿宋_GB2312"/>
          <w:color w:val="auto"/>
          <w:sz w:val="24"/>
          <w:szCs w:val="24"/>
          <w:highlight w:val="none"/>
        </w:rPr>
        <w:t>，且不会因此补偿承包人的任何费用和利润，而承包人仍需按发包人供应材料的条款履行有关的责任和义务。</w:t>
      </w:r>
    </w:p>
    <w:p w14:paraId="72A9B348">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w:t>
      </w:r>
      <w:r>
        <w:rPr>
          <w:rFonts w:hint="eastAsia" w:eastAsia="仿宋_GB2312"/>
          <w:color w:val="auto"/>
          <w:sz w:val="24"/>
          <w:szCs w:val="24"/>
          <w:highlight w:val="none"/>
        </w:rPr>
        <w:t>2</w:t>
      </w:r>
      <w:r>
        <w:rPr>
          <w:rFonts w:eastAsia="仿宋_GB2312"/>
          <w:color w:val="auto"/>
          <w:sz w:val="24"/>
          <w:szCs w:val="24"/>
          <w:highlight w:val="none"/>
        </w:rPr>
        <w:t>）发包人推荐的生产厂家或品牌：</w:t>
      </w:r>
    </w:p>
    <w:p w14:paraId="2004E0B5">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为确保工程质量和品质，发包人对主要材料、工程设备推荐品牌范围</w:t>
      </w:r>
      <w:r>
        <w:rPr>
          <w:rFonts w:hint="eastAsia" w:eastAsia="仿宋_GB2312"/>
          <w:color w:val="auto"/>
          <w:sz w:val="24"/>
          <w:szCs w:val="24"/>
          <w:highlight w:val="none"/>
        </w:rPr>
        <w:t>详见合同附件。</w:t>
      </w:r>
    </w:p>
    <w:p w14:paraId="758D2CD9">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承包人必须使用上述</w:t>
      </w:r>
      <w:r>
        <w:rPr>
          <w:rFonts w:hint="eastAsia" w:eastAsia="仿宋_GB2312"/>
          <w:color w:val="auto"/>
          <w:sz w:val="24"/>
          <w:szCs w:val="24"/>
          <w:highlight w:val="none"/>
        </w:rPr>
        <w:t>推荐</w:t>
      </w:r>
      <w:r>
        <w:rPr>
          <w:rFonts w:eastAsia="仿宋_GB2312"/>
          <w:color w:val="auto"/>
          <w:sz w:val="24"/>
          <w:szCs w:val="24"/>
          <w:highlight w:val="none"/>
        </w:rPr>
        <w:t>品牌范围内的材料，若因特殊情况需使用其它品牌的材料时，承包人必须书面报发包人审定同意后，才能在本合同项目中使用。</w:t>
      </w:r>
    </w:p>
    <w:p w14:paraId="772EBF79">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13）承包人须于签订分包合同和材料、设备合同前，将分包单位、甲控乙供、乙供工程材料、设备品牌选定报发包人审批，并同时上报进场计划，材料、设备到货计划。未按要求进行审批分包单位不得进场，未按要求进行审批的材料、设备发包人有权拒收该材料、设备。违反本条约定的，承包人须参照16.2.2（1）① 条质量方面的违约条款承担违约责任。</w:t>
      </w:r>
    </w:p>
    <w:p w14:paraId="4502B3FD">
      <w:pPr>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通用条款8.3.1不适用，替换为：</w:t>
      </w:r>
    </w:p>
    <w:p w14:paraId="4F8C9A5E">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8.3.1</w:t>
      </w:r>
      <w:r>
        <w:rPr>
          <w:rFonts w:eastAsia="仿宋_GB2312"/>
          <w:color w:val="auto"/>
          <w:sz w:val="24"/>
          <w:szCs w:val="24"/>
          <w:highlight w:val="none"/>
        </w:rPr>
        <w:t>发包人采购材料与工程设备的，应在材料设备到货前</w:t>
      </w:r>
      <w:r>
        <w:rPr>
          <w:rFonts w:hint="eastAsia" w:eastAsia="仿宋_GB2312"/>
          <w:color w:val="auto"/>
          <w:sz w:val="24"/>
          <w:szCs w:val="24"/>
          <w:highlight w:val="none"/>
        </w:rPr>
        <w:t>48</w:t>
      </w:r>
      <w:r>
        <w:rPr>
          <w:rFonts w:eastAsia="仿宋_GB2312"/>
          <w:color w:val="auto"/>
          <w:sz w:val="24"/>
          <w:szCs w:val="24"/>
          <w:highlight w:val="none"/>
        </w:rPr>
        <w:t>小时，以书面形式通知承包人和监理工程师，由承包人与发包人在监理工程师的见证下共同清点，清点后</w:t>
      </w:r>
      <w:r>
        <w:rPr>
          <w:rFonts w:hint="eastAsia" w:eastAsia="仿宋_GB2312"/>
          <w:color w:val="auto"/>
          <w:sz w:val="24"/>
          <w:szCs w:val="24"/>
          <w:highlight w:val="none"/>
        </w:rPr>
        <w:t>并在送货单上签字确认后</w:t>
      </w:r>
      <w:r>
        <w:rPr>
          <w:rFonts w:eastAsia="仿宋_GB2312"/>
          <w:color w:val="auto"/>
          <w:sz w:val="24"/>
          <w:szCs w:val="24"/>
          <w:highlight w:val="none"/>
        </w:rPr>
        <w:t>由承包人负责卸</w:t>
      </w:r>
      <w:r>
        <w:rPr>
          <w:rFonts w:hint="eastAsia" w:eastAsia="仿宋_GB2312"/>
          <w:color w:val="auto"/>
          <w:sz w:val="24"/>
          <w:szCs w:val="24"/>
          <w:highlight w:val="none"/>
        </w:rPr>
        <w:t>货、保管；承包人确定开箱日期后，由承包人提前7天通知发包人、供应商进行开箱确认，并在装箱单上签字确认后由承包人负责</w:t>
      </w:r>
      <w:r>
        <w:rPr>
          <w:rFonts w:eastAsia="仿宋_GB2312"/>
          <w:color w:val="auto"/>
          <w:sz w:val="24"/>
          <w:szCs w:val="24"/>
          <w:highlight w:val="none"/>
        </w:rPr>
        <w:t>存储和保</w:t>
      </w:r>
      <w:r>
        <w:rPr>
          <w:rFonts w:hint="eastAsia" w:eastAsia="仿宋_GB2312"/>
          <w:color w:val="auto"/>
          <w:sz w:val="24"/>
          <w:szCs w:val="24"/>
          <w:highlight w:val="none"/>
        </w:rPr>
        <w:t>管</w:t>
      </w:r>
      <w:r>
        <w:rPr>
          <w:rFonts w:eastAsia="仿宋_GB2312"/>
          <w:color w:val="auto"/>
          <w:sz w:val="24"/>
          <w:szCs w:val="24"/>
          <w:highlight w:val="none"/>
        </w:rPr>
        <w:t>，因保管不善或承包人原因导致的丢失或损害由承包人负责赔偿。</w:t>
      </w:r>
    </w:p>
    <w:p w14:paraId="325BBCDC">
      <w:pPr>
        <w:spacing w:line="360" w:lineRule="auto"/>
        <w:ind w:firstLine="482" w:firstLineChars="200"/>
        <w:jc w:val="left"/>
        <w:rPr>
          <w:rFonts w:eastAsia="仿宋_GB2312"/>
          <w:b/>
          <w:bCs/>
          <w:color w:val="auto"/>
          <w:sz w:val="24"/>
          <w:szCs w:val="24"/>
          <w:highlight w:val="none"/>
        </w:rPr>
      </w:pPr>
      <w:r>
        <w:rPr>
          <w:rFonts w:hint="eastAsia" w:eastAsia="仿宋_GB2312"/>
          <w:b/>
          <w:bCs/>
          <w:color w:val="auto"/>
          <w:sz w:val="24"/>
          <w:szCs w:val="24"/>
          <w:highlight w:val="none"/>
        </w:rPr>
        <w:t>增加通用条款</w:t>
      </w:r>
      <w:r>
        <w:rPr>
          <w:rFonts w:eastAsia="仿宋_GB2312"/>
          <w:b/>
          <w:bCs/>
          <w:color w:val="auto"/>
          <w:sz w:val="24"/>
          <w:szCs w:val="24"/>
          <w:highlight w:val="none"/>
        </w:rPr>
        <w:t>8.3.2内容</w:t>
      </w:r>
      <w:r>
        <w:rPr>
          <w:rFonts w:hint="eastAsia" w:eastAsia="仿宋_GB2312"/>
          <w:b/>
          <w:bCs/>
          <w:color w:val="auto"/>
          <w:sz w:val="24"/>
          <w:szCs w:val="24"/>
          <w:highlight w:val="none"/>
        </w:rPr>
        <w:t>，具体如下</w:t>
      </w:r>
      <w:r>
        <w:rPr>
          <w:rFonts w:eastAsia="仿宋_GB2312"/>
          <w:b/>
          <w:bCs/>
          <w:color w:val="auto"/>
          <w:sz w:val="24"/>
          <w:szCs w:val="24"/>
          <w:highlight w:val="none"/>
        </w:rPr>
        <w:t>：</w:t>
      </w:r>
    </w:p>
    <w:p w14:paraId="3D46A40D">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（1）承包人采购材料与工程设备的，承包人在主要材料或工程设备到货时，应至少提前24小时书面通知监理工程师清点、检验</w:t>
      </w:r>
      <w:r>
        <w:rPr>
          <w:rFonts w:hint="eastAsia" w:eastAsia="仿宋_GB2312"/>
          <w:color w:val="auto"/>
          <w:sz w:val="24"/>
          <w:szCs w:val="24"/>
          <w:highlight w:val="none"/>
        </w:rPr>
        <w:t>；同时，向发包人提供采购合同副本和制造供应商盖章的发货清单。</w:t>
      </w:r>
    </w:p>
    <w:p w14:paraId="74B6FAEB">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（2）承包人采购的材料设备与设计要求、标准与规范不符时，承包人应按监理工程师要求的时间运出施工场地，重新采购符合要求的产品，承担由此发生的费用，工期不予顺延。</w:t>
      </w:r>
    </w:p>
    <w:p w14:paraId="04876F26">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（3）本工程采用的主要材料、半成品、成品、建筑配件、器具和设备应进行现场验收。凡涉及安全、功能的有关产品，应按各专业工程质量验收规范规定进行复验，并经监理工程师检查认可才能使用。</w:t>
      </w:r>
    </w:p>
    <w:p w14:paraId="456E05DB">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8.4材料与工程设备的保管与使用</w:t>
      </w:r>
    </w:p>
    <w:p w14:paraId="200ACC4E">
      <w:pPr>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通用条款8.4.1不适用，替换为：</w:t>
      </w:r>
    </w:p>
    <w:p w14:paraId="38E0889E">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8.4.1发包人供应材料与工程设备的保管与使用</w:t>
      </w:r>
    </w:p>
    <w:p w14:paraId="6292E580">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发包人供应的材料和工程设备（如有），承包人清点后由承包人妥善保管，保管费由发包人承担，保管费率按1.5％计取，即甲供设备材料采保费=材料设备采购价×1.5%，保管费包括不限于由承包人负责卸装、存储、二次运输、验收、保管及保护等所需的全部费用，并按专用条款约定调整。</w:t>
      </w:r>
    </w:p>
    <w:p w14:paraId="2B2B1EA2">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合同履行期间发包人可选择将部分由承包人采购的材料与工程设备改为甲供设备材料，承包人不得提出异议。合同清单有关部分设备的材料价及相应的税金从签约合同价中扣除。</w:t>
      </w:r>
    </w:p>
    <w:p w14:paraId="7535747A">
      <w:pPr>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通用条款8.4.2不适用，替换为：</w:t>
      </w:r>
    </w:p>
    <w:p w14:paraId="45CD0534">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8.4.2 承包人采购材料与工程设备的保管与使用</w:t>
      </w:r>
    </w:p>
    <w:p w14:paraId="42407307">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承包人采购的材料和工程设备由承包人妥善保管，保管费用由承包人承担。法律规定材料和工程设备使用前必须进行检验或试验的，承包人应按要求进行检验或试验，检验或试验若按国家规定须由发包人负责的，检验或试验费用由发包人承担。否则检验或试验由承包人承担，不合格的不得使用。检验或试验所需的抽样、送检（送至检验或试验地点）、报告的领取等所有相关工作及费用由承包人承担，且视作已考虑于签约合同价内。</w:t>
      </w:r>
    </w:p>
    <w:p w14:paraId="4C9F07EC">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2F078B62">
      <w:pPr>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通用条款8.5.2~8.5.3不适用，替换为：</w:t>
      </w:r>
    </w:p>
    <w:p w14:paraId="3E746109">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8.5.2监理工程师发现承包人使用不符合标准与规范、设计要求的材料设备时，应要求承包人负责修复、拆除或重新采购，由承包人承担发生的费用，工期不予顺延。</w:t>
      </w:r>
    </w:p>
    <w:p w14:paraId="05C2AE6E">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8.5.3发包人提供的材料或工程设备（如有）不符合合同要求时，承包人有权拒绝，并可要求发包人更换。发包人供应的材料设备使用前，需按规定进行检查或检验，不合格的不得使用。出现不合格材料用于工程的情况，由承包人承担应有的责任。由发包人供应的材料设备，并不免除承包人所负的工程全面质量的责任。</w:t>
      </w:r>
    </w:p>
    <w:p w14:paraId="051CC365">
      <w:pPr>
        <w:spacing w:line="360" w:lineRule="auto"/>
        <w:ind w:firstLine="482" w:firstLineChars="200"/>
        <w:jc w:val="left"/>
        <w:rPr>
          <w:rFonts w:hint="eastAsia" w:eastAsia="仿宋_GB2312"/>
          <w:b/>
          <w:bCs/>
          <w:color w:val="auto"/>
          <w:sz w:val="24"/>
          <w:szCs w:val="24"/>
          <w:highlight w:val="none"/>
        </w:rPr>
      </w:pPr>
      <w:bookmarkStart w:id="696" w:name="_Toc32343"/>
      <w:r>
        <w:rPr>
          <w:rFonts w:hint="eastAsia" w:eastAsia="仿宋_GB2312"/>
          <w:b/>
          <w:bCs/>
          <w:color w:val="auto"/>
          <w:sz w:val="24"/>
          <w:szCs w:val="24"/>
          <w:highlight w:val="none"/>
        </w:rPr>
        <w:t>通用条款8.7不适用，替换为：</w:t>
      </w:r>
    </w:p>
    <w:p w14:paraId="0C391E1E">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8.7材料与工程设备的替代</w:t>
      </w:r>
      <w:bookmarkEnd w:id="696"/>
    </w:p>
    <w:p w14:paraId="33E8D620">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本合同视为承包人已完全清楚了解材料设备的供应市场情况，承包人不得以产品市场无生产等任何理由提出替换材料、工程设备的要求。不论何种原因，承包人提出替代换材料的（含规格、品牌等），则承包人应承担完全责任。承包人确需要使用替换材料的，应向发包人提出申请，经发包人、设计单位、监理工程师批准后才能使用，如由此造成费用增加的由承包人自行承担；如减少费用的，则由承包人与造价工程师、发包人协商确定减少额，协商不能达成一致的，可由发包人暂定。</w:t>
      </w:r>
    </w:p>
    <w:p w14:paraId="2D2C9592">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（2）如承包人使用代用材料、设备，将不予延长工期，并不得影响其他任何工序、工程的进行。</w:t>
      </w:r>
    </w:p>
    <w:p w14:paraId="75F29210">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（3）承包人在申请使用某一类型的材料、设备时，不论该类型是在合同文件中规定的或是发包人提议使用的，都被视为承包人保证该材料、设备在所有正常使用环境下都符合发包人的工艺和技术规范。</w:t>
      </w:r>
    </w:p>
    <w:p w14:paraId="14FC52EE">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（4）承包人保证其所供应的材料和设备均是使用优质材料和先进工艺制成的、全新的且未曾用过的，并完全符合设计文件和合同文件规定的对质量、规格和性能的要求。</w:t>
      </w:r>
    </w:p>
    <w:p w14:paraId="3CEE3F45">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（5）已经送抵工地的材料，承包人不能擅自取走。发包人已经支付了款项的材料所有权归发包人，但承包人仍需对它们的遗失或损坏负责。</w:t>
      </w:r>
    </w:p>
    <w:p w14:paraId="2C59EAB1">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（6）承包人应存有足够供替换或紧急需要的施工现场机械设备零配件存货，相应的存放及保管费用由承包人自行承担。</w:t>
      </w:r>
    </w:p>
    <w:p w14:paraId="189E8B70">
      <w:pPr>
        <w:spacing w:after="120" w:line="360" w:lineRule="auto"/>
        <w:ind w:firstLine="480" w:firstLineChars="200"/>
        <w:outlineLvl w:val="0"/>
        <w:rPr>
          <w:rFonts w:eastAsia="黑体"/>
          <w:color w:val="auto"/>
          <w:sz w:val="24"/>
          <w:szCs w:val="24"/>
          <w:highlight w:val="none"/>
        </w:rPr>
      </w:pPr>
      <w:bookmarkStart w:id="697" w:name="_Toc32835782"/>
      <w:r>
        <w:rPr>
          <w:rFonts w:eastAsia="黑体"/>
          <w:color w:val="auto"/>
          <w:sz w:val="24"/>
          <w:szCs w:val="24"/>
          <w:highlight w:val="none"/>
        </w:rPr>
        <w:t>8.8 施工设备和临时设施</w:t>
      </w:r>
      <w:bookmarkEnd w:id="697"/>
    </w:p>
    <w:p w14:paraId="1588078D">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8.8.1 承包人提供的施工设备和临时设施</w:t>
      </w:r>
    </w:p>
    <w:p w14:paraId="63E5C527">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关于修建临时设施费用承担的约定：</w:t>
      </w:r>
      <w:r>
        <w:rPr>
          <w:rFonts w:hint="eastAsia" w:eastAsia="仿宋_GB2312"/>
          <w:color w:val="auto"/>
          <w:sz w:val="24"/>
          <w:szCs w:val="24"/>
          <w:highlight w:val="none"/>
          <w:u w:val="single"/>
        </w:rPr>
        <w:t>承包人应自行承担修建临时设施的费用，需要临时占地的，由承包人办理申请手续并承担相应费用</w:t>
      </w:r>
      <w:r>
        <w:rPr>
          <w:rFonts w:eastAsia="仿宋_GB2312"/>
          <w:color w:val="auto"/>
          <w:sz w:val="24"/>
          <w:szCs w:val="24"/>
          <w:highlight w:val="none"/>
          <w:u w:val="single"/>
        </w:rPr>
        <w:t>。</w:t>
      </w:r>
    </w:p>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14:paraId="23DCA9BB">
      <w:pPr>
        <w:pStyle w:val="6"/>
        <w:spacing w:before="120" w:after="120" w:line="360" w:lineRule="auto"/>
        <w:ind w:firstLine="480" w:firstLineChars="200"/>
        <w:rPr>
          <w:rFonts w:ascii="Times New Roman" w:hAnsi="Times New Roman" w:eastAsia="黑体"/>
          <w:b w:val="0"/>
          <w:color w:val="auto"/>
          <w:sz w:val="24"/>
          <w:szCs w:val="24"/>
          <w:highlight w:val="none"/>
        </w:rPr>
      </w:pPr>
      <w:bookmarkStart w:id="698" w:name="_Toc32835783"/>
      <w:r>
        <w:rPr>
          <w:rFonts w:ascii="Times New Roman" w:hAnsi="Times New Roman" w:eastAsia="黑体"/>
          <w:b w:val="0"/>
          <w:color w:val="auto"/>
          <w:sz w:val="24"/>
          <w:szCs w:val="24"/>
          <w:highlight w:val="none"/>
        </w:rPr>
        <w:t>9</w:t>
      </w:r>
      <w:bookmarkEnd w:id="693"/>
      <w:bookmarkEnd w:id="694"/>
      <w:bookmarkEnd w:id="695"/>
      <w:bookmarkStart w:id="699" w:name="_Toc312677495"/>
      <w:bookmarkStart w:id="700" w:name="_Toc300934982"/>
      <w:bookmarkStart w:id="701" w:name="_Toc312678021"/>
      <w:bookmarkStart w:id="702" w:name="_Toc297123533"/>
      <w:bookmarkStart w:id="703" w:name="_Toc304295559"/>
      <w:bookmarkStart w:id="704" w:name="_Toc297216192"/>
      <w:bookmarkStart w:id="705" w:name="_Toc303539139"/>
      <w:bookmarkStart w:id="706" w:name="_Toc296944512"/>
      <w:bookmarkStart w:id="707" w:name="_Toc292559883"/>
      <w:bookmarkStart w:id="708" w:name="_Toc296503173"/>
      <w:bookmarkStart w:id="709" w:name="_Toc292559378"/>
      <w:bookmarkStart w:id="710" w:name="_Toc296891213"/>
      <w:bookmarkStart w:id="711" w:name="_Toc296346674"/>
      <w:bookmarkStart w:id="712" w:name="_Toc296347172"/>
      <w:bookmarkStart w:id="713" w:name="_Toc296891001"/>
      <w:bookmarkStart w:id="714" w:name="_Toc267251427"/>
      <w:bookmarkStart w:id="715" w:name="_Toc297120473"/>
      <w:bookmarkStart w:id="716" w:name="_Toc297048359"/>
      <w:bookmarkStart w:id="717" w:name="_Toc267251428"/>
      <w:r>
        <w:rPr>
          <w:rFonts w:ascii="Times New Roman" w:hAnsi="Times New Roman" w:eastAsia="黑体"/>
          <w:b w:val="0"/>
          <w:color w:val="auto"/>
          <w:sz w:val="24"/>
          <w:szCs w:val="24"/>
          <w:highlight w:val="none"/>
        </w:rPr>
        <w:t>. 试验与检验</w:t>
      </w:r>
      <w:bookmarkEnd w:id="698"/>
    </w:p>
    <w:bookmarkEnd w:id="699"/>
    <w:bookmarkEnd w:id="700"/>
    <w:bookmarkEnd w:id="701"/>
    <w:bookmarkEnd w:id="702"/>
    <w:bookmarkEnd w:id="703"/>
    <w:bookmarkEnd w:id="704"/>
    <w:bookmarkEnd w:id="705"/>
    <w:p w14:paraId="032A420D">
      <w:pPr>
        <w:autoSpaceDE w:val="0"/>
        <w:autoSpaceDN w:val="0"/>
        <w:adjustRightInd w:val="0"/>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通用条款9.1.1~</w:t>
      </w:r>
      <w:r>
        <w:rPr>
          <w:rFonts w:eastAsia="仿宋_GB2312"/>
          <w:b/>
          <w:bCs/>
          <w:color w:val="auto"/>
          <w:sz w:val="24"/>
          <w:szCs w:val="24"/>
          <w:highlight w:val="none"/>
        </w:rPr>
        <w:t xml:space="preserve">9.1.2 </w:t>
      </w:r>
      <w:r>
        <w:rPr>
          <w:rFonts w:hint="eastAsia" w:eastAsia="仿宋_GB2312"/>
          <w:b/>
          <w:bCs/>
          <w:color w:val="auto"/>
          <w:sz w:val="24"/>
          <w:szCs w:val="24"/>
          <w:highlight w:val="none"/>
        </w:rPr>
        <w:t>不适用，替换为：</w:t>
      </w:r>
    </w:p>
    <w:p w14:paraId="200BD21B">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9.1.1</w:t>
      </w:r>
      <w:r>
        <w:rPr>
          <w:rFonts w:hint="eastAsia" w:eastAsia="仿宋_GB2312"/>
          <w:color w:val="auto"/>
          <w:sz w:val="24"/>
          <w:szCs w:val="24"/>
          <w:highlight w:val="none"/>
        </w:rPr>
        <w:t>承包人根据标准与规范、合同约定或监理人指示进行的现场材料试验，应由承包人提供试验场所、试验人员、试验设备以及其他必要的试验条件。监理人可以使用承包人提供的试验场所、试验设备以及其他试验条件，进行以工程质量检查为目的的材料复核试验，承包人应予以协助。监理人可进入施工场地、材料设备的制造、加工或制配的所有车间和场所进行检验，承包人应为他们进入上述场所提供便利和协助。</w:t>
      </w:r>
    </w:p>
    <w:p w14:paraId="5E9542FF">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 xml:space="preserve">9.1.2 </w:t>
      </w:r>
      <w:r>
        <w:rPr>
          <w:rFonts w:hint="eastAsia" w:eastAsia="仿宋_GB2312"/>
          <w:color w:val="auto"/>
          <w:sz w:val="24"/>
          <w:szCs w:val="24"/>
          <w:highlight w:val="none"/>
        </w:rPr>
        <w:t>承包人须提供试验设备、取样装置、试验场所和试验条件，以满足材料与工程设备现场检测需求，并向监理人提交相应试验设备、取样装置进场计划表。</w:t>
      </w:r>
    </w:p>
    <w:p w14:paraId="2BBD5A17">
      <w:pPr>
        <w:autoSpaceDE w:val="0"/>
        <w:autoSpaceDN w:val="0"/>
        <w:adjustRightInd w:val="0"/>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承包人配置的试验设备要符合相应试验规程的要求并经过具有资质的检测单位检测，且在正式使用该试验设备前，需要经过监理人与承包人共同校定。共同校定并不免除承包人试验设备不符合检测要求的责任。</w:t>
      </w:r>
    </w:p>
    <w:p w14:paraId="05CD359B">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9.3材料、工程设备和工程的试验和检验</w:t>
      </w:r>
    </w:p>
    <w:p w14:paraId="74623CD9">
      <w:pPr>
        <w:autoSpaceDE w:val="0"/>
        <w:autoSpaceDN w:val="0"/>
        <w:adjustRightInd w:val="0"/>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通用条款9.3.1~</w:t>
      </w:r>
      <w:r>
        <w:rPr>
          <w:rFonts w:eastAsia="仿宋_GB2312"/>
          <w:b/>
          <w:bCs/>
          <w:color w:val="auto"/>
          <w:sz w:val="24"/>
          <w:szCs w:val="24"/>
          <w:highlight w:val="none"/>
        </w:rPr>
        <w:t>9.</w:t>
      </w:r>
      <w:r>
        <w:rPr>
          <w:rFonts w:hint="eastAsia" w:eastAsia="仿宋_GB2312"/>
          <w:b/>
          <w:bCs/>
          <w:color w:val="auto"/>
          <w:sz w:val="24"/>
          <w:szCs w:val="24"/>
          <w:highlight w:val="none"/>
        </w:rPr>
        <w:t>3</w:t>
      </w:r>
      <w:r>
        <w:rPr>
          <w:rFonts w:eastAsia="仿宋_GB2312"/>
          <w:b/>
          <w:bCs/>
          <w:color w:val="auto"/>
          <w:sz w:val="24"/>
          <w:szCs w:val="24"/>
          <w:highlight w:val="none"/>
        </w:rPr>
        <w:t>.</w:t>
      </w:r>
      <w:r>
        <w:rPr>
          <w:rFonts w:hint="eastAsia" w:eastAsia="仿宋_GB2312"/>
          <w:b/>
          <w:bCs/>
          <w:color w:val="auto"/>
          <w:sz w:val="24"/>
          <w:szCs w:val="24"/>
          <w:highlight w:val="none"/>
        </w:rPr>
        <w:t>3</w:t>
      </w:r>
      <w:r>
        <w:rPr>
          <w:rFonts w:eastAsia="仿宋_GB2312"/>
          <w:b/>
          <w:bCs/>
          <w:color w:val="auto"/>
          <w:sz w:val="24"/>
          <w:szCs w:val="24"/>
          <w:highlight w:val="none"/>
        </w:rPr>
        <w:t xml:space="preserve"> </w:t>
      </w:r>
      <w:r>
        <w:rPr>
          <w:rFonts w:hint="eastAsia" w:eastAsia="仿宋_GB2312"/>
          <w:b/>
          <w:bCs/>
          <w:color w:val="auto"/>
          <w:sz w:val="24"/>
          <w:szCs w:val="24"/>
          <w:highlight w:val="none"/>
        </w:rPr>
        <w:t>不适用，替换为：</w:t>
      </w:r>
    </w:p>
    <w:p w14:paraId="31284CE6">
      <w:pPr>
        <w:autoSpaceDE w:val="0"/>
        <w:autoSpaceDN w:val="0"/>
        <w:adjustRightInd w:val="0"/>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 xml:space="preserve"> 9.3.1承包人应按国家规范和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F2C0D0E">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w:t>
      </w:r>
    </w:p>
    <w:p w14:paraId="295B1BA6">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标准与规范或合同没要求进行见证取样检测的材料设备，承包人应与监理工程师约定材料设备的检验时间和地点，并按时到场参加检验。如果监理工程师或其委派的代表不能按时到场参加检验，监理工程师应至少提前24 小时发出延期检验指令并书面说明理由，延期不得超过48 小时。如果监理工程师或其委派的代表未发出延期检验指令也未能按时到场检验，承包人可自行检验，并认为该检验是在监理工程师在场的情况下完成的。检验完成后，承包人应立即向监理工程师提交检验数据的有效证据，监理工程师应认可检验结果。</w:t>
      </w:r>
    </w:p>
    <w:p w14:paraId="4707BC00">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9.3.3监理人对承包人的试验和检验结果有异议的，或为查清承包人试验和检验成果的可靠性要求承包人重新试验和检验的，可由监理人与承包人共同进行。委托第三方重新试验和检验的结果证明该项材料、工程设备或工程的质量不符合合同要求的，由此增加的费用和（或）延误的工期由承包人承担；委托第三方重新试验和检验结果证明该项材料、工程设备和工程符合合同要求的，由此增加的费用和（或）延误的工期由发包人承担。自检、抽检性质的重新试验和检验增加的费用和（或）延误的工期全部由承包人承担。</w:t>
      </w:r>
    </w:p>
    <w:p w14:paraId="30BCAB34">
      <w:pPr>
        <w:autoSpaceDE w:val="0"/>
        <w:autoSpaceDN w:val="0"/>
        <w:adjustRightInd w:val="0"/>
        <w:spacing w:line="360" w:lineRule="auto"/>
        <w:ind w:firstLine="482" w:firstLineChars="200"/>
        <w:jc w:val="left"/>
        <w:rPr>
          <w:rFonts w:hint="eastAsia" w:eastAsia="仿宋_GB2312"/>
          <w:b/>
          <w:bCs/>
          <w:color w:val="auto"/>
          <w:sz w:val="24"/>
          <w:szCs w:val="24"/>
          <w:highlight w:val="none"/>
        </w:rPr>
      </w:pPr>
      <w:bookmarkStart w:id="718" w:name="_Toc12473"/>
      <w:r>
        <w:rPr>
          <w:rFonts w:hint="eastAsia" w:eastAsia="仿宋_GB2312"/>
          <w:b/>
          <w:bCs/>
          <w:color w:val="auto"/>
          <w:sz w:val="24"/>
          <w:szCs w:val="24"/>
          <w:highlight w:val="none"/>
        </w:rPr>
        <w:t>通用条款9.4条不适用，替换为：</w:t>
      </w:r>
    </w:p>
    <w:p w14:paraId="3DBED14A">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9.4现场工艺试验</w:t>
      </w:r>
      <w:bookmarkEnd w:id="718"/>
    </w:p>
    <w:p w14:paraId="01AD5639">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9.4.1</w:t>
      </w:r>
      <w:r>
        <w:rPr>
          <w:rFonts w:hint="eastAsia" w:eastAsia="仿宋_GB2312"/>
          <w:color w:val="auto"/>
          <w:sz w:val="24"/>
          <w:szCs w:val="24"/>
          <w:highlight w:val="none"/>
        </w:rPr>
        <w:t>承包人应按国家规范、合同约定或监理人指示进行现场工艺试验。对大型的现场工艺试验，监理人认为必要时，承包人应根据监理人提出的工艺试验要求，编制工艺试验措施计划，报送监理人审查。</w:t>
      </w:r>
    </w:p>
    <w:p w14:paraId="4551F7E3">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9.4.</w:t>
      </w:r>
      <w:r>
        <w:rPr>
          <w:rFonts w:hint="eastAsia" w:eastAsia="仿宋_GB2312"/>
          <w:color w:val="auto"/>
          <w:sz w:val="24"/>
          <w:szCs w:val="24"/>
          <w:highlight w:val="none"/>
        </w:rPr>
        <w:t>2实施工程的一切材料、设备，都必须符合工程设计及技术标准、规范的要求，并应当在用于工程之前经过检验或试验，不合格的不得使用。承包人要建立检验、试验制度，并应提供一切正常需要的手段，在材料、设备用于工程之前提供样品、样件，按照监理工程师的选择和要求进行检验或试验。</w:t>
      </w:r>
    </w:p>
    <w:p w14:paraId="0F0E6102">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9.4.</w:t>
      </w:r>
      <w:r>
        <w:rPr>
          <w:rFonts w:hint="eastAsia" w:eastAsia="仿宋_GB2312"/>
          <w:color w:val="auto"/>
          <w:sz w:val="24"/>
          <w:szCs w:val="24"/>
          <w:highlight w:val="none"/>
        </w:rPr>
        <w:t>3在施工过程中，监理工程师有权随时对工程材料、设备的使用进行抽查，包括成品、半成品、器具、设备、附件、小五金等。抽查范围、比例、数量、批次及检查深度可比照国家现行施工质量验收规范和相关规定有所提高。</w:t>
      </w:r>
    </w:p>
    <w:p w14:paraId="306A03F0">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工程材料、设备的质量依据下列顺序之标准认定：</w:t>
      </w:r>
    </w:p>
    <w:p w14:paraId="66A39510">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1.招投标时确定的规格、技术指标、质量标准、品牌等；</w:t>
      </w:r>
    </w:p>
    <w:p w14:paraId="76AAFCBB">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2.本工程设计图纸规定的设计标准；</w:t>
      </w:r>
    </w:p>
    <w:p w14:paraId="0C253D49">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3.经设计单位、监理单位、承包人、发包人共同认定的产品封样、样板；</w:t>
      </w:r>
    </w:p>
    <w:p w14:paraId="5AF53F3E">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4.国家或行业强制执行的或双方约定适用的推荐技术标准、技术规范。</w:t>
      </w:r>
    </w:p>
    <w:p w14:paraId="7B14FC1C">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工程材料、设备的抽查、检验结果与前款约定不符的，监理工程师有权扩大对该批材料的抽查范围、增加数量抽检。承包人必须在发包人或监理工程师书面通知的限期内全部无条件拆除、更换，并运出施工现场；由此所造成的工期延误、费用增加等一切损失均由承包人承担。同时，承包人还应当按照16.2.2条承担违约责任。</w:t>
      </w:r>
    </w:p>
    <w:p w14:paraId="497EF438">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9.4.</w:t>
      </w:r>
      <w:r>
        <w:rPr>
          <w:rFonts w:hint="eastAsia" w:eastAsia="仿宋_GB2312"/>
          <w:color w:val="auto"/>
          <w:sz w:val="24"/>
          <w:szCs w:val="24"/>
          <w:highlight w:val="none"/>
        </w:rPr>
        <w:t>4发包人有权派人对承包人材料、设备采购、保管、领用等进行监控，并有权委托国家质量检查机构或其他法定检验机构对工程材料、设备的生产、制造、安装、储运全过程进行第三方检查、检验，承包人必须接受并提供便利条件。</w:t>
      </w:r>
    </w:p>
    <w:p w14:paraId="523A0060">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9.4.</w:t>
      </w:r>
      <w:r>
        <w:rPr>
          <w:rFonts w:hint="eastAsia" w:eastAsia="仿宋_GB2312"/>
          <w:color w:val="auto"/>
          <w:sz w:val="24"/>
          <w:szCs w:val="24"/>
          <w:highlight w:val="none"/>
        </w:rPr>
        <w:t>5承包人承诺：无论监理工程师或（和）发包人对材料、设备是否进行并通过了各项检验，均不免除承包人对其承包的工程的质量所负责任，除非质量问题是由于非承包人责任原因引起，而此类质量问题承包人须及时通知监理工程师。在采用承包人设计的施工图施工和由承包人自行采购的材料、设备时，设计和制造所引起的质量责任由承包人承担。</w:t>
      </w:r>
    </w:p>
    <w:p w14:paraId="7DECC19C">
      <w:pPr>
        <w:pStyle w:val="6"/>
        <w:spacing w:before="120" w:after="120" w:line="360" w:lineRule="auto"/>
        <w:rPr>
          <w:rFonts w:ascii="Times New Roman" w:hAnsi="Times New Roman" w:eastAsia="黑体"/>
          <w:b w:val="0"/>
          <w:color w:val="auto"/>
          <w:sz w:val="24"/>
          <w:szCs w:val="24"/>
          <w:highlight w:val="none"/>
        </w:rPr>
      </w:pPr>
      <w:bookmarkStart w:id="719" w:name="_Toc32835784"/>
      <w:r>
        <w:rPr>
          <w:rFonts w:ascii="Times New Roman" w:hAnsi="Times New Roman" w:eastAsia="黑体"/>
          <w:b w:val="0"/>
          <w:color w:val="auto"/>
          <w:sz w:val="24"/>
          <w:szCs w:val="24"/>
          <w:highlight w:val="none"/>
        </w:rPr>
        <w:t>1</w:t>
      </w:r>
      <w:bookmarkEnd w:id="706"/>
      <w:bookmarkEnd w:id="707"/>
      <w:bookmarkEnd w:id="708"/>
      <w:bookmarkEnd w:id="709"/>
      <w:bookmarkEnd w:id="710"/>
      <w:bookmarkEnd w:id="711"/>
      <w:bookmarkEnd w:id="712"/>
      <w:bookmarkEnd w:id="713"/>
      <w:bookmarkEnd w:id="714"/>
      <w:bookmarkEnd w:id="715"/>
      <w:bookmarkEnd w:id="716"/>
      <w:bookmarkEnd w:id="717"/>
      <w:bookmarkStart w:id="720" w:name="_Toc296346694"/>
      <w:bookmarkStart w:id="721" w:name="_Toc297123540"/>
      <w:bookmarkStart w:id="722" w:name="_Toc300934989"/>
      <w:bookmarkStart w:id="723" w:name="_Toc296503193"/>
      <w:bookmarkStart w:id="724" w:name="_Toc296944532"/>
      <w:bookmarkStart w:id="725" w:name="_Toc297120493"/>
      <w:bookmarkStart w:id="726" w:name="_Toc303539146"/>
      <w:bookmarkStart w:id="727" w:name="_Toc296347192"/>
      <w:bookmarkStart w:id="728" w:name="_Toc304295566"/>
      <w:bookmarkStart w:id="729" w:name="_Toc296891233"/>
      <w:bookmarkStart w:id="730" w:name="_Toc297216199"/>
      <w:bookmarkStart w:id="731" w:name="_Toc296891021"/>
      <w:bookmarkStart w:id="732" w:name="_Toc292559903"/>
      <w:bookmarkStart w:id="733" w:name="_Toc292559398"/>
      <w:bookmarkStart w:id="734" w:name="_Toc297048379"/>
      <w:bookmarkStart w:id="735" w:name="_Toc312677499"/>
      <w:bookmarkStart w:id="736" w:name="_Toc312678025"/>
      <w:bookmarkStart w:id="737" w:name="_Toc267251435"/>
      <w:bookmarkStart w:id="738" w:name="_Toc267251433"/>
      <w:bookmarkStart w:id="739" w:name="_Toc267251440"/>
      <w:bookmarkStart w:id="740" w:name="_Toc267251437"/>
      <w:bookmarkStart w:id="741" w:name="_Toc267251439"/>
      <w:bookmarkStart w:id="742" w:name="_Toc267251441"/>
      <w:bookmarkStart w:id="743" w:name="_Toc267251442"/>
      <w:r>
        <w:rPr>
          <w:rFonts w:ascii="Times New Roman" w:hAnsi="Times New Roman" w:eastAsia="黑体"/>
          <w:b w:val="0"/>
          <w:color w:val="auto"/>
          <w:sz w:val="24"/>
          <w:szCs w:val="24"/>
          <w:highlight w:val="none"/>
        </w:rPr>
        <w:t>0. 变更</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bookmarkEnd w:id="735"/>
    <w:bookmarkEnd w:id="736"/>
    <w:p w14:paraId="650DF88B">
      <w:pPr>
        <w:autoSpaceDE w:val="0"/>
        <w:autoSpaceDN w:val="0"/>
        <w:adjustRightInd w:val="0"/>
        <w:spacing w:line="360" w:lineRule="auto"/>
        <w:ind w:firstLine="482" w:firstLineChars="200"/>
        <w:jc w:val="left"/>
        <w:rPr>
          <w:rFonts w:hint="eastAsia" w:eastAsia="仿宋_GB2312"/>
          <w:b/>
          <w:bCs/>
          <w:color w:val="auto"/>
          <w:sz w:val="24"/>
          <w:szCs w:val="24"/>
          <w:highlight w:val="none"/>
        </w:rPr>
      </w:pPr>
      <w:bookmarkStart w:id="744" w:name="_Toc312678026"/>
      <w:bookmarkStart w:id="745" w:name="_Toc304295567"/>
      <w:bookmarkStart w:id="746" w:name="_Toc297123541"/>
      <w:bookmarkStart w:id="747" w:name="_Toc296891234"/>
      <w:bookmarkStart w:id="748" w:name="_Toc297048380"/>
      <w:bookmarkStart w:id="749" w:name="_Toc292559399"/>
      <w:bookmarkStart w:id="750" w:name="_Toc296944533"/>
      <w:bookmarkStart w:id="751" w:name="_Toc300934990"/>
      <w:bookmarkStart w:id="752" w:name="_Toc296891022"/>
      <w:bookmarkStart w:id="753" w:name="_Toc303539147"/>
      <w:bookmarkStart w:id="754" w:name="_Toc296347193"/>
      <w:bookmarkStart w:id="755" w:name="_Toc296346695"/>
      <w:bookmarkStart w:id="756" w:name="_Toc312677500"/>
      <w:bookmarkStart w:id="757" w:name="_Toc297120494"/>
      <w:bookmarkStart w:id="758" w:name="_Toc297216200"/>
      <w:bookmarkStart w:id="759" w:name="_Toc292559904"/>
      <w:bookmarkStart w:id="760" w:name="_Toc296503194"/>
      <w:r>
        <w:rPr>
          <w:rFonts w:hint="eastAsia" w:eastAsia="仿宋_GB2312"/>
          <w:b/>
          <w:bCs/>
          <w:color w:val="auto"/>
          <w:sz w:val="24"/>
          <w:szCs w:val="24"/>
          <w:highlight w:val="none"/>
        </w:rPr>
        <w:t>通用条款10</w:t>
      </w:r>
      <w:r>
        <w:rPr>
          <w:rFonts w:eastAsia="仿宋_GB2312"/>
          <w:b/>
          <w:bCs/>
          <w:color w:val="auto"/>
          <w:sz w:val="24"/>
          <w:szCs w:val="24"/>
          <w:highlight w:val="none"/>
        </w:rPr>
        <w:t>.</w:t>
      </w:r>
      <w:r>
        <w:rPr>
          <w:rFonts w:hint="eastAsia" w:eastAsia="仿宋_GB2312"/>
          <w:b/>
          <w:bCs/>
          <w:color w:val="auto"/>
          <w:sz w:val="24"/>
          <w:szCs w:val="24"/>
          <w:highlight w:val="none"/>
        </w:rPr>
        <w:t>1~10.2条不适用，替换为：</w:t>
      </w:r>
    </w:p>
    <w:p w14:paraId="6A78374C">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10.1变更的范围</w:t>
      </w:r>
    </w:p>
    <w:p w14:paraId="18EF8869">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合同履行期间，发包人可对合同工程或其任何部分的形式、质量或数量作出变更</w:t>
      </w:r>
      <w:r>
        <w:rPr>
          <w:rFonts w:hint="eastAsia" w:eastAsia="仿宋_GB2312"/>
          <w:color w:val="auto"/>
          <w:sz w:val="24"/>
          <w:szCs w:val="24"/>
          <w:highlight w:val="none"/>
        </w:rPr>
        <w:t>。为此，监理工程师应以书面形式向承包人发出变更指令，提供变更的相应图纸及其说明等资料。承包人应按照监理工程师发出的变更指令和要求，及时进行工程变更。</w:t>
      </w:r>
      <w:r>
        <w:rPr>
          <w:rFonts w:eastAsia="仿宋_GB2312"/>
          <w:color w:val="auto"/>
          <w:sz w:val="24"/>
          <w:szCs w:val="24"/>
          <w:highlight w:val="none"/>
        </w:rPr>
        <w:t>变更项目包括但不限于：</w:t>
      </w:r>
    </w:p>
    <w:p w14:paraId="71EE8F9C">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 本合同任何工程数量的改变（</w:t>
      </w:r>
      <w:r>
        <w:rPr>
          <w:rFonts w:hint="eastAsia" w:eastAsia="仿宋_GB2312"/>
          <w:color w:val="auto"/>
          <w:sz w:val="24"/>
          <w:szCs w:val="24"/>
          <w:highlight w:val="none"/>
        </w:rPr>
        <w:t>不含工程量偏差事</w:t>
      </w:r>
      <w:r>
        <w:rPr>
          <w:rFonts w:eastAsia="仿宋_GB2312"/>
          <w:color w:val="auto"/>
          <w:sz w:val="24"/>
          <w:szCs w:val="24"/>
          <w:highlight w:val="none"/>
        </w:rPr>
        <w:t>件）；</w:t>
      </w:r>
    </w:p>
    <w:p w14:paraId="3BAF4CD4">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(2) 本合同任何工作的增加</w:t>
      </w:r>
      <w:r>
        <w:rPr>
          <w:rFonts w:hint="eastAsia" w:eastAsia="仿宋_GB2312"/>
          <w:color w:val="auto"/>
          <w:sz w:val="24"/>
          <w:szCs w:val="24"/>
          <w:highlight w:val="none"/>
        </w:rPr>
        <w:t>或</w:t>
      </w:r>
      <w:r>
        <w:rPr>
          <w:rFonts w:eastAsia="仿宋_GB2312"/>
          <w:color w:val="auto"/>
          <w:sz w:val="24"/>
          <w:szCs w:val="24"/>
          <w:highlight w:val="none"/>
        </w:rPr>
        <w:t>删减；</w:t>
      </w:r>
    </w:p>
    <w:p w14:paraId="385BCF7F">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(3) 本合同任何工作内容的性质、质量或其他特征的改变；</w:t>
      </w:r>
    </w:p>
    <w:p w14:paraId="35D6E5E3">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(4) 本合同工程任何部分的标高、基线、位置和(或)尺寸的改变；</w:t>
      </w:r>
    </w:p>
    <w:p w14:paraId="32F4CB39">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(5) 本合同永久工程完工所必须的任何附加工作的实施；</w:t>
      </w:r>
    </w:p>
    <w:p w14:paraId="499F166F">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(6) 本合同工程的施工次序和时间安排的改变；</w:t>
      </w:r>
    </w:p>
    <w:p w14:paraId="1C1ACF63">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(7) 本合同发包范围内的施工图纸修改引起的项目调整。</w:t>
      </w:r>
    </w:p>
    <w:p w14:paraId="5F428EAC">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此外，合同说明由承包人负责的需要深化设计的工程，按经批准的深化设计成果及施工为承包人负责，不视为工程变更。深化</w:t>
      </w:r>
      <w:r>
        <w:rPr>
          <w:rFonts w:hint="eastAsia" w:eastAsia="仿宋_GB2312"/>
          <w:color w:val="auto"/>
          <w:sz w:val="24"/>
          <w:szCs w:val="24"/>
          <w:highlight w:val="none"/>
        </w:rPr>
        <w:t>设计</w:t>
      </w:r>
      <w:r>
        <w:rPr>
          <w:rFonts w:eastAsia="仿宋_GB2312"/>
          <w:color w:val="auto"/>
          <w:sz w:val="24"/>
          <w:szCs w:val="24"/>
          <w:highlight w:val="none"/>
        </w:rPr>
        <w:t>工程量的计算合同另有约定的从其约定。</w:t>
      </w:r>
    </w:p>
    <w:p w14:paraId="6106A079">
      <w:pPr>
        <w:autoSpaceDE w:val="0"/>
        <w:autoSpaceDN w:val="0"/>
        <w:adjustRightInd w:val="0"/>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发包人、监理人及设计人均可以提出变更。变更指令均须经发包人签认后由监理人发出。承包人收到变更指令后，方可实施变更。未经许可，承包人不得擅自对工程的任何部分进行变更。</w:t>
      </w:r>
    </w:p>
    <w:p w14:paraId="7692FABA">
      <w:pPr>
        <w:autoSpaceDE w:val="0"/>
        <w:autoSpaceDN w:val="0"/>
        <w:adjustRightInd w:val="0"/>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涉及设计变更的，应由发包人提供设计变更通知单。如变更超过原设计标准或批准的建设规模时，发包人应及时办理规划、设计变更等审批手续。</w:t>
      </w:r>
    </w:p>
    <w:p w14:paraId="22918A30">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监理人、设计人提出的变更，须经发包人确认后方有效。</w:t>
      </w:r>
    </w:p>
    <w:p w14:paraId="2A03C187">
      <w:pPr>
        <w:autoSpaceDE w:val="0"/>
        <w:autoSpaceDN w:val="0"/>
        <w:adjustRightInd w:val="0"/>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增加10.3.4~10.3.5条款，具体如下：</w:t>
      </w:r>
    </w:p>
    <w:p w14:paraId="3F8CB97F">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10.3.4有关变更审批的管理，按发包人变更管理规定和合同约定执行。</w:t>
      </w:r>
    </w:p>
    <w:p w14:paraId="46323CD5">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10.3.5工程变更导致合同价款和工期的调整：</w:t>
      </w:r>
    </w:p>
    <w:p w14:paraId="6B52A549">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工程变更不应使合同作废或无效。工程变更导致合同价款的增减，按第10.4条规定确定，工期调整按第7.5条规定执行。但是，如果变更是由于下列原因导致或引起的，则承包人无权要求任何额外或附加的费用，工期不予顺延：</w:t>
      </w:r>
    </w:p>
    <w:p w14:paraId="70E941B2">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（1）为了便于组织施工需采取的技术措施的变更或临时工程的变更；</w:t>
      </w:r>
    </w:p>
    <w:p w14:paraId="46B48BAA">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（2）为了施工安全、避免干扰等原因需采取的技术措施的变更或临时工程的变更；</w:t>
      </w:r>
    </w:p>
    <w:p w14:paraId="3565DEB1">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（3）由承包人提供设计图纸（包括深化设计等）导致的工程量增加等；</w:t>
      </w:r>
    </w:p>
    <w:p w14:paraId="0351B70C">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（4）因承包人的违约、过错或承包人负责的其他情况导致的变更。</w:t>
      </w:r>
    </w:p>
    <w:p w14:paraId="38AAB545">
      <w:pPr>
        <w:spacing w:after="120" w:line="360" w:lineRule="auto"/>
        <w:ind w:firstLine="480" w:firstLineChars="200"/>
        <w:outlineLvl w:val="0"/>
        <w:rPr>
          <w:rFonts w:eastAsia="黑体"/>
          <w:color w:val="auto"/>
          <w:sz w:val="24"/>
          <w:szCs w:val="24"/>
          <w:highlight w:val="none"/>
        </w:rPr>
      </w:pPr>
      <w:bookmarkStart w:id="761" w:name="_Toc32835785"/>
      <w:r>
        <w:rPr>
          <w:rFonts w:eastAsia="黑体"/>
          <w:color w:val="auto"/>
          <w:sz w:val="24"/>
          <w:szCs w:val="24"/>
          <w:highlight w:val="none"/>
        </w:rPr>
        <w:t>10.4 变更估价</w:t>
      </w:r>
      <w:bookmarkEnd w:id="761"/>
    </w:p>
    <w:p w14:paraId="470D5D20">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10.4.1 变更估价原则</w:t>
      </w:r>
    </w:p>
    <w:p w14:paraId="33C56F1C">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 xml:space="preserve">关于变更估价的约定: </w:t>
      </w:r>
    </w:p>
    <w:p w14:paraId="5A73B293">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（1）承包人投标文件工程量清单单价已有适用于变更工程的单价或总价，按合同已有的价格执行（若相同项目不止一个且有不同单价的，按最低单价的相同项目价格）；</w:t>
      </w:r>
    </w:p>
    <w:p w14:paraId="2B3BC2AB">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承包人投标文件工程量清单单价中只有类似于变更工程的单价或总价，可以参照类似价格；只是主要材料发生变更时，只调整该项主要材料价差及相应税金，其它单价组成部分均不予调整（若类似项目不止一个的，按最低单价的类似项目价格）；</w:t>
      </w:r>
    </w:p>
    <w:p w14:paraId="4DA8050B">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上述（1）、（2）款约定涉及不平衡报价按专用合同条款1.14条规定执行。</w:t>
      </w:r>
    </w:p>
    <w:p w14:paraId="34C80F0F">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3）承包人投标文件工程量清单报价中没有相同或类似项目的，有定额可套用的项目，则按标准综合单价执行；没有定额可套用的项目，参照标准综合单价的计算方法，由承包人提供详细的单价分析，经发包人审核后执行。</w:t>
      </w:r>
    </w:p>
    <w:p w14:paraId="3F1A620D">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（4）标准综合单价：按本项目基准期适用的定额标准及有关规定计算的基数乘以中标浮动率得出的综合单价，其中：中标浮动率 =中标价÷招标控制价×100%，且中标浮动率</w:t>
      </w:r>
      <w:r>
        <w:rPr>
          <w:rFonts w:hint="eastAsia" w:ascii="Arial" w:hAnsi="Arial" w:eastAsia="仿宋_GB2312" w:cs="Arial"/>
          <w:color w:val="auto"/>
          <w:sz w:val="24"/>
          <w:szCs w:val="24"/>
          <w:highlight w:val="none"/>
        </w:rPr>
        <w:t>不少于</w:t>
      </w:r>
      <w:r>
        <w:rPr>
          <w:rFonts w:hint="eastAsia" w:eastAsia="仿宋_GB2312"/>
          <w:color w:val="auto"/>
          <w:sz w:val="24"/>
          <w:szCs w:val="24"/>
          <w:highlight w:val="none"/>
        </w:rPr>
        <w:t>10%，定额标准及有关规定相关利润和取费有上下限的，取中间值计算，人工、材料、机械价格按本条第（5）款执行。</w:t>
      </w:r>
    </w:p>
    <w:p w14:paraId="1D72DAFC">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（5）材料、人工、机械单价确定原则：</w:t>
      </w:r>
    </w:p>
    <w:p w14:paraId="4CE036A1">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①承包人投标报价中存在的材料且其单价不高于当地市县建设工程造价管理部门颁布的上述基准期信息价，按投标报价中的材料单价；</w:t>
      </w:r>
    </w:p>
    <w:p w14:paraId="4CEF1B0E">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②承包人投标报价中存在的材料但其单价高于上述基准期材料信息价，或投标报价中不存在的材料，按上述基准期材料信息价税前综合价格；</w:t>
      </w:r>
    </w:p>
    <w:p w14:paraId="2EDF7091">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③上述基准期材料信息价中没有的材料，参考上述基准期邻近地区信息价，并按照施工当时的市场行情调整，报发包人审定；</w:t>
      </w:r>
    </w:p>
    <w:p w14:paraId="383EA96D">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④上述基准期信息价或邻近地区信息价中均没有的，由承包人在采购材料前向发包人报送三家以上符合设计要求的产品资料和报价，发包人择优审定材料品牌及单价后方可进行该类材料订购。对于未经发包人同意承包人擅自采购的材料，经监理工程师确认质量合格后方可用于本工程，但材料的单价由造价工程师审核并报发包人根据市场价格自主定价，承包人不得提出异议。</w:t>
      </w:r>
    </w:p>
    <w:p w14:paraId="19BD5541">
      <w:pPr>
        <w:autoSpaceDE w:val="0"/>
        <w:autoSpaceDN w:val="0"/>
        <w:adjustRightInd w:val="0"/>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⑤承包人投标报价中存在的人工费计价方法计算的人工费、机械台班价格，但其价格不高于当地市县建设工程造价管理部门颁布的建设工程结算文件（即上述基准期建设工程价格信息及有关计价办法的通知）规定的人工费计价方法计算的人工费、机械台班价格（简称人工机械结算文件价格，下同）的，按投标报价中的人工费计价方法、机械单价；</w:t>
      </w:r>
    </w:p>
    <w:p w14:paraId="0554F722">
      <w:pPr>
        <w:autoSpaceDE w:val="0"/>
        <w:autoSpaceDN w:val="0"/>
        <w:adjustRightInd w:val="0"/>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⑥承包人投标报价中存在的人工费计价方法计算的人工费、机械台班价格，但其价格高于上述基准期人工机械结算文件价格规定的人工计价方法计算得出的人工费人工费计价方法计算的人工费、机械台班价格，或投标报价中不存在的人工费计价方法计算的人工费、机械台班价格，按上述基准期结算文件规定的人工费计价方法、机械台班价格；</w:t>
      </w:r>
    </w:p>
    <w:p w14:paraId="5C691EFE">
      <w:pPr>
        <w:autoSpaceDE w:val="0"/>
        <w:autoSpaceDN w:val="0"/>
        <w:adjustRightInd w:val="0"/>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⑦承包人投标报价中同一材料价格、人工费计价方法、机械台班价格有多个或价格不一致的，取最有利于发包人的报价。</w:t>
      </w:r>
    </w:p>
    <w:p w14:paraId="77374BFE">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（6）如发包人与承包人就变更材料价格无法协商一致的，发包人有权改为甲供材料，由发包人自行采购。</w:t>
      </w:r>
    </w:p>
    <w:p w14:paraId="7650ED6B">
      <w:pPr>
        <w:autoSpaceDE w:val="0"/>
        <w:autoSpaceDN w:val="0"/>
        <w:adjustRightInd w:val="0"/>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通用条款</w:t>
      </w:r>
      <w:r>
        <w:rPr>
          <w:rFonts w:eastAsia="仿宋_GB2312"/>
          <w:b/>
          <w:bCs/>
          <w:color w:val="auto"/>
          <w:sz w:val="24"/>
          <w:szCs w:val="24"/>
          <w:highlight w:val="none"/>
        </w:rPr>
        <w:t>10.4.2</w:t>
      </w:r>
      <w:r>
        <w:rPr>
          <w:rFonts w:hint="eastAsia" w:eastAsia="仿宋_GB2312"/>
          <w:b/>
          <w:bCs/>
          <w:color w:val="auto"/>
          <w:sz w:val="24"/>
          <w:szCs w:val="24"/>
          <w:highlight w:val="none"/>
        </w:rPr>
        <w:t>不适用，替换为：</w:t>
      </w:r>
    </w:p>
    <w:p w14:paraId="7E10214E">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10.4.2变更</w:t>
      </w:r>
      <w:r>
        <w:rPr>
          <w:rFonts w:hint="eastAsia" w:eastAsia="仿宋_GB2312"/>
          <w:color w:val="auto"/>
          <w:sz w:val="24"/>
          <w:szCs w:val="24"/>
          <w:highlight w:val="none"/>
        </w:rPr>
        <w:t>估价程序</w:t>
      </w:r>
    </w:p>
    <w:p w14:paraId="1265F30D">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10.4.2.1提交工程变更价款报告及其编制、工程变更价款的核实与支付按发包人要求执行。</w:t>
      </w:r>
    </w:p>
    <w:p w14:paraId="3430313C">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10.4.2.2无论如何，承包人都应积极全力推进工程，不得以变更价格未最终确定为由，不执行现场工作指令，因此导致工期延期的，须按专用条款7.5.2条承担违约责任。给发包人造成经济损失的，须赔偿发包人直接和间接的经济损失。</w:t>
      </w:r>
    </w:p>
    <w:p w14:paraId="30999675">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10.4.</w:t>
      </w:r>
      <w:r>
        <w:rPr>
          <w:rFonts w:hint="eastAsia" w:eastAsia="仿宋_GB2312"/>
          <w:color w:val="auto"/>
          <w:sz w:val="24"/>
          <w:szCs w:val="24"/>
          <w:highlight w:val="none"/>
        </w:rPr>
        <w:t>2.</w:t>
      </w:r>
      <w:r>
        <w:rPr>
          <w:rFonts w:eastAsia="仿宋_GB2312"/>
          <w:color w:val="auto"/>
          <w:sz w:val="24"/>
          <w:szCs w:val="24"/>
          <w:highlight w:val="none"/>
        </w:rPr>
        <w:t>3 承包人应在完成工程变更（设计变更及现场签证）后</w:t>
      </w:r>
      <w:r>
        <w:rPr>
          <w:rFonts w:hint="eastAsia" w:eastAsia="仿宋_GB2312"/>
          <w:color w:val="auto"/>
          <w:sz w:val="24"/>
          <w:szCs w:val="24"/>
          <w:highlight w:val="none"/>
        </w:rPr>
        <w:t>7个工作日</w:t>
      </w:r>
      <w:r>
        <w:rPr>
          <w:rFonts w:eastAsia="仿宋_GB2312"/>
          <w:color w:val="auto"/>
          <w:sz w:val="24"/>
          <w:szCs w:val="24"/>
          <w:highlight w:val="none"/>
        </w:rPr>
        <w:t>内提出工程变更价款申请，报监理单位、造价咨询单位和发包人审核并确定工程变更价款；如承包人未按规定时间提出工程变更价款申请且涉及费用增加的，发包人有权视为承包人放弃该项增加费用，在工程结算时不予以计算；如承包人未按规定时间提出工程变更价款申请且涉及费用减少的，发包人有权自行计算该项费用，在工程进度款和结算款予以直接扣减，每发生一次承包人须承担一般违约责任一次。</w:t>
      </w:r>
    </w:p>
    <w:p w14:paraId="6A1C253F">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10.4.2.4</w:t>
      </w:r>
    </w:p>
    <w:p w14:paraId="2BCBD369">
      <w:pPr>
        <w:numPr>
          <w:ilvl w:val="0"/>
          <w:numId w:val="7"/>
        </w:num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当工程变更、现场签证、工程量偏差和合同约定的人材机价差调整等因素，导致的工程造价变化，经发包人或发包人委托的造价咨询单位审核，累计增加金额不超过中标合同价10%时, 增加的工程款在竣工结算审定后支付。</w:t>
      </w:r>
    </w:p>
    <w:p w14:paraId="6EB545A2">
      <w:pPr>
        <w:numPr>
          <w:ilvl w:val="0"/>
          <w:numId w:val="7"/>
        </w:numPr>
        <w:autoSpaceDE w:val="0"/>
        <w:autoSpaceDN w:val="0"/>
        <w:adjustRightInd w:val="0"/>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当工程变更、现场签证、工程量偏差和合同约定的人材机价差调整等因素，导致的工程造价变化，经发包人或发包人委托的造价咨询单位审核，累计增加金额超过中标合同价10%时,双方应签订相关补充协议，调整合同价款，补充协议所增加的工程价款按已完成工作量的80%与工程进度款同步计量支付。</w:t>
      </w:r>
    </w:p>
    <w:p w14:paraId="5A29B6AD">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Start w:id="762" w:name="_Toc300934993"/>
      <w:bookmarkStart w:id="763" w:name="_Toc297120497"/>
      <w:bookmarkStart w:id="764" w:name="_Toc296891025"/>
      <w:bookmarkStart w:id="765" w:name="_Toc296891237"/>
      <w:bookmarkStart w:id="766" w:name="_Toc296347196"/>
      <w:bookmarkStart w:id="767" w:name="_Toc292559907"/>
      <w:bookmarkStart w:id="768" w:name="_Toc296944536"/>
      <w:bookmarkStart w:id="769" w:name="_Toc297216203"/>
      <w:bookmarkStart w:id="770" w:name="_Toc292559402"/>
      <w:bookmarkStart w:id="771" w:name="_Toc296346698"/>
      <w:bookmarkStart w:id="772" w:name="_Toc296503197"/>
      <w:bookmarkStart w:id="773" w:name="_Toc297048383"/>
      <w:bookmarkStart w:id="774" w:name="_Toc297123544"/>
      <w:bookmarkStart w:id="775" w:name="_Toc303539150"/>
      <w:bookmarkStart w:id="776" w:name="_Toc312678029"/>
      <w:bookmarkStart w:id="777" w:name="_Toc312677503"/>
      <w:bookmarkStart w:id="778" w:name="_Toc304295570"/>
      <w:r>
        <w:rPr>
          <w:rFonts w:eastAsia="仿宋_GB2312"/>
          <w:color w:val="auto"/>
          <w:sz w:val="24"/>
          <w:szCs w:val="24"/>
          <w:highlight w:val="none"/>
        </w:rPr>
        <w:t>0.5承</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Start w:id="779" w:name="_Toc300934994"/>
      <w:bookmarkStart w:id="780" w:name="_Toc296891243"/>
      <w:bookmarkStart w:id="781" w:name="_Toc296891031"/>
      <w:bookmarkStart w:id="782" w:name="_Toc297048389"/>
      <w:bookmarkStart w:id="783" w:name="_Toc297123545"/>
      <w:bookmarkStart w:id="784" w:name="_Toc292559913"/>
      <w:bookmarkStart w:id="785" w:name="_Toc296944542"/>
      <w:bookmarkStart w:id="786" w:name="_Toc297216204"/>
      <w:bookmarkStart w:id="787" w:name="_Toc292559408"/>
      <w:bookmarkStart w:id="788" w:name="_Toc296347202"/>
      <w:bookmarkStart w:id="789" w:name="_Toc296346704"/>
      <w:bookmarkStart w:id="790" w:name="_Toc303539151"/>
      <w:bookmarkStart w:id="791" w:name="_Toc296503203"/>
      <w:bookmarkStart w:id="792" w:name="_Toc297120503"/>
      <w:r>
        <w:rPr>
          <w:rFonts w:eastAsia="仿宋_GB2312"/>
          <w:color w:val="auto"/>
          <w:sz w:val="24"/>
          <w:szCs w:val="24"/>
          <w:highlight w:val="none"/>
        </w:rPr>
        <w:t>包人的合理化建议</w:t>
      </w:r>
    </w:p>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4109712C">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承</w:t>
      </w:r>
      <w:bookmarkStart w:id="793" w:name="_Toc312677504"/>
      <w:bookmarkStart w:id="794" w:name="_Toc297216205"/>
      <w:bookmarkStart w:id="795" w:name="_Toc297123546"/>
      <w:bookmarkStart w:id="796" w:name="_Toc300934995"/>
      <w:bookmarkStart w:id="797" w:name="_Toc297048390"/>
      <w:bookmarkStart w:id="798" w:name="_Toc292559914"/>
      <w:bookmarkStart w:id="799" w:name="_Toc297120504"/>
      <w:bookmarkStart w:id="800" w:name="_Toc296503204"/>
      <w:bookmarkStart w:id="801" w:name="_Toc292559409"/>
      <w:bookmarkStart w:id="802" w:name="_Toc296891244"/>
      <w:bookmarkStart w:id="803" w:name="_Toc296347203"/>
      <w:bookmarkStart w:id="804" w:name="_Toc303539152"/>
      <w:bookmarkStart w:id="805" w:name="_Toc318581175"/>
      <w:bookmarkStart w:id="806" w:name="_Toc296346705"/>
      <w:bookmarkStart w:id="807" w:name="_Toc312678030"/>
      <w:bookmarkStart w:id="808" w:name="_Toc296891032"/>
      <w:bookmarkStart w:id="809" w:name="_Toc296944543"/>
      <w:bookmarkStart w:id="810" w:name="_Toc304295571"/>
      <w:r>
        <w:rPr>
          <w:rFonts w:eastAsia="仿宋_GB2312"/>
          <w:color w:val="auto"/>
          <w:sz w:val="24"/>
          <w:szCs w:val="24"/>
          <w:highlight w:val="none"/>
        </w:rPr>
        <w:t>包人提出的合理化建议降低了合同价格或者提高了工程经济效益的奖励的方法和金额为：</w:t>
      </w:r>
      <w:r>
        <w:rPr>
          <w:rFonts w:hint="eastAsia" w:eastAsia="仿宋_GB2312"/>
          <w:color w:val="auto"/>
          <w:sz w:val="24"/>
          <w:szCs w:val="24"/>
          <w:highlight w:val="none"/>
        </w:rPr>
        <w:t>发包人可视程度大小考虑给予承包人一定比例的奖励，双方另行协商。</w:t>
      </w:r>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14:paraId="2DBB3DE7">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10.</w:t>
      </w:r>
      <w:r>
        <w:rPr>
          <w:rFonts w:hint="eastAsia" w:eastAsia="仿宋_GB2312"/>
          <w:color w:val="auto"/>
          <w:sz w:val="24"/>
          <w:szCs w:val="24"/>
          <w:highlight w:val="none"/>
        </w:rPr>
        <w:t>6不适用，替换为：</w:t>
      </w:r>
    </w:p>
    <w:p w14:paraId="5500A413">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 xml:space="preserve">10.6变更引起的工期调整 </w:t>
      </w:r>
    </w:p>
    <w:p w14:paraId="6809A669">
      <w:pPr>
        <w:autoSpaceDE w:val="0"/>
        <w:autoSpaceDN w:val="0"/>
        <w:adjustRightInd w:val="0"/>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因变更引起工期变化的，按专用条款7.5.1条执行。</w:t>
      </w:r>
    </w:p>
    <w:p w14:paraId="181EB372">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10.</w:t>
      </w:r>
      <w:r>
        <w:rPr>
          <w:rFonts w:hint="eastAsia" w:eastAsia="仿宋_GB2312"/>
          <w:color w:val="auto"/>
          <w:sz w:val="24"/>
          <w:szCs w:val="24"/>
          <w:highlight w:val="none"/>
        </w:rPr>
        <w:t>7不适用，替换为：</w:t>
      </w:r>
    </w:p>
    <w:p w14:paraId="73E0E77A">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w:t>
      </w:r>
      <w:bookmarkStart w:id="811" w:name="_Toc296891027"/>
      <w:bookmarkStart w:id="812" w:name="_Toc304295574"/>
      <w:bookmarkStart w:id="813" w:name="_Toc296503199"/>
      <w:bookmarkStart w:id="814" w:name="_Toc297048385"/>
      <w:bookmarkStart w:id="815" w:name="_Toc296347198"/>
      <w:bookmarkStart w:id="816" w:name="_Toc292559909"/>
      <w:bookmarkStart w:id="817" w:name="_Toc296944538"/>
      <w:bookmarkStart w:id="818" w:name="_Toc297123548"/>
      <w:bookmarkStart w:id="819" w:name="_Toc292559404"/>
      <w:bookmarkStart w:id="820" w:name="_Toc297120499"/>
      <w:bookmarkStart w:id="821" w:name="_Toc296891239"/>
      <w:bookmarkStart w:id="822" w:name="_Toc297216207"/>
      <w:bookmarkStart w:id="823" w:name="_Toc300934997"/>
      <w:bookmarkStart w:id="824" w:name="_Toc312678033"/>
      <w:bookmarkStart w:id="825" w:name="_Toc296346700"/>
      <w:bookmarkStart w:id="826" w:name="_Toc312677507"/>
      <w:bookmarkStart w:id="827" w:name="_Toc303539154"/>
      <w:r>
        <w:rPr>
          <w:rFonts w:eastAsia="仿宋_GB2312"/>
          <w:color w:val="auto"/>
          <w:sz w:val="24"/>
          <w:szCs w:val="24"/>
          <w:highlight w:val="none"/>
        </w:rPr>
        <w:t>0.7 暂估价</w:t>
      </w:r>
    </w:p>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14:paraId="3AA81EFA">
      <w:pPr>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10.7.1</w:t>
      </w:r>
      <w:r>
        <w:rPr>
          <w:rFonts w:eastAsia="仿宋_GB2312"/>
          <w:color w:val="auto"/>
          <w:kern w:val="0"/>
          <w:sz w:val="24"/>
          <w:szCs w:val="24"/>
          <w:highlight w:val="none"/>
        </w:rPr>
        <w:t>暂估</w:t>
      </w:r>
      <w:r>
        <w:rPr>
          <w:rFonts w:hint="eastAsia" w:eastAsia="仿宋_GB2312"/>
          <w:color w:val="auto"/>
          <w:kern w:val="0"/>
          <w:sz w:val="24"/>
          <w:szCs w:val="24"/>
          <w:highlight w:val="none"/>
        </w:rPr>
        <w:t>价专</w:t>
      </w:r>
      <w:r>
        <w:rPr>
          <w:rFonts w:eastAsia="仿宋_GB2312"/>
          <w:color w:val="auto"/>
          <w:kern w:val="0"/>
          <w:sz w:val="24"/>
          <w:szCs w:val="24"/>
          <w:highlight w:val="none"/>
        </w:rPr>
        <w:t>业工程</w:t>
      </w:r>
      <w:r>
        <w:rPr>
          <w:rFonts w:hint="eastAsia" w:eastAsia="仿宋_GB2312"/>
          <w:color w:val="auto"/>
          <w:kern w:val="0"/>
          <w:sz w:val="24"/>
          <w:szCs w:val="24"/>
          <w:highlight w:val="none"/>
        </w:rPr>
        <w:t>的</w:t>
      </w:r>
      <w:r>
        <w:rPr>
          <w:rFonts w:eastAsia="仿宋_GB2312"/>
          <w:color w:val="auto"/>
          <w:kern w:val="0"/>
          <w:sz w:val="24"/>
          <w:szCs w:val="24"/>
          <w:highlight w:val="none"/>
        </w:rPr>
        <w:t>指定分包人</w:t>
      </w:r>
      <w:r>
        <w:rPr>
          <w:rFonts w:hint="eastAsia" w:eastAsia="仿宋_GB2312"/>
          <w:color w:val="auto"/>
          <w:kern w:val="0"/>
          <w:sz w:val="24"/>
          <w:szCs w:val="24"/>
          <w:highlight w:val="none"/>
        </w:rPr>
        <w:t>，由发包人通过招标依法确定（不属于依法必须招标的由发包人决定选择指定分包人），承包人应予以配合并按发包人的要求签署合同，因此产生费用已包含在签约合同价款中，具体</w:t>
      </w:r>
      <w:r>
        <w:rPr>
          <w:rFonts w:hint="eastAsia" w:eastAsia="仿宋_GB2312"/>
          <w:bCs/>
          <w:color w:val="auto"/>
          <w:sz w:val="24"/>
          <w:szCs w:val="24"/>
          <w:highlight w:val="none"/>
        </w:rPr>
        <w:t>暂估价专业分包工程</w:t>
      </w:r>
      <w:r>
        <w:rPr>
          <w:rFonts w:hint="eastAsia" w:eastAsia="仿宋_GB2312"/>
          <w:color w:val="auto"/>
          <w:kern w:val="0"/>
          <w:sz w:val="24"/>
          <w:szCs w:val="24"/>
          <w:highlight w:val="none"/>
        </w:rPr>
        <w:t>如下：</w:t>
      </w:r>
      <w:bookmarkStart w:id="828" w:name="_Toc312677508"/>
      <w:bookmarkStart w:id="829" w:name="_Toc318581176"/>
      <w:bookmarkStart w:id="830" w:name="_Toc312678034"/>
      <w:r>
        <w:rPr>
          <w:rFonts w:hint="eastAsia" w:eastAsia="仿宋_GB2312"/>
          <w:color w:val="auto"/>
          <w:kern w:val="0"/>
          <w:sz w:val="24"/>
          <w:szCs w:val="24"/>
          <w:highlight w:val="none"/>
        </w:rPr>
        <w:t>XX工程。</w:t>
      </w:r>
    </w:p>
    <w:p w14:paraId="26CA5109">
      <w:pPr>
        <w:spacing w:line="360" w:lineRule="auto"/>
        <w:ind w:firstLine="480" w:firstLineChars="200"/>
        <w:jc w:val="left"/>
        <w:rPr>
          <w:rFonts w:hint="eastAsia" w:eastAsia="仿宋_GB2312"/>
          <w:color w:val="auto"/>
          <w:kern w:val="0"/>
          <w:sz w:val="24"/>
          <w:szCs w:val="24"/>
          <w:highlight w:val="none"/>
        </w:rPr>
      </w:pPr>
      <w:r>
        <w:rPr>
          <w:rFonts w:hint="eastAsia" w:eastAsia="仿宋_GB2312"/>
          <w:color w:val="auto"/>
          <w:kern w:val="0"/>
          <w:sz w:val="24"/>
          <w:szCs w:val="24"/>
          <w:highlight w:val="none"/>
        </w:rPr>
        <w:t>上述</w:t>
      </w:r>
      <w:r>
        <w:rPr>
          <w:rFonts w:eastAsia="仿宋_GB2312"/>
          <w:color w:val="auto"/>
          <w:kern w:val="0"/>
          <w:sz w:val="24"/>
          <w:szCs w:val="24"/>
          <w:highlight w:val="none"/>
        </w:rPr>
        <w:t>暂估</w:t>
      </w:r>
      <w:r>
        <w:rPr>
          <w:rFonts w:hint="eastAsia" w:eastAsia="仿宋_GB2312"/>
          <w:color w:val="auto"/>
          <w:kern w:val="0"/>
          <w:sz w:val="24"/>
          <w:szCs w:val="24"/>
          <w:highlight w:val="none"/>
        </w:rPr>
        <w:t>价专</w:t>
      </w:r>
      <w:r>
        <w:rPr>
          <w:rFonts w:eastAsia="仿宋_GB2312"/>
          <w:color w:val="auto"/>
          <w:kern w:val="0"/>
          <w:sz w:val="24"/>
          <w:szCs w:val="24"/>
          <w:highlight w:val="none"/>
        </w:rPr>
        <w:t>业工程</w:t>
      </w:r>
      <w:r>
        <w:rPr>
          <w:rFonts w:hint="eastAsia" w:eastAsia="仿宋_GB2312"/>
          <w:color w:val="auto"/>
          <w:kern w:val="0"/>
          <w:sz w:val="24"/>
          <w:szCs w:val="24"/>
          <w:highlight w:val="none"/>
        </w:rPr>
        <w:t>在本工程报价及签署合同时，将以暂估之价款放入其他项目清单计价表中的专业工程暂估价项目内。发包人有权根据工程实际需要对暂估价专业工程进行调整。暂估价项目的价款在结算时按有关暂估价专业工程的结算总价调整暂估价，并相应调整合同价款。</w:t>
      </w:r>
    </w:p>
    <w:p w14:paraId="42EDB6E7">
      <w:pPr>
        <w:spacing w:line="360" w:lineRule="auto"/>
        <w:ind w:firstLine="480" w:firstLineChars="200"/>
        <w:jc w:val="left"/>
        <w:rPr>
          <w:rFonts w:hint="eastAsia" w:eastAsia="仿宋_GB2312"/>
          <w:color w:val="auto"/>
          <w:kern w:val="0"/>
          <w:sz w:val="24"/>
          <w:szCs w:val="24"/>
          <w:highlight w:val="none"/>
        </w:rPr>
      </w:pPr>
      <w:r>
        <w:rPr>
          <w:rFonts w:hint="eastAsia" w:eastAsia="仿宋_GB2312"/>
          <w:color w:val="auto"/>
          <w:kern w:val="0"/>
          <w:sz w:val="24"/>
          <w:szCs w:val="24"/>
          <w:highlight w:val="none"/>
        </w:rPr>
        <w:t>承包人履行总承包管理配合服务内容所需的一切费用、税金（包括但不限于增值税及其附加税或其他任何因履行合同需由承包人承担的相关税费）、签订分包合同所涉及属于承包人需承担的所有税费（各付各税）和利润已包含于签约合同价款内。</w:t>
      </w:r>
    </w:p>
    <w:p w14:paraId="40035F28">
      <w:pPr>
        <w:spacing w:line="360" w:lineRule="auto"/>
        <w:ind w:firstLine="470" w:firstLineChars="196"/>
        <w:rPr>
          <w:rFonts w:hint="eastAsia" w:eastAsia="仿宋_GB2312"/>
          <w:color w:val="auto"/>
          <w:kern w:val="0"/>
          <w:sz w:val="24"/>
          <w:szCs w:val="24"/>
          <w:highlight w:val="none"/>
        </w:rPr>
      </w:pPr>
      <w:r>
        <w:rPr>
          <w:rFonts w:hint="eastAsia" w:eastAsia="仿宋_GB2312"/>
          <w:color w:val="auto"/>
          <w:kern w:val="0"/>
          <w:sz w:val="24"/>
          <w:szCs w:val="24"/>
          <w:highlight w:val="none"/>
        </w:rPr>
        <w:t>本合同</w:t>
      </w:r>
      <w:r>
        <w:rPr>
          <w:rFonts w:eastAsia="仿宋_GB2312"/>
          <w:color w:val="auto"/>
          <w:kern w:val="0"/>
          <w:sz w:val="24"/>
          <w:szCs w:val="24"/>
          <w:highlight w:val="none"/>
        </w:rPr>
        <w:t>暂估</w:t>
      </w:r>
      <w:r>
        <w:rPr>
          <w:rFonts w:hint="eastAsia" w:eastAsia="仿宋_GB2312"/>
          <w:color w:val="auto"/>
          <w:kern w:val="0"/>
          <w:sz w:val="24"/>
          <w:szCs w:val="24"/>
          <w:highlight w:val="none"/>
        </w:rPr>
        <w:t>价专</w:t>
      </w:r>
      <w:r>
        <w:rPr>
          <w:rFonts w:eastAsia="仿宋_GB2312"/>
          <w:color w:val="auto"/>
          <w:kern w:val="0"/>
          <w:sz w:val="24"/>
          <w:szCs w:val="24"/>
          <w:highlight w:val="none"/>
        </w:rPr>
        <w:t>业工程</w:t>
      </w:r>
      <w:r>
        <w:rPr>
          <w:rFonts w:hint="eastAsia" w:eastAsia="仿宋_GB2312"/>
          <w:bCs/>
          <w:color w:val="auto"/>
          <w:sz w:val="24"/>
          <w:szCs w:val="24"/>
          <w:highlight w:val="none"/>
        </w:rPr>
        <w:t>由发包人作为招标主体，在暂估价专业工程具备招标条件的情况下，根据国家招投标管理办法相关规定开展招标工作确定专业承包单位（指定分包人），并与发包人、承包人签订三方分包合同，分包合同由发包人负责拟定。如因项目需要，发包人可针对某一项或多项暂估价专业工程要求和承包人联合招标，承包人须无条件配合发包人进行相应暂估价专业工程招标，且承包人及其关联单位不得参与相应暂估价专业工程投标（具体按法律法规规定为准）；同时发包人亦有权根据项目需要调整合同签署方式，承包人应无条件配合；因上述原因产生费用已包含在签约合同价中，承包人不得提出任何额外补偿，否则，承包人须承担严重违约责任，发包人有权视情况解除合同。</w:t>
      </w:r>
    </w:p>
    <w:p w14:paraId="17040D10">
      <w:pPr>
        <w:spacing w:line="360" w:lineRule="auto"/>
        <w:ind w:firstLine="480" w:firstLineChars="200"/>
        <w:jc w:val="left"/>
        <w:rPr>
          <w:rFonts w:hint="eastAsia" w:eastAsia="仿宋_GB2312"/>
          <w:color w:val="auto"/>
          <w:kern w:val="0"/>
          <w:sz w:val="24"/>
          <w:szCs w:val="24"/>
          <w:highlight w:val="none"/>
        </w:rPr>
      </w:pPr>
      <w:r>
        <w:rPr>
          <w:rFonts w:hint="eastAsia" w:eastAsia="仿宋_GB2312"/>
          <w:color w:val="auto"/>
          <w:kern w:val="0"/>
          <w:sz w:val="24"/>
          <w:szCs w:val="24"/>
          <w:highlight w:val="none"/>
        </w:rPr>
        <w:t>10.7.2因承包人原因导致暂估价合同订立和履行迟延的，由此增加的费用和（或）延误的工期由承包人承担。</w:t>
      </w:r>
    </w:p>
    <w:p w14:paraId="562BF086">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10.7.3暂估价专业工程有关变更事项按相应专业工程合同约定执行。</w:t>
      </w:r>
    </w:p>
    <w:p w14:paraId="4B1392C0">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10.7.4在合同履行期间，如本项目客户需同步实施二次装修的，发包人有权根据实际需要要求将相应装修工程纳入总承包管理配合服务范围，承包人须无条件接受，并按本合同总承包管理配合服务办法提供管理和配合服务，因此产生的费用按中标总承包管理配合服务费费率*工程造价另行计取，具体支付事项在实施期间另行约定。</w:t>
      </w:r>
      <w:bookmarkEnd w:id="828"/>
      <w:bookmarkEnd w:id="829"/>
      <w:bookmarkEnd w:id="830"/>
    </w:p>
    <w:p w14:paraId="68CA2B76">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10.8 暂列金额</w:t>
      </w:r>
    </w:p>
    <w:p w14:paraId="4B96EBD6">
      <w:pPr>
        <w:autoSpaceDE w:val="0"/>
        <w:autoSpaceDN w:val="0"/>
        <w:adjustRightInd w:val="0"/>
        <w:spacing w:line="360" w:lineRule="auto"/>
        <w:ind w:firstLine="480" w:firstLineChars="200"/>
        <w:jc w:val="left"/>
        <w:rPr>
          <w:rFonts w:eastAsia="仿宋_GB2312"/>
          <w:color w:val="auto"/>
          <w:kern w:val="0"/>
          <w:sz w:val="24"/>
          <w:szCs w:val="24"/>
          <w:highlight w:val="none"/>
        </w:rPr>
      </w:pPr>
      <w:r>
        <w:rPr>
          <w:rFonts w:hint="eastAsia" w:eastAsia="仿宋_GB2312"/>
          <w:color w:val="auto"/>
          <w:kern w:val="0"/>
          <w:sz w:val="24"/>
          <w:szCs w:val="24"/>
          <w:highlight w:val="none"/>
        </w:rPr>
        <w:t>合同当事人关于暂列金额使用的约定：</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暂列金额虽包含在签约合同总价中，但不为承包人所有，最终按实际发生数额结算。</w:t>
      </w:r>
    </w:p>
    <w:p w14:paraId="66B18917">
      <w:pPr>
        <w:pStyle w:val="6"/>
        <w:spacing w:before="120" w:after="120" w:line="360" w:lineRule="auto"/>
        <w:rPr>
          <w:rFonts w:ascii="Times New Roman" w:hAnsi="Times New Roman" w:eastAsia="黑体"/>
          <w:b w:val="0"/>
          <w:color w:val="auto"/>
          <w:sz w:val="24"/>
          <w:szCs w:val="24"/>
          <w:highlight w:val="none"/>
        </w:rPr>
      </w:pPr>
      <w:bookmarkStart w:id="831" w:name="_Toc32835786"/>
      <w:r>
        <w:rPr>
          <w:rFonts w:ascii="Times New Roman" w:hAnsi="Times New Roman" w:eastAsia="黑体"/>
          <w:b w:val="0"/>
          <w:color w:val="auto"/>
          <w:sz w:val="24"/>
          <w:szCs w:val="24"/>
          <w:highlight w:val="none"/>
        </w:rPr>
        <w:t>11. 价格调整</w:t>
      </w:r>
      <w:bookmarkEnd w:id="831"/>
    </w:p>
    <w:bookmarkEnd w:id="737"/>
    <w:bookmarkEnd w:id="738"/>
    <w:bookmarkEnd w:id="739"/>
    <w:bookmarkEnd w:id="740"/>
    <w:bookmarkEnd w:id="741"/>
    <w:bookmarkEnd w:id="742"/>
    <w:p w14:paraId="78A61455">
      <w:pPr>
        <w:autoSpaceDE w:val="0"/>
        <w:autoSpaceDN w:val="0"/>
        <w:adjustRightInd w:val="0"/>
        <w:spacing w:line="360" w:lineRule="auto"/>
        <w:ind w:firstLine="482" w:firstLineChars="200"/>
        <w:jc w:val="left"/>
        <w:rPr>
          <w:rFonts w:hint="eastAsia" w:eastAsia="仿宋_GB2312"/>
          <w:b/>
          <w:bCs/>
          <w:color w:val="auto"/>
          <w:sz w:val="24"/>
          <w:szCs w:val="24"/>
          <w:highlight w:val="none"/>
        </w:rPr>
      </w:pPr>
      <w:bookmarkStart w:id="832" w:name="_Toc292559406"/>
      <w:bookmarkStart w:id="833" w:name="_Toc296347200"/>
      <w:bookmarkStart w:id="834" w:name="_Toc303539157"/>
      <w:bookmarkStart w:id="835" w:name="_Toc297048387"/>
      <w:bookmarkStart w:id="836" w:name="_Toc312678039"/>
      <w:bookmarkStart w:id="837" w:name="_Toc296891241"/>
      <w:bookmarkStart w:id="838" w:name="_Toc296891029"/>
      <w:bookmarkStart w:id="839" w:name="_Toc297123550"/>
      <w:bookmarkStart w:id="840" w:name="_Toc296944540"/>
      <w:bookmarkStart w:id="841" w:name="_Toc296346702"/>
      <w:bookmarkStart w:id="842" w:name="_Toc300935000"/>
      <w:bookmarkStart w:id="843" w:name="_Toc304295577"/>
      <w:bookmarkStart w:id="844" w:name="_Toc297120501"/>
      <w:bookmarkStart w:id="845" w:name="_Toc292559911"/>
      <w:bookmarkStart w:id="846" w:name="_Toc297216209"/>
      <w:bookmarkStart w:id="847" w:name="_Toc296503201"/>
      <w:bookmarkStart w:id="848" w:name="_Toc296891033"/>
      <w:bookmarkStart w:id="849" w:name="_Toc292559915"/>
      <w:bookmarkStart w:id="850" w:name="_Toc292559410"/>
      <w:bookmarkStart w:id="851" w:name="_Toc296944544"/>
      <w:bookmarkStart w:id="852" w:name="_Toc296346706"/>
      <w:bookmarkStart w:id="853" w:name="_Toc296347204"/>
      <w:bookmarkStart w:id="854" w:name="_Toc297048391"/>
      <w:bookmarkStart w:id="855" w:name="_Toc296891245"/>
      <w:bookmarkStart w:id="856" w:name="_Toc296503205"/>
      <w:bookmarkStart w:id="857" w:name="_Toc297120505"/>
      <w:bookmarkStart w:id="858" w:name="_Toc297123552"/>
      <w:bookmarkStart w:id="859" w:name="_Toc303539159"/>
      <w:bookmarkStart w:id="860" w:name="_Toc297216211"/>
      <w:bookmarkStart w:id="861" w:name="_Toc304295579"/>
      <w:bookmarkStart w:id="862" w:name="_Toc300935002"/>
      <w:bookmarkStart w:id="863" w:name="_Toc312678040"/>
      <w:r>
        <w:rPr>
          <w:rFonts w:hint="eastAsia" w:eastAsia="仿宋_GB2312"/>
          <w:b/>
          <w:bCs/>
          <w:color w:val="auto"/>
          <w:sz w:val="24"/>
          <w:szCs w:val="24"/>
          <w:highlight w:val="none"/>
        </w:rPr>
        <w:t>通用条款</w:t>
      </w:r>
      <w:r>
        <w:rPr>
          <w:rFonts w:eastAsia="仿宋_GB2312"/>
          <w:b/>
          <w:bCs/>
          <w:color w:val="auto"/>
          <w:sz w:val="24"/>
          <w:szCs w:val="24"/>
          <w:highlight w:val="none"/>
        </w:rPr>
        <w:t>1</w:t>
      </w:r>
      <w:r>
        <w:rPr>
          <w:rFonts w:hint="eastAsia" w:eastAsia="仿宋_GB2312"/>
          <w:b/>
          <w:bCs/>
          <w:color w:val="auto"/>
          <w:sz w:val="24"/>
          <w:szCs w:val="24"/>
          <w:highlight w:val="none"/>
        </w:rPr>
        <w:t>1</w:t>
      </w:r>
      <w:r>
        <w:rPr>
          <w:rFonts w:eastAsia="仿宋_GB2312"/>
          <w:b/>
          <w:bCs/>
          <w:color w:val="auto"/>
          <w:sz w:val="24"/>
          <w:szCs w:val="24"/>
          <w:highlight w:val="none"/>
        </w:rPr>
        <w:t>.</w:t>
      </w:r>
      <w:r>
        <w:rPr>
          <w:rFonts w:hint="eastAsia" w:eastAsia="仿宋_GB2312"/>
          <w:b/>
          <w:bCs/>
          <w:color w:val="auto"/>
          <w:sz w:val="24"/>
          <w:szCs w:val="24"/>
          <w:highlight w:val="none"/>
        </w:rPr>
        <w:t>1不适用，替换为：</w:t>
      </w:r>
    </w:p>
    <w:p w14:paraId="1D45AEF9">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11.1 市场价格波动引起的调整</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329CAC7A">
      <w:pPr>
        <w:autoSpaceDE w:val="0"/>
        <w:autoSpaceDN w:val="0"/>
        <w:adjustRightInd w:val="0"/>
        <w:spacing w:line="360" w:lineRule="auto"/>
        <w:ind w:firstLine="480" w:firstLineChars="200"/>
        <w:jc w:val="left"/>
        <w:rPr>
          <w:rFonts w:hint="eastAsia" w:eastAsia="仿宋_GB2312"/>
          <w:color w:val="auto"/>
          <w:sz w:val="24"/>
          <w:szCs w:val="24"/>
          <w:highlight w:val="none"/>
        </w:rPr>
      </w:pPr>
      <w:bookmarkStart w:id="864" w:name="_Hlk10003443"/>
      <w:r>
        <w:rPr>
          <w:rFonts w:hint="eastAsia" w:eastAsia="仿宋_GB2312"/>
          <w:color w:val="auto"/>
          <w:sz w:val="24"/>
          <w:szCs w:val="24"/>
          <w:highlight w:val="none"/>
        </w:rPr>
        <w:t>11.1.1 合同履行期间，以下人工和材料可调整价差：分部分项工程量清单内人工（不包含机械费中的人工）及分部分项工程清单内的商品混凝土、钢筋，具体调整方式如下：</w:t>
      </w:r>
      <w:bookmarkEnd w:id="864"/>
    </w:p>
    <w:p w14:paraId="46696BDB">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（1）分部分项工程清单人工（不包含机械费中的人工）价差的调整条件及方式为：</w:t>
      </w:r>
    </w:p>
    <w:p w14:paraId="7C829A72">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合同履行期间，当实物完成当月的云浮市市建设工程造价管理站发布的动态人工调整系数与</w:t>
      </w:r>
      <w:r>
        <w:rPr>
          <w:rFonts w:eastAsia="仿宋_GB2312"/>
          <w:color w:val="auto"/>
          <w:sz w:val="24"/>
          <w:szCs w:val="24"/>
          <w:highlight w:val="none"/>
        </w:rPr>
        <w:t>202</w:t>
      </w:r>
      <w:r>
        <w:rPr>
          <w:rFonts w:hint="eastAsia" w:eastAsia="仿宋_GB2312"/>
          <w:color w:val="auto"/>
          <w:sz w:val="24"/>
          <w:szCs w:val="24"/>
          <w:highlight w:val="none"/>
          <w:lang w:val="en-US" w:eastAsia="zh-CN"/>
        </w:rPr>
        <w:t>4</w:t>
      </w:r>
      <w:r>
        <w:rPr>
          <w:rFonts w:hint="eastAsia" w:eastAsia="仿宋_GB2312"/>
          <w:color w:val="auto"/>
          <w:sz w:val="24"/>
          <w:szCs w:val="24"/>
          <w:highlight w:val="none"/>
        </w:rPr>
        <w:t>年</w:t>
      </w:r>
      <w:r>
        <w:rPr>
          <w:rFonts w:hint="eastAsia" w:eastAsia="仿宋_GB2312"/>
          <w:color w:val="auto"/>
          <w:sz w:val="24"/>
          <w:szCs w:val="24"/>
          <w:highlight w:val="none"/>
          <w:lang w:val="en-US" w:eastAsia="zh-CN"/>
        </w:rPr>
        <w:t>9</w:t>
      </w:r>
      <w:r>
        <w:rPr>
          <w:rFonts w:hint="eastAsia" w:eastAsia="仿宋_GB2312"/>
          <w:color w:val="auto"/>
          <w:sz w:val="24"/>
          <w:szCs w:val="24"/>
          <w:highlight w:val="none"/>
        </w:rPr>
        <w:t>月云浮市建设工程造价管理站发布的动态人工调整系数对比出现差幅涨落超过 10 %（不含 10%）时，可调整超出部分价差，超过部分的人工价差调整按下列原则进行：</w:t>
      </w:r>
    </w:p>
    <w:p w14:paraId="69381421">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s="Calibri"/>
          <w:color w:val="auto"/>
          <w:sz w:val="24"/>
          <w:szCs w:val="24"/>
          <w:highlight w:val="none"/>
        </w:rPr>
        <w:t>①</w:t>
      </w:r>
      <w:r>
        <w:rPr>
          <w:rFonts w:hint="eastAsia" w:eastAsia="仿宋_GB2312"/>
          <w:color w:val="auto"/>
          <w:sz w:val="24"/>
          <w:szCs w:val="24"/>
          <w:highlight w:val="none"/>
        </w:rPr>
        <w:t>、当（Mn-Mo)/Mo ×100％&gt; 10%时； C = L•[(Mn-Mo)/Mo•100%-10%]×(1+T%)</w:t>
      </w:r>
    </w:p>
    <w:p w14:paraId="39A09F4E">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s="Calibri"/>
          <w:color w:val="auto"/>
          <w:sz w:val="24"/>
          <w:szCs w:val="24"/>
          <w:highlight w:val="none"/>
        </w:rPr>
        <w:t>②</w:t>
      </w:r>
      <w:r>
        <w:rPr>
          <w:rFonts w:hint="eastAsia" w:eastAsia="仿宋_GB2312"/>
          <w:color w:val="auto"/>
          <w:sz w:val="24"/>
          <w:szCs w:val="24"/>
          <w:highlight w:val="none"/>
        </w:rPr>
        <w:t>、当（Mn-Mo)/Mo ×100％&lt; -10%时； C = L•[(Mn-Mo)/Mo•100%+10%]×(1+T%)</w:t>
      </w:r>
    </w:p>
    <w:p w14:paraId="51317202">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C： 表示人工调整金额。</w:t>
      </w:r>
    </w:p>
    <w:p w14:paraId="586CAB56">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L： 表示当月完成工程的人工费累计数。</w:t>
      </w:r>
    </w:p>
    <w:p w14:paraId="6E0EAB6E">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Mn：表示当月云浮市建设工程造价管理站发布的适用于增值税一般计税方法计价的动态人工调整系数。</w:t>
      </w:r>
    </w:p>
    <w:p w14:paraId="74B38250">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Mo：表示</w:t>
      </w:r>
      <w:r>
        <w:rPr>
          <w:rFonts w:eastAsia="仿宋_GB2312"/>
          <w:color w:val="auto"/>
          <w:sz w:val="24"/>
          <w:szCs w:val="24"/>
          <w:highlight w:val="none"/>
        </w:rPr>
        <w:t>202</w:t>
      </w:r>
      <w:r>
        <w:rPr>
          <w:rFonts w:hint="eastAsia" w:eastAsia="仿宋_GB2312"/>
          <w:color w:val="auto"/>
          <w:sz w:val="24"/>
          <w:szCs w:val="24"/>
          <w:highlight w:val="none"/>
          <w:lang w:val="en-US" w:eastAsia="zh-CN"/>
        </w:rPr>
        <w:t>4</w:t>
      </w:r>
      <w:r>
        <w:rPr>
          <w:rFonts w:hint="eastAsia" w:eastAsia="仿宋_GB2312"/>
          <w:color w:val="auto"/>
          <w:sz w:val="24"/>
          <w:szCs w:val="24"/>
          <w:highlight w:val="none"/>
        </w:rPr>
        <w:t>年第</w:t>
      </w:r>
      <w:r>
        <w:rPr>
          <w:rFonts w:hint="eastAsia" w:eastAsia="仿宋_GB2312"/>
          <w:color w:val="auto"/>
          <w:sz w:val="24"/>
          <w:szCs w:val="24"/>
          <w:highlight w:val="none"/>
          <w:lang w:val="en-US" w:eastAsia="zh-CN"/>
        </w:rPr>
        <w:t>9</w:t>
      </w:r>
      <w:r>
        <w:rPr>
          <w:rFonts w:hint="eastAsia" w:eastAsia="仿宋_GB2312"/>
          <w:color w:val="auto"/>
          <w:sz w:val="24"/>
          <w:szCs w:val="24"/>
          <w:highlight w:val="none"/>
        </w:rPr>
        <w:t>月云浮市建设工程造价管理站发布的适用于增值税一般计税方法计价的动态人工调整系数。</w:t>
      </w:r>
    </w:p>
    <w:p w14:paraId="1FB09353">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ab/>
      </w:r>
      <w:r>
        <w:rPr>
          <w:rFonts w:hint="eastAsia" w:eastAsia="仿宋_GB2312"/>
          <w:color w:val="auto"/>
          <w:sz w:val="24"/>
          <w:szCs w:val="24"/>
          <w:highlight w:val="none"/>
        </w:rPr>
        <w:t>T：表示工程税率。</w:t>
      </w:r>
    </w:p>
    <w:p w14:paraId="1F18B302">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备注：</w:t>
      </w:r>
    </w:p>
    <w:p w14:paraId="79B8982A">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a .上述人工价差的调差仅适用于分部分项工程量清单的人工部分（不包含机械费中的人工）。</w:t>
      </w:r>
    </w:p>
    <w:p w14:paraId="2DA10645">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B .若按上述公式调整后的人工动态人工调整系数高于当月云浮市建设工程造价管理站发布的人工动态人工调整系数，则执行云浮市建设工程造价管理站发布的人工动态人工调整系数。</w:t>
      </w:r>
    </w:p>
    <w:p w14:paraId="59FEAAF1">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（2）商品混凝土 、钢筋的调整方式为：</w:t>
      </w:r>
    </w:p>
    <w:p w14:paraId="48022B31">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合同履行期间，实物完成当月的云浮市建设工程造价管理站发布的适用于增值税一般计税方法计价的税前材料单价与</w:t>
      </w:r>
      <w:r>
        <w:rPr>
          <w:rFonts w:eastAsia="仿宋_GB2312"/>
          <w:color w:val="auto"/>
          <w:sz w:val="24"/>
          <w:szCs w:val="24"/>
          <w:highlight w:val="none"/>
        </w:rPr>
        <w:t>202</w:t>
      </w:r>
      <w:r>
        <w:rPr>
          <w:rFonts w:hint="eastAsia" w:eastAsia="仿宋_GB2312"/>
          <w:color w:val="auto"/>
          <w:sz w:val="24"/>
          <w:szCs w:val="24"/>
          <w:highlight w:val="none"/>
          <w:lang w:val="en-US" w:eastAsia="zh-CN"/>
        </w:rPr>
        <w:t>4</w:t>
      </w:r>
      <w:r>
        <w:rPr>
          <w:rFonts w:hint="eastAsia" w:eastAsia="仿宋_GB2312"/>
          <w:color w:val="auto"/>
          <w:sz w:val="24"/>
          <w:szCs w:val="24"/>
          <w:highlight w:val="none"/>
        </w:rPr>
        <w:t>年</w:t>
      </w:r>
      <w:r>
        <w:rPr>
          <w:rFonts w:hint="eastAsia" w:eastAsia="仿宋_GB2312"/>
          <w:color w:val="auto"/>
          <w:sz w:val="24"/>
          <w:szCs w:val="24"/>
          <w:highlight w:val="none"/>
          <w:lang w:val="en-US" w:eastAsia="zh-CN"/>
        </w:rPr>
        <w:t>9</w:t>
      </w:r>
      <w:r>
        <w:rPr>
          <w:rFonts w:hint="eastAsia" w:eastAsia="仿宋_GB2312"/>
          <w:color w:val="auto"/>
          <w:sz w:val="24"/>
          <w:szCs w:val="24"/>
          <w:highlight w:val="none"/>
        </w:rPr>
        <w:t>月云浮市建设工程造价管理站发布的适用于增值税一般计税方法计价的税前相应材料综合价格（以下简称“税前综合价格）对比出现差幅涨落超过 5 %(不含5 %)时，超过部分材料价差调整按下列原则进行：</w:t>
      </w:r>
    </w:p>
    <w:p w14:paraId="7820EE19">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s="Calibri"/>
          <w:color w:val="auto"/>
          <w:sz w:val="24"/>
          <w:szCs w:val="24"/>
          <w:highlight w:val="none"/>
        </w:rPr>
        <w:t>①</w:t>
      </w:r>
      <w:r>
        <w:rPr>
          <w:rFonts w:hint="eastAsia" w:eastAsia="仿宋_GB2312"/>
          <w:color w:val="auto"/>
          <w:sz w:val="24"/>
          <w:szCs w:val="24"/>
          <w:highlight w:val="none"/>
        </w:rPr>
        <w:t>、当 (Mn-Mo)/Mo·100%&gt; 10%时；C = Q×P×[(Mn-Mo)/Mo×100%-5%]×(1+T%)</w:t>
      </w:r>
    </w:p>
    <w:p w14:paraId="4B3E39DB">
      <w:pPr>
        <w:ind w:firstLine="480" w:firstLineChars="200"/>
        <w:rPr>
          <w:rFonts w:hint="eastAsia" w:eastAsia="仿宋_GB2312"/>
          <w:color w:val="auto"/>
          <w:sz w:val="24"/>
          <w:szCs w:val="24"/>
          <w:highlight w:val="none"/>
        </w:rPr>
      </w:pPr>
      <w:r>
        <w:rPr>
          <w:rFonts w:eastAsia="仿宋_GB2312" w:cs="Calibri"/>
          <w:color w:val="auto"/>
          <w:sz w:val="24"/>
          <w:szCs w:val="24"/>
          <w:highlight w:val="none"/>
        </w:rPr>
        <w:t>②</w:t>
      </w:r>
      <w:r>
        <w:rPr>
          <w:rFonts w:hint="eastAsia" w:eastAsia="仿宋_GB2312"/>
          <w:color w:val="auto"/>
          <w:sz w:val="24"/>
          <w:szCs w:val="24"/>
          <w:highlight w:val="none"/>
        </w:rPr>
        <w:t>、当 (Mn-Mo)/Mo·100%&lt;-10%时；C = Q×P×[(Mn-Mo)/Mo×100%+5%]×(1+T%)</w:t>
      </w:r>
    </w:p>
    <w:p w14:paraId="05C6E97B">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C： 表示材料调整金额；</w:t>
      </w:r>
    </w:p>
    <w:p w14:paraId="7C23EE6F">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Q： 表示当月/季内永久工程的相应材料完成的工程量（不计算消耗量）；</w:t>
      </w:r>
    </w:p>
    <w:p w14:paraId="392DA809">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P： 表示相应材料的合同单价，当同一种材料出现几个单价，按最低的材料价执行。</w:t>
      </w:r>
    </w:p>
    <w:p w14:paraId="61FC9E34">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Mn：表示当月云浮市建设工程造价管理站发布的适用于增值税一般计税方法计价的税前材料单价。</w:t>
      </w:r>
    </w:p>
    <w:p w14:paraId="16ACBAFB">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Mo：表示</w:t>
      </w:r>
      <w:r>
        <w:rPr>
          <w:rFonts w:eastAsia="仿宋_GB2312"/>
          <w:color w:val="auto"/>
          <w:sz w:val="24"/>
          <w:szCs w:val="24"/>
          <w:highlight w:val="none"/>
        </w:rPr>
        <w:t>202</w:t>
      </w:r>
      <w:r>
        <w:rPr>
          <w:rFonts w:hint="eastAsia" w:eastAsia="仿宋_GB2312"/>
          <w:color w:val="auto"/>
          <w:sz w:val="24"/>
          <w:szCs w:val="24"/>
          <w:highlight w:val="none"/>
          <w:lang w:val="en-US" w:eastAsia="zh-CN"/>
        </w:rPr>
        <w:t>4</w:t>
      </w:r>
      <w:r>
        <w:rPr>
          <w:rFonts w:hint="eastAsia" w:eastAsia="仿宋_GB2312"/>
          <w:color w:val="auto"/>
          <w:sz w:val="24"/>
          <w:szCs w:val="24"/>
          <w:highlight w:val="none"/>
        </w:rPr>
        <w:t>年第</w:t>
      </w:r>
      <w:r>
        <w:rPr>
          <w:rFonts w:hint="eastAsia" w:eastAsia="仿宋_GB2312"/>
          <w:color w:val="auto"/>
          <w:sz w:val="24"/>
          <w:szCs w:val="24"/>
          <w:highlight w:val="none"/>
          <w:lang w:val="en-US" w:eastAsia="zh-CN"/>
        </w:rPr>
        <w:t>9</w:t>
      </w:r>
      <w:r>
        <w:rPr>
          <w:rFonts w:hint="eastAsia" w:eastAsia="仿宋_GB2312"/>
          <w:color w:val="auto"/>
          <w:sz w:val="24"/>
          <w:szCs w:val="24"/>
          <w:highlight w:val="none"/>
        </w:rPr>
        <w:t>月云浮市建设工程造价管理站发布适用于增值税一般计税方法计价的税前材料单价。</w:t>
      </w:r>
    </w:p>
    <w:p w14:paraId="2352EE27">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ab/>
      </w:r>
      <w:r>
        <w:rPr>
          <w:rFonts w:hint="eastAsia" w:eastAsia="仿宋_GB2312"/>
          <w:color w:val="auto"/>
          <w:sz w:val="24"/>
          <w:szCs w:val="24"/>
          <w:highlight w:val="none"/>
        </w:rPr>
        <w:t>T：表示工程税率。</w:t>
      </w:r>
    </w:p>
    <w:p w14:paraId="03F629B1">
      <w:pPr>
        <w:autoSpaceDE w:val="0"/>
        <w:autoSpaceDN w:val="0"/>
        <w:adjustRightInd w:val="0"/>
        <w:spacing w:line="360" w:lineRule="auto"/>
        <w:ind w:firstLine="480" w:firstLineChars="200"/>
        <w:jc w:val="left"/>
        <w:rPr>
          <w:rFonts w:hint="eastAsia" w:eastAsia="仿宋_GB2312"/>
          <w:color w:val="auto"/>
          <w:sz w:val="24"/>
          <w:szCs w:val="24"/>
          <w:highlight w:val="none"/>
        </w:rPr>
      </w:pPr>
      <w:bookmarkStart w:id="865" w:name="_Hlk10014069"/>
      <w:r>
        <w:rPr>
          <w:rFonts w:hint="eastAsia" w:eastAsia="仿宋_GB2312"/>
          <w:color w:val="auto"/>
          <w:sz w:val="24"/>
          <w:szCs w:val="24"/>
          <w:highlight w:val="none"/>
        </w:rPr>
        <w:t>11.1.2</w:t>
      </w:r>
      <w:bookmarkStart w:id="866" w:name="_Hlk10003577"/>
      <w:r>
        <w:rPr>
          <w:rFonts w:hint="eastAsia" w:eastAsia="仿宋_GB2312"/>
          <w:color w:val="auto"/>
          <w:sz w:val="24"/>
          <w:szCs w:val="24"/>
          <w:highlight w:val="none"/>
        </w:rPr>
        <w:t xml:space="preserve"> </w:t>
      </w:r>
      <w:r>
        <w:rPr>
          <w:rFonts w:hint="eastAsia" w:ascii="仿宋_GB2312" w:hAnsi="宋体" w:eastAsia="仿宋_GB2312"/>
          <w:color w:val="auto"/>
          <w:sz w:val="24"/>
          <w:szCs w:val="24"/>
          <w:highlight w:val="none"/>
        </w:rPr>
        <w:t>发包人承包人双方一致同意：</w:t>
      </w:r>
      <w:r>
        <w:rPr>
          <w:rFonts w:hint="eastAsia" w:eastAsia="仿宋_GB2312"/>
          <w:color w:val="auto"/>
          <w:sz w:val="24"/>
          <w:szCs w:val="24"/>
          <w:highlight w:val="none"/>
        </w:rPr>
        <w:t>除11.1.1款所述人工、材料外，合同单价不会因任何材料价格、</w:t>
      </w:r>
      <w:r>
        <w:rPr>
          <w:rFonts w:hint="eastAsia" w:ascii="仿宋_GB2312" w:hAnsi="宋体" w:eastAsia="仿宋_GB2312"/>
          <w:color w:val="auto"/>
          <w:sz w:val="24"/>
          <w:szCs w:val="24"/>
          <w:highlight w:val="none"/>
        </w:rPr>
        <w:t>机械、</w:t>
      </w:r>
      <w:r>
        <w:rPr>
          <w:rFonts w:hint="eastAsia" w:eastAsia="仿宋_GB2312"/>
          <w:color w:val="auto"/>
          <w:sz w:val="24"/>
          <w:szCs w:val="24"/>
          <w:highlight w:val="none"/>
        </w:rPr>
        <w:t>人工及汇率等的变动而调整。承包人报价时的材料价格低于当期当地市县建设工程造价管理站颁布的综合价，而导致调差后材料价格与施工当期当地市县建设工程造价管理站颁布的综合价差异较大的风险由承包人承担，承包人不得由此向发包人提出材料补差费用。</w:t>
      </w:r>
    </w:p>
    <w:p w14:paraId="77E3993E">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11.1.3 以上调差按季度进行申报，每季度的价差的调整，承包人必须在下季度第二个月前提出，不得累计到再下一季度或结算阶段。除取得发包人批准外，承包人应按上述期限申报调差事项，否则，涉及价差调减的，发包人有权自行调整并在应支付承包人款项扣除承包人须无条件接受，每发生一次承包人须承担一般违约责任一次；涉及价差调增，发包人可视承包人放弃该部分价款，结算不予计取。根据上述原则调整的工程价款，发包人、承包人双方确认后，如双方有不一致意见的，则由造价咨询人暂定，并按本合同条款第12.4款（工程进度款支付）规定的比例于次月随工程进度款支付或扣减。</w:t>
      </w:r>
    </w:p>
    <w:p w14:paraId="25E58A0E">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11.1.4 合同工期发生延误的，若因发包人原因导致工期延长的，按实际实施工程的时间为计算依据计算第11.1.1款调整价款；若因承包人原因导致工期延长的，按计划进度日期和实际进度日期两者内人工调整系数/材料单价较低价的日期为计算依据计算第11.1.1款调整价款。</w:t>
      </w:r>
    </w:p>
    <w:p w14:paraId="207D6A23">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11.1.5工程结算时，以发包人最终确认相应完成工程的人工费累计数或永久工程的相应材料完成的工程量（不计算消耗量）材料数量按上述计算方式进行结算。</w:t>
      </w:r>
      <w:bookmarkEnd w:id="865"/>
      <w:bookmarkEnd w:id="866"/>
      <w:r>
        <w:rPr>
          <w:rFonts w:eastAsia="仿宋_GB2312"/>
          <w:color w:val="auto"/>
          <w:sz w:val="24"/>
          <w:szCs w:val="24"/>
          <w:highlight w:val="none"/>
        </w:rPr>
        <w:t>但钢结构</w:t>
      </w:r>
      <w:r>
        <w:rPr>
          <w:rFonts w:hint="eastAsia" w:eastAsia="仿宋_GB2312"/>
          <w:color w:val="auto"/>
          <w:sz w:val="24"/>
          <w:szCs w:val="24"/>
          <w:highlight w:val="none"/>
        </w:rPr>
        <w:t>（如有）</w:t>
      </w:r>
      <w:r>
        <w:rPr>
          <w:rFonts w:eastAsia="仿宋_GB2312"/>
          <w:color w:val="auto"/>
          <w:sz w:val="24"/>
          <w:szCs w:val="24"/>
          <w:highlight w:val="none"/>
        </w:rPr>
        <w:t>钢材调整数量（当期完成工程量及结算工程量）在中间计量和结算时均按招标图纸计算，在工程结算时，如钢材调整总数量（不含工程变更）大于合同工程量的，则按合同工程量进行结算；因设计变更导致数量增减按工程变更相关约定执行。</w:t>
      </w:r>
    </w:p>
    <w:p w14:paraId="1C9A8D39">
      <w:pPr>
        <w:autoSpaceDE w:val="0"/>
        <w:autoSpaceDN w:val="0"/>
        <w:adjustRightInd w:val="0"/>
        <w:spacing w:line="360" w:lineRule="auto"/>
        <w:ind w:firstLine="482" w:firstLineChars="200"/>
        <w:jc w:val="left"/>
        <w:rPr>
          <w:rFonts w:hint="eastAsia" w:eastAsia="仿宋_GB2312"/>
          <w:b/>
          <w:bCs/>
          <w:color w:val="auto"/>
          <w:sz w:val="24"/>
          <w:szCs w:val="24"/>
          <w:highlight w:val="none"/>
        </w:rPr>
      </w:pPr>
      <w:bookmarkStart w:id="867" w:name="_Toc3921"/>
      <w:r>
        <w:rPr>
          <w:rFonts w:hint="eastAsia" w:eastAsia="仿宋_GB2312"/>
          <w:b/>
          <w:bCs/>
          <w:color w:val="auto"/>
          <w:sz w:val="24"/>
          <w:szCs w:val="24"/>
          <w:highlight w:val="none"/>
        </w:rPr>
        <w:t>通用条款</w:t>
      </w:r>
      <w:r>
        <w:rPr>
          <w:rFonts w:eastAsia="仿宋_GB2312"/>
          <w:b/>
          <w:bCs/>
          <w:color w:val="auto"/>
          <w:sz w:val="24"/>
          <w:szCs w:val="24"/>
          <w:highlight w:val="none"/>
        </w:rPr>
        <w:t>1</w:t>
      </w:r>
      <w:r>
        <w:rPr>
          <w:rFonts w:hint="eastAsia" w:eastAsia="仿宋_GB2312"/>
          <w:b/>
          <w:bCs/>
          <w:color w:val="auto"/>
          <w:sz w:val="24"/>
          <w:szCs w:val="24"/>
          <w:highlight w:val="none"/>
        </w:rPr>
        <w:t>1</w:t>
      </w:r>
      <w:r>
        <w:rPr>
          <w:rFonts w:eastAsia="仿宋_GB2312"/>
          <w:b/>
          <w:bCs/>
          <w:color w:val="auto"/>
          <w:sz w:val="24"/>
          <w:szCs w:val="24"/>
          <w:highlight w:val="none"/>
        </w:rPr>
        <w:t>.</w:t>
      </w:r>
      <w:r>
        <w:rPr>
          <w:rFonts w:hint="eastAsia" w:eastAsia="仿宋_GB2312"/>
          <w:b/>
          <w:bCs/>
          <w:color w:val="auto"/>
          <w:sz w:val="24"/>
          <w:szCs w:val="24"/>
          <w:highlight w:val="none"/>
        </w:rPr>
        <w:t>2不适用，替换为：</w:t>
      </w:r>
    </w:p>
    <w:p w14:paraId="336C4E9C">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11.2法律变化引起的调整</w:t>
      </w:r>
      <w:bookmarkEnd w:id="867"/>
    </w:p>
    <w:p w14:paraId="048033C9">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因</w:t>
      </w:r>
      <w:r>
        <w:rPr>
          <w:rFonts w:eastAsia="仿宋_GB2312"/>
          <w:color w:val="auto"/>
          <w:sz w:val="24"/>
          <w:szCs w:val="24"/>
          <w:highlight w:val="none"/>
        </w:rPr>
        <w:t>基准日</w:t>
      </w:r>
      <w:r>
        <w:rPr>
          <w:rFonts w:hint="eastAsia" w:eastAsia="仿宋_GB2312"/>
          <w:color w:val="auto"/>
          <w:sz w:val="24"/>
          <w:szCs w:val="24"/>
          <w:highlight w:val="none"/>
        </w:rPr>
        <w:t>期</w:t>
      </w:r>
      <w:r>
        <w:rPr>
          <w:rFonts w:eastAsia="仿宋_GB2312"/>
          <w:color w:val="auto"/>
          <w:sz w:val="24"/>
          <w:szCs w:val="24"/>
          <w:highlight w:val="none"/>
        </w:rPr>
        <w:t>后</w:t>
      </w:r>
      <w:r>
        <w:rPr>
          <w:rFonts w:hint="eastAsia" w:eastAsia="仿宋_GB2312"/>
          <w:color w:val="auto"/>
          <w:sz w:val="24"/>
          <w:szCs w:val="24"/>
          <w:highlight w:val="none"/>
        </w:rPr>
        <w:t>合同所适用的法律或政府有关规定发生变化，导致承包人在合同履行过程中所需要的费用发生除第11.1款〔市场价格波动引起的调整〕及</w:t>
      </w:r>
      <w:r>
        <w:rPr>
          <w:rFonts w:eastAsia="仿宋_GB2312"/>
          <w:color w:val="auto"/>
          <w:sz w:val="24"/>
          <w:szCs w:val="24"/>
          <w:highlight w:val="none"/>
        </w:rPr>
        <w:t>6.1.6</w:t>
      </w:r>
      <w:r>
        <w:rPr>
          <w:rFonts w:hint="eastAsia" w:eastAsia="仿宋_GB2312"/>
          <w:color w:val="auto"/>
          <w:sz w:val="24"/>
          <w:szCs w:val="24"/>
          <w:highlight w:val="none"/>
        </w:rPr>
        <w:t xml:space="preserve">款〔绿色施工安全防护措施费〕约定以外的，如涉及费用减少的，由发包人在结算中进行扣减；如涉及费用增加的，且最新法律或政府有关规定有明确费用承担方的，则按规定执行；如最新法律或政府有关规定没有明确费用承担方的，则所增加费用由承包人承担，并视为已包含在签约合同价款中。 </w:t>
      </w:r>
    </w:p>
    <w:p w14:paraId="31510D7F">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因法律变化引起的合同价格和工期调整，合同当事人无法达成一致的，由发包方和监理工程师按合同相关约定处理。</w:t>
      </w:r>
    </w:p>
    <w:p w14:paraId="39B83A73">
      <w:pPr>
        <w:autoSpaceDE w:val="0"/>
        <w:autoSpaceDN w:val="0"/>
        <w:adjustRightInd w:val="0"/>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因承包人原因造成工期延误，在工期延误期间出现法律变化的，由此增加的费用和（或）延误的工期由承包人承担。</w:t>
      </w:r>
    </w:p>
    <w:p w14:paraId="71499403">
      <w:pPr>
        <w:pStyle w:val="6"/>
        <w:spacing w:before="120" w:after="120" w:line="360" w:lineRule="auto"/>
        <w:rPr>
          <w:rFonts w:ascii="Times New Roman" w:hAnsi="Times New Roman" w:eastAsia="黑体"/>
          <w:b w:val="0"/>
          <w:color w:val="auto"/>
          <w:sz w:val="24"/>
          <w:szCs w:val="24"/>
          <w:highlight w:val="none"/>
        </w:rPr>
      </w:pPr>
      <w:bookmarkStart w:id="868" w:name="_Toc32835787"/>
      <w:r>
        <w:rPr>
          <w:rFonts w:ascii="Times New Roman" w:hAnsi="Times New Roman" w:eastAsia="黑体"/>
          <w:b w:val="0"/>
          <w:color w:val="auto"/>
          <w:sz w:val="24"/>
          <w:szCs w:val="24"/>
          <w:highlight w:val="none"/>
        </w:rPr>
        <w:t xml:space="preserve">12. </w:t>
      </w:r>
      <w:bookmarkEnd w:id="848"/>
      <w:bookmarkEnd w:id="849"/>
      <w:bookmarkEnd w:id="850"/>
      <w:bookmarkEnd w:id="851"/>
      <w:bookmarkEnd w:id="852"/>
      <w:bookmarkEnd w:id="853"/>
      <w:bookmarkEnd w:id="854"/>
      <w:bookmarkEnd w:id="855"/>
      <w:bookmarkEnd w:id="856"/>
      <w:bookmarkEnd w:id="857"/>
      <w:r>
        <w:rPr>
          <w:rFonts w:ascii="Times New Roman" w:hAnsi="Times New Roman" w:eastAsia="黑体"/>
          <w:b w:val="0"/>
          <w:color w:val="auto"/>
          <w:sz w:val="24"/>
          <w:szCs w:val="24"/>
          <w:highlight w:val="none"/>
        </w:rPr>
        <w:t>合同价格、计量与支付</w:t>
      </w:r>
      <w:bookmarkEnd w:id="868"/>
    </w:p>
    <w:bookmarkEnd w:id="858"/>
    <w:bookmarkEnd w:id="859"/>
    <w:bookmarkEnd w:id="860"/>
    <w:bookmarkEnd w:id="861"/>
    <w:bookmarkEnd w:id="862"/>
    <w:bookmarkEnd w:id="863"/>
    <w:p w14:paraId="74F1C25E">
      <w:pPr>
        <w:spacing w:after="120" w:line="360" w:lineRule="auto"/>
        <w:ind w:firstLine="480" w:firstLineChars="200"/>
        <w:rPr>
          <w:rFonts w:eastAsia="黑体"/>
          <w:color w:val="auto"/>
          <w:sz w:val="24"/>
          <w:szCs w:val="24"/>
          <w:highlight w:val="none"/>
        </w:rPr>
      </w:pPr>
      <w:bookmarkStart w:id="869" w:name="_Toc292559411"/>
      <w:bookmarkStart w:id="870" w:name="_Toc267251461"/>
      <w:bookmarkStart w:id="871" w:name="_Toc292559916"/>
      <w:bookmarkStart w:id="872" w:name="_Toc297048392"/>
      <w:bookmarkStart w:id="873" w:name="_Toc296503206"/>
      <w:bookmarkStart w:id="874" w:name="_Toc296891246"/>
      <w:bookmarkStart w:id="875" w:name="_Toc296347205"/>
      <w:bookmarkStart w:id="876" w:name="_Toc296891034"/>
      <w:bookmarkStart w:id="877" w:name="_Toc297120506"/>
      <w:bookmarkStart w:id="878" w:name="_Toc296944545"/>
      <w:bookmarkStart w:id="879" w:name="_Toc296346707"/>
      <w:bookmarkStart w:id="880" w:name="_Toc304295580"/>
      <w:bookmarkStart w:id="881" w:name="_Toc300935003"/>
      <w:bookmarkStart w:id="882" w:name="_Toc297123553"/>
      <w:bookmarkStart w:id="883" w:name="_Toc303539160"/>
      <w:bookmarkStart w:id="884" w:name="_Toc312678041"/>
      <w:bookmarkStart w:id="885" w:name="_Toc297216212"/>
      <w:r>
        <w:rPr>
          <w:rFonts w:eastAsia="黑体"/>
          <w:color w:val="auto"/>
          <w:sz w:val="24"/>
          <w:szCs w:val="24"/>
          <w:highlight w:val="none"/>
        </w:rPr>
        <w:t>12.1 合</w:t>
      </w:r>
      <w:bookmarkEnd w:id="869"/>
      <w:bookmarkEnd w:id="870"/>
      <w:bookmarkEnd w:id="871"/>
      <w:r>
        <w:rPr>
          <w:rFonts w:eastAsia="黑体"/>
          <w:color w:val="auto"/>
          <w:sz w:val="24"/>
          <w:szCs w:val="24"/>
          <w:highlight w:val="none"/>
        </w:rPr>
        <w:t>同价</w:t>
      </w:r>
      <w:bookmarkEnd w:id="872"/>
      <w:bookmarkEnd w:id="873"/>
      <w:bookmarkEnd w:id="874"/>
      <w:bookmarkEnd w:id="875"/>
      <w:bookmarkEnd w:id="876"/>
      <w:bookmarkEnd w:id="877"/>
      <w:bookmarkEnd w:id="878"/>
      <w:bookmarkEnd w:id="879"/>
      <w:r>
        <w:rPr>
          <w:rFonts w:eastAsia="黑体"/>
          <w:color w:val="auto"/>
          <w:sz w:val="24"/>
          <w:szCs w:val="24"/>
          <w:highlight w:val="none"/>
        </w:rPr>
        <w:t>格形式</w:t>
      </w:r>
    </w:p>
    <w:bookmarkEnd w:id="880"/>
    <w:bookmarkEnd w:id="881"/>
    <w:bookmarkEnd w:id="882"/>
    <w:bookmarkEnd w:id="883"/>
    <w:bookmarkEnd w:id="884"/>
    <w:bookmarkEnd w:id="885"/>
    <w:p w14:paraId="3D6003A9">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w:t>
      </w:r>
      <w:r>
        <w:rPr>
          <w:rFonts w:hint="eastAsia" w:eastAsia="仿宋_GB2312"/>
          <w:color w:val="auto"/>
          <w:sz w:val="24"/>
          <w:szCs w:val="24"/>
          <w:highlight w:val="none"/>
        </w:rPr>
        <w:t>.</w:t>
      </w:r>
      <w:r>
        <w:rPr>
          <w:rFonts w:eastAsia="仿宋_GB2312"/>
          <w:color w:val="auto"/>
          <w:sz w:val="24"/>
          <w:szCs w:val="24"/>
          <w:highlight w:val="none"/>
        </w:rPr>
        <w:t>单价合同。</w:t>
      </w:r>
    </w:p>
    <w:p w14:paraId="762ADEE0">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综合单价包含的风险范围：合同工程量清单内的所有综合单价均视作已包括清单的项目特征、工作内容、图纸说明、技术条件说明、《建设工程工程量清单计价规范》及《工程量清单计价说明》所需的一切费用、利润的综合单价。</w:t>
      </w:r>
    </w:p>
    <w:p w14:paraId="2C489D5D">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承包人在投标时已充分理解招标文件（含合同文件）和图纸的要求，并自行计算和复核了工程量清单，亦理解清单内的项目应按项目的项目特征、工作内容、图纸说明、技术条件、计价说明全面理解及报价，承包人确认不会因其对工程量清单内的项目特征描述的理解、推论或结论而向发包人提出任何的赔偿，此类索赔不予赔偿。</w:t>
      </w:r>
    </w:p>
    <w:p w14:paraId="71C21151">
      <w:pPr>
        <w:autoSpaceDE w:val="0"/>
        <w:autoSpaceDN w:val="0"/>
        <w:adjustRightInd w:val="0"/>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(3)合同工程量清单的任何项目若未有填报单价/价款的，其所需费用均视作已包括于其他有单价/价款的项目的单价/价款内，结算时也不会再计算该等项目的价款。承包人不可因漏报有关项目的单价/价款而向发包人要求任何的补偿费用和利润。</w:t>
      </w:r>
    </w:p>
    <w:p w14:paraId="7DA620A2">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(4)风险费用的计算方法及风险范围以外合同价格的调整方法：合同图纸与分部分项工程量清单开列的数量出现偏差时，套用合同单价计算加账与减账费用。但若实际数量与清单开列的数量不一致时，超出部分数量的偏差及/或遗漏（承包人在投标时未有填报价款的项目除外），会重新计算及相应调整合同价款。</w:t>
      </w:r>
    </w:p>
    <w:p w14:paraId="492EB6F4">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法律变化引起的调整</w:t>
      </w:r>
      <w:r>
        <w:rPr>
          <w:rFonts w:hint="eastAsia" w:eastAsia="仿宋_GB2312"/>
          <w:color w:val="auto"/>
          <w:sz w:val="24"/>
          <w:szCs w:val="24"/>
          <w:highlight w:val="none"/>
        </w:rPr>
        <w:t>和</w:t>
      </w:r>
      <w:r>
        <w:rPr>
          <w:rFonts w:eastAsia="仿宋_GB2312"/>
          <w:color w:val="auto"/>
          <w:sz w:val="24"/>
          <w:szCs w:val="24"/>
          <w:highlight w:val="none"/>
        </w:rPr>
        <w:t>市场价格波动引起的调整</w:t>
      </w:r>
      <w:r>
        <w:rPr>
          <w:rFonts w:hint="eastAsia" w:eastAsia="仿宋_GB2312"/>
          <w:color w:val="auto"/>
          <w:sz w:val="24"/>
          <w:szCs w:val="24"/>
          <w:highlight w:val="none"/>
        </w:rPr>
        <w:t>按专用条款11条执行。</w:t>
      </w:r>
    </w:p>
    <w:p w14:paraId="04385C39">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2</w:t>
      </w:r>
      <w:r>
        <w:rPr>
          <w:rFonts w:hint="eastAsia" w:eastAsia="仿宋_GB2312"/>
          <w:color w:val="auto"/>
          <w:sz w:val="24"/>
          <w:szCs w:val="24"/>
          <w:highlight w:val="none"/>
        </w:rPr>
        <w:t>.</w:t>
      </w:r>
      <w:r>
        <w:rPr>
          <w:rFonts w:eastAsia="仿宋_GB2312"/>
          <w:color w:val="auto"/>
          <w:sz w:val="24"/>
          <w:szCs w:val="24"/>
          <w:highlight w:val="none"/>
        </w:rPr>
        <w:t>总价合同。</w:t>
      </w:r>
    </w:p>
    <w:p w14:paraId="16615092">
      <w:pPr>
        <w:spacing w:line="360" w:lineRule="auto"/>
        <w:ind w:firstLine="480" w:firstLineChars="200"/>
        <w:rPr>
          <w:rFonts w:hint="eastAsia" w:ascii="仿宋" w:hAnsi="仿宋" w:eastAsia="仿宋"/>
          <w:color w:val="auto"/>
          <w:sz w:val="22"/>
          <w:highlight w:val="none"/>
        </w:rPr>
      </w:pPr>
      <w:r>
        <w:rPr>
          <w:rFonts w:eastAsia="仿宋_GB2312"/>
          <w:color w:val="auto"/>
          <w:sz w:val="24"/>
          <w:szCs w:val="24"/>
          <w:highlight w:val="none"/>
        </w:rPr>
        <w:t>总价包含的风险范围：</w:t>
      </w:r>
      <w:r>
        <w:rPr>
          <w:rFonts w:hint="eastAsia" w:eastAsia="仿宋_GB2312"/>
          <w:color w:val="auto"/>
          <w:sz w:val="24"/>
          <w:szCs w:val="24"/>
          <w:highlight w:val="none"/>
        </w:rPr>
        <w:t>总价包干项目的合同价款视作已包括按图纸及技术条件执行该等工作所需的一切费用和利润。工程量清单内的项目和数量均为承包人的风险，其准确与否的风险由承包人承担，签约合同价不会因工程量清单的任何偏差及/或遗漏而调整。</w:t>
      </w:r>
    </w:p>
    <w:p w14:paraId="320C0C1F">
      <w:pPr>
        <w:spacing w:line="360" w:lineRule="auto"/>
        <w:ind w:firstLine="480" w:firstLineChars="200"/>
        <w:rPr>
          <w:rFonts w:ascii="仿宋" w:hAnsi="仿宋" w:eastAsia="仿宋"/>
          <w:color w:val="auto"/>
          <w:sz w:val="22"/>
          <w:highlight w:val="none"/>
        </w:rPr>
      </w:pPr>
      <w:r>
        <w:rPr>
          <w:rFonts w:eastAsia="仿宋_GB2312"/>
          <w:color w:val="auto"/>
          <w:sz w:val="24"/>
          <w:szCs w:val="24"/>
          <w:highlight w:val="none"/>
        </w:rPr>
        <w:t>风险费用的计算方法：</w:t>
      </w:r>
      <w:r>
        <w:rPr>
          <w:rFonts w:hint="eastAsia" w:eastAsia="仿宋_GB2312"/>
          <w:color w:val="auto"/>
          <w:sz w:val="24"/>
          <w:szCs w:val="24"/>
          <w:highlight w:val="none"/>
        </w:rPr>
        <w:t>市场价格波动\合同图纸、深化设计\技术要求与分部分项工程量清单的项目描述及数量的偏差等为承包人的风险，签约合同价不会因此而调整，但合同另有约定除外。</w:t>
      </w:r>
    </w:p>
    <w:p w14:paraId="7AE057B6">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风险范围以外合同价格的调整方法：</w:t>
      </w:r>
      <w:r>
        <w:rPr>
          <w:rFonts w:hint="eastAsia" w:eastAsia="仿宋_GB2312"/>
          <w:color w:val="auto"/>
          <w:sz w:val="24"/>
          <w:szCs w:val="24"/>
          <w:highlight w:val="none"/>
        </w:rPr>
        <w:t>任何经发包人批准的工程变更视作风险范围以外的工程变更，按合同约定的计价方式计算增减费用。</w:t>
      </w:r>
    </w:p>
    <w:p w14:paraId="45298479">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法律变化引起的调整</w:t>
      </w:r>
      <w:r>
        <w:rPr>
          <w:rFonts w:hint="eastAsia" w:eastAsia="仿宋_GB2312"/>
          <w:color w:val="auto"/>
          <w:sz w:val="24"/>
          <w:szCs w:val="24"/>
          <w:highlight w:val="none"/>
        </w:rPr>
        <w:t>和</w:t>
      </w:r>
      <w:r>
        <w:rPr>
          <w:rFonts w:eastAsia="仿宋_GB2312"/>
          <w:color w:val="auto"/>
          <w:sz w:val="24"/>
          <w:szCs w:val="24"/>
          <w:highlight w:val="none"/>
        </w:rPr>
        <w:t>市场价格波动引起的调整</w:t>
      </w:r>
      <w:r>
        <w:rPr>
          <w:rFonts w:hint="eastAsia" w:eastAsia="仿宋_GB2312"/>
          <w:color w:val="auto"/>
          <w:sz w:val="24"/>
          <w:szCs w:val="24"/>
          <w:highlight w:val="none"/>
        </w:rPr>
        <w:t>按专用条款11条执行。</w:t>
      </w:r>
    </w:p>
    <w:p w14:paraId="5DA02B5A">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3.本合同价格形式</w:t>
      </w:r>
      <w:r>
        <w:rPr>
          <w:rFonts w:eastAsia="仿宋_GB2312"/>
          <w:color w:val="auto"/>
          <w:sz w:val="24"/>
          <w:szCs w:val="24"/>
          <w:highlight w:val="none"/>
        </w:rPr>
        <w:t>。</w:t>
      </w:r>
    </w:p>
    <w:p w14:paraId="70E1A9D8">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w:t>
      </w:r>
      <w:r>
        <w:rPr>
          <w:rFonts w:hint="eastAsia" w:eastAsia="仿宋_GB2312"/>
          <w:color w:val="auto"/>
          <w:sz w:val="24"/>
          <w:szCs w:val="24"/>
          <w:highlight w:val="none"/>
          <w:u w:val="single"/>
        </w:rPr>
        <w:t xml:space="preserve">  </w:t>
      </w:r>
      <w:r>
        <w:rPr>
          <w:rFonts w:hint="eastAsia" w:eastAsia="仿宋_GB2312"/>
          <w:color w:val="auto"/>
          <w:sz w:val="24"/>
          <w:szCs w:val="24"/>
          <w:highlight w:val="none"/>
          <w:u w:val="single"/>
          <w:lang w:val="en-US" w:eastAsia="zh-CN"/>
        </w:rPr>
        <w:t>无</w:t>
      </w:r>
      <w:r>
        <w:rPr>
          <w:rFonts w:hint="eastAsia" w:eastAsia="仿宋_GB2312"/>
          <w:color w:val="auto"/>
          <w:sz w:val="24"/>
          <w:szCs w:val="24"/>
          <w:highlight w:val="none"/>
          <w:u w:val="single"/>
        </w:rPr>
        <w:t xml:space="preserve">  </w:t>
      </w:r>
      <w:r>
        <w:rPr>
          <w:rFonts w:hint="eastAsia" w:eastAsia="仿宋_GB2312"/>
          <w:color w:val="auto"/>
          <w:sz w:val="24"/>
          <w:szCs w:val="24"/>
          <w:highlight w:val="none"/>
        </w:rPr>
        <w:t>工程采用第12.1款第2条所述的总价合同形式。</w:t>
      </w:r>
    </w:p>
    <w:p w14:paraId="1BCC062C">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(2)本合同的</w:t>
      </w:r>
      <w:r>
        <w:rPr>
          <w:rFonts w:hint="eastAsia" w:eastAsia="仿宋_GB2312"/>
          <w:color w:val="auto"/>
          <w:sz w:val="24"/>
          <w:szCs w:val="24"/>
          <w:highlight w:val="none"/>
          <w:lang w:eastAsia="zh-CN"/>
        </w:rPr>
        <w:t>图纸范围内措施项目中的模板、其他措施费、安全文明施工费</w:t>
      </w:r>
      <w:r>
        <w:rPr>
          <w:rFonts w:hint="eastAsia" w:eastAsia="仿宋_GB2312"/>
          <w:color w:val="auto"/>
          <w:sz w:val="24"/>
          <w:szCs w:val="24"/>
          <w:highlight w:val="none"/>
        </w:rPr>
        <w:t>采用第12.1款第2条所述的总价合同形式，即为实施本工程所必须的措施项目及风险，均为包干使用，不因外部影响因素、赶工及任何措施项目增减、实施效果及技术方案变更、调整而调整，不因</w:t>
      </w:r>
      <w:r>
        <w:rPr>
          <w:rFonts w:eastAsia="仿宋_GB2312"/>
          <w:color w:val="auto"/>
          <w:sz w:val="24"/>
          <w:szCs w:val="24"/>
          <w:highlight w:val="none"/>
        </w:rPr>
        <w:t>工程量的增减</w:t>
      </w:r>
      <w:r>
        <w:rPr>
          <w:rFonts w:hint="eastAsia" w:eastAsia="仿宋_GB2312"/>
          <w:color w:val="auto"/>
          <w:sz w:val="24"/>
          <w:szCs w:val="24"/>
          <w:highlight w:val="none"/>
        </w:rPr>
        <w:t>、设计变更、现场签证等而</w:t>
      </w:r>
      <w:r>
        <w:rPr>
          <w:rFonts w:eastAsia="仿宋_GB2312"/>
          <w:color w:val="auto"/>
          <w:sz w:val="24"/>
          <w:szCs w:val="24"/>
          <w:highlight w:val="none"/>
        </w:rPr>
        <w:t>调整</w:t>
      </w:r>
      <w:r>
        <w:rPr>
          <w:rFonts w:hint="eastAsia" w:eastAsia="仿宋_GB2312"/>
          <w:color w:val="auto"/>
          <w:sz w:val="24"/>
          <w:szCs w:val="24"/>
          <w:highlight w:val="none"/>
        </w:rPr>
        <w:t>，无论日后实际所需的措施项目情况与承包人于投标的估计有多大出入或</w:t>
      </w:r>
      <w:r>
        <w:rPr>
          <w:rFonts w:eastAsia="仿宋_GB2312"/>
          <w:color w:val="auto"/>
          <w:sz w:val="24"/>
          <w:szCs w:val="24"/>
          <w:highlight w:val="none"/>
        </w:rPr>
        <w:t>承包人漏报、少报，发包人将视为此项费用已包含在其它费用之内而不另外增加，</w:t>
      </w:r>
      <w:r>
        <w:rPr>
          <w:rFonts w:hint="eastAsia" w:eastAsia="仿宋_GB2312"/>
          <w:color w:val="auto"/>
          <w:sz w:val="24"/>
          <w:szCs w:val="24"/>
          <w:highlight w:val="none"/>
        </w:rPr>
        <w:t>该部分价款均不会调整。</w:t>
      </w:r>
    </w:p>
    <w:p w14:paraId="196A757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(3)除第12.1款第3条 (1) (2)说明为总价合同形式的部分外，本合同的其他部分均为单价合同。</w:t>
      </w:r>
    </w:p>
    <w:p w14:paraId="4E8F3532">
      <w:pPr>
        <w:widowControl/>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(4)承包人应根据政府规定的有关收费标准，向公共资源交易中心缴纳本标段的招标交易服务费，所需费用包含在签约合同价中。</w:t>
      </w:r>
      <w:r>
        <w:rPr>
          <w:rFonts w:hint="eastAsia" w:ascii="Times New Roman" w:hAnsi="Times New Roman" w:eastAsia="仿宋_GB2312"/>
          <w:color w:val="auto"/>
          <w:sz w:val="24"/>
          <w:szCs w:val="24"/>
          <w:highlight w:val="none"/>
          <w:lang w:bidi="ar"/>
        </w:rPr>
        <w:t>由于暂估价专业工程引起的</w:t>
      </w:r>
      <w:r>
        <w:rPr>
          <w:rFonts w:hint="eastAsia" w:eastAsia="仿宋_GB2312"/>
          <w:color w:val="auto"/>
          <w:sz w:val="24"/>
          <w:szCs w:val="24"/>
          <w:highlight w:val="none"/>
        </w:rPr>
        <w:t>招标交易服务费也</w:t>
      </w:r>
      <w:r>
        <w:rPr>
          <w:rFonts w:hint="eastAsia" w:ascii="Times New Roman" w:hAnsi="Times New Roman" w:eastAsia="仿宋_GB2312"/>
          <w:color w:val="auto"/>
          <w:sz w:val="24"/>
          <w:szCs w:val="24"/>
          <w:highlight w:val="none"/>
          <w:lang w:bidi="ar"/>
        </w:rPr>
        <w:t>均已含在总报价中，承包人不再向发包人及各专业分包人进行收取。</w:t>
      </w:r>
    </w:p>
    <w:p w14:paraId="71E3D43C">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(5)除本条款约定外，合同</w:t>
      </w:r>
      <w:r>
        <w:rPr>
          <w:rFonts w:eastAsia="仿宋_GB2312"/>
          <w:color w:val="auto"/>
          <w:sz w:val="24"/>
          <w:szCs w:val="24"/>
          <w:highlight w:val="none"/>
        </w:rPr>
        <w:t>价格</w:t>
      </w:r>
      <w:r>
        <w:rPr>
          <w:rFonts w:hint="eastAsia" w:eastAsia="仿宋_GB2312"/>
          <w:color w:val="auto"/>
          <w:sz w:val="24"/>
          <w:szCs w:val="24"/>
          <w:highlight w:val="none"/>
        </w:rPr>
        <w:t>形式其他约定见工程量清单报价说明。</w:t>
      </w:r>
    </w:p>
    <w:p w14:paraId="0B0B7D10">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(6)</w:t>
      </w:r>
      <w:r>
        <w:rPr>
          <w:rFonts w:hint="eastAsia" w:ascii="Times New Roman" w:hAnsi="Times New Roman" w:eastAsia="仿宋_GB2312"/>
          <w:color w:val="auto"/>
          <w:sz w:val="24"/>
          <w:szCs w:val="24"/>
          <w:highlight w:val="none"/>
          <w:lang w:bidi="ar"/>
        </w:rPr>
        <w:t>暂估价专业工程</w:t>
      </w:r>
      <w:r>
        <w:rPr>
          <w:rFonts w:hint="eastAsia" w:eastAsia="仿宋_GB2312"/>
          <w:color w:val="auto"/>
          <w:sz w:val="24"/>
          <w:szCs w:val="24"/>
          <w:highlight w:val="none"/>
        </w:rPr>
        <w:t>合同</w:t>
      </w:r>
      <w:r>
        <w:rPr>
          <w:rFonts w:eastAsia="仿宋_GB2312"/>
          <w:color w:val="auto"/>
          <w:sz w:val="24"/>
          <w:szCs w:val="24"/>
          <w:highlight w:val="none"/>
        </w:rPr>
        <w:t>价格</w:t>
      </w:r>
      <w:r>
        <w:rPr>
          <w:rFonts w:hint="eastAsia" w:eastAsia="仿宋_GB2312"/>
          <w:color w:val="auto"/>
          <w:sz w:val="24"/>
          <w:szCs w:val="24"/>
          <w:highlight w:val="none"/>
        </w:rPr>
        <w:t>形式在相应专业工程合同中约定。</w:t>
      </w:r>
    </w:p>
    <w:p w14:paraId="2513255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12.1.4暂定价材料调整事宜 </w:t>
      </w:r>
    </w:p>
    <w:p w14:paraId="3E01F601">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按工程量清单项目中的“材料暂定价”与实际采购价之差计算材料差价，按下列公式调整该项目的清单单价：</w:t>
      </w:r>
    </w:p>
    <w:p w14:paraId="102DE080">
      <w:pPr>
        <w:autoSpaceDE w:val="0"/>
        <w:autoSpaceDN w:val="0"/>
        <w:adjustRightInd w:val="0"/>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Cn = Co +(Mn-Mo)×H</w:t>
      </w:r>
    </w:p>
    <w:p w14:paraId="56BBBEB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Cn  表示调整后的清单单价</w:t>
      </w:r>
    </w:p>
    <w:p w14:paraId="0297B188">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Co  表示原清单单价</w:t>
      </w:r>
    </w:p>
    <w:p w14:paraId="34CAB2F0">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Mn  表示材料实际采购不含税单价(若暂定单价说明含安装，实际采购单价亦包括安装费用)</w:t>
      </w:r>
    </w:p>
    <w:p w14:paraId="183A3BC2">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Mo  表示材料暂定不含税单价</w:t>
      </w:r>
    </w:p>
    <w:p w14:paraId="42ADEFC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H   表示材料消耗量（按广东省2018年定额相应消耗量计算）。</w:t>
      </w:r>
    </w:p>
    <w:p w14:paraId="366E0A74">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对于“暂估主材”项目，发包人有权选用以下三种方式之一进行采购和结算：</w:t>
      </w:r>
    </w:p>
    <w:p w14:paraId="19F13CA0">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a、方式一：由承包人负责向发包人推荐满足于暂定主材中的材料要求的供货单位(须厂家或供应商的资质、经营情况、业绩、产品情况及有关价格等)，报发包人审批确定供货单位及价格后，由承包人负责采购，该项材料设备的价差按合同相关条款的规定确定。</w:t>
      </w:r>
    </w:p>
    <w:p w14:paraId="27B3EF10">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b、方式二：由发包人负责对暂定主材中的材料设备直接确定供应单位及价格后，由承包人按发包人确定的价格与供货单位签订材料设备供应合同，该项材料设备的价差按合同相关条款的规定确定，所需有关相关的费用包括在签约合同价中；</w:t>
      </w:r>
    </w:p>
    <w:p w14:paraId="489880EF">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c、方式三：由发包人对暂估主材的材料设备直接确定供货单位和价格的材料设备后，由发包人与供货单位签订材料设备供应合同，供应给承包人。由发包人自行采购的材料设备，承包人结算时材料设备价按零计算，承包人应当负责施工或安装及保修工作，采保费按合同有关条款执行，其余因此增加费用已视为包含在签约合同价内。</w:t>
      </w:r>
    </w:p>
    <w:p w14:paraId="39B07846">
      <w:pPr>
        <w:spacing w:after="120" w:line="360" w:lineRule="auto"/>
        <w:ind w:firstLine="480" w:firstLineChars="200"/>
        <w:rPr>
          <w:rFonts w:eastAsia="黑体"/>
          <w:color w:val="auto"/>
          <w:sz w:val="24"/>
          <w:szCs w:val="24"/>
          <w:highlight w:val="none"/>
        </w:rPr>
      </w:pPr>
      <w:bookmarkStart w:id="886" w:name="_Toc300935004"/>
      <w:bookmarkStart w:id="887" w:name="_Toc297216213"/>
      <w:bookmarkStart w:id="888" w:name="_Toc304295581"/>
      <w:bookmarkStart w:id="889" w:name="_Toc312678042"/>
      <w:bookmarkStart w:id="890" w:name="_Toc297123554"/>
      <w:bookmarkStart w:id="891" w:name="_Toc303539161"/>
      <w:bookmarkStart w:id="892" w:name="_Toc296891035"/>
      <w:bookmarkStart w:id="893" w:name="_Toc296944546"/>
      <w:bookmarkStart w:id="894" w:name="_Toc297120507"/>
      <w:bookmarkStart w:id="895" w:name="_Toc296891247"/>
      <w:bookmarkStart w:id="896" w:name="_Toc296503207"/>
      <w:bookmarkStart w:id="897" w:name="_Toc292559412"/>
      <w:bookmarkStart w:id="898" w:name="_Toc297048393"/>
      <w:bookmarkStart w:id="899" w:name="_Toc296346708"/>
      <w:bookmarkStart w:id="900" w:name="_Toc292559917"/>
      <w:bookmarkStart w:id="901" w:name="_Toc296347206"/>
      <w:r>
        <w:rPr>
          <w:rFonts w:eastAsia="黑体"/>
          <w:color w:val="auto"/>
          <w:sz w:val="24"/>
          <w:szCs w:val="24"/>
          <w:highlight w:val="none"/>
        </w:rPr>
        <w:t>12.2 预付款</w:t>
      </w:r>
    </w:p>
    <w:bookmarkEnd w:id="886"/>
    <w:bookmarkEnd w:id="887"/>
    <w:bookmarkEnd w:id="888"/>
    <w:bookmarkEnd w:id="889"/>
    <w:bookmarkEnd w:id="890"/>
    <w:bookmarkEnd w:id="891"/>
    <w:p w14:paraId="573DFB06">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w:t>
      </w:r>
      <w:r>
        <w:rPr>
          <w:rFonts w:hint="eastAsia" w:eastAsia="仿宋_GB2312"/>
          <w:color w:val="auto"/>
          <w:sz w:val="24"/>
          <w:szCs w:val="24"/>
          <w:highlight w:val="none"/>
        </w:rPr>
        <w:t>2</w:t>
      </w:r>
      <w:r>
        <w:rPr>
          <w:rFonts w:eastAsia="仿宋_GB2312"/>
          <w:color w:val="auto"/>
          <w:sz w:val="24"/>
          <w:szCs w:val="24"/>
          <w:highlight w:val="none"/>
        </w:rPr>
        <w:t>.</w:t>
      </w:r>
      <w:r>
        <w:rPr>
          <w:rFonts w:hint="eastAsia" w:eastAsia="仿宋_GB2312"/>
          <w:color w:val="auto"/>
          <w:sz w:val="24"/>
          <w:szCs w:val="24"/>
          <w:highlight w:val="none"/>
        </w:rPr>
        <w:t>2.1不适用，替换为：</w:t>
      </w:r>
    </w:p>
    <w:p w14:paraId="26F9E672">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12.2</w:t>
      </w:r>
      <w:r>
        <w:rPr>
          <w:rFonts w:hint="eastAsia" w:eastAsia="仿宋_GB2312"/>
          <w:color w:val="auto"/>
          <w:sz w:val="24"/>
          <w:szCs w:val="24"/>
          <w:highlight w:val="none"/>
        </w:rPr>
        <w:t>.1</w:t>
      </w:r>
      <w:r>
        <w:rPr>
          <w:rFonts w:eastAsia="仿宋_GB2312"/>
          <w:color w:val="auto"/>
          <w:sz w:val="24"/>
          <w:szCs w:val="24"/>
          <w:highlight w:val="none"/>
        </w:rPr>
        <w:t xml:space="preserve"> 预付款</w:t>
      </w:r>
    </w:p>
    <w:p w14:paraId="1059CD79">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12.2.1 预付款的支付</w:t>
      </w:r>
    </w:p>
    <w:p w14:paraId="2F90906B">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12.2.1.</w:t>
      </w:r>
      <w:r>
        <w:rPr>
          <w:rFonts w:hint="eastAsia" w:eastAsia="仿宋_GB2312"/>
          <w:color w:val="auto"/>
          <w:sz w:val="24"/>
          <w:szCs w:val="24"/>
          <w:highlight w:val="none"/>
        </w:rPr>
        <w:t>1工程预付款以签约合同价净值（净值=签约合同价扣除</w:t>
      </w:r>
      <w:r>
        <w:rPr>
          <w:rFonts w:hint="eastAsia" w:eastAsia="仿宋_GB2312"/>
          <w:color w:val="auto"/>
          <w:sz w:val="24"/>
          <w:szCs w:val="24"/>
          <w:highlight w:val="none"/>
          <w:lang w:eastAsia="zh-CN"/>
        </w:rPr>
        <w:t>含税的</w:t>
      </w:r>
      <w:r>
        <w:rPr>
          <w:rFonts w:hint="eastAsia" w:eastAsia="仿宋_GB2312"/>
          <w:color w:val="auto"/>
          <w:sz w:val="24"/>
          <w:szCs w:val="24"/>
          <w:highlight w:val="none"/>
        </w:rPr>
        <w:t>甲供材料设备款（如有）、暂列金额、暂估价项目、总包配合服务费、安全文明施工措施费）为基数，安全文明施工措施费另行支付，工程预付款支付比例为签约合同价净值×10%。</w:t>
      </w:r>
    </w:p>
    <w:p w14:paraId="440F6D88">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12.2.1.2预付款支付期限</w:t>
      </w:r>
    </w:p>
    <w:p w14:paraId="5F5202D7">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支付程序：承包人在签订本合同后，按本合同要求向发包人提供等额预付款银行保函后，承包人向发包人提出预付款支付申请并抄送监理和造价工程师。监理和造价工程师在收到支付申请后按程序进行核实并将结果报发包人核定后，承包人向发包人发出支付证书。监理在签发支付证书，且承包人提供等额有效的工程款增值税专用发票后按发包人的支付流程向承包人支付预付款，并通知监理和造价工程师。</w:t>
      </w:r>
    </w:p>
    <w:p w14:paraId="3805833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12.2.1.3</w:t>
      </w:r>
      <w:r>
        <w:rPr>
          <w:rFonts w:eastAsia="仿宋_GB2312"/>
          <w:color w:val="auto"/>
          <w:sz w:val="24"/>
          <w:szCs w:val="24"/>
          <w:highlight w:val="none"/>
        </w:rPr>
        <w:t>预付款扣回的方式：</w:t>
      </w:r>
      <w:r>
        <w:rPr>
          <w:rFonts w:hint="eastAsia" w:eastAsia="仿宋_GB2312"/>
          <w:color w:val="auto"/>
          <w:sz w:val="24"/>
          <w:szCs w:val="24"/>
          <w:highlight w:val="none"/>
        </w:rPr>
        <w:t>预付款金额将以本合同范围第一次进度款支付节点为起点，随工程进度款按月分</w:t>
      </w:r>
      <w:r>
        <w:rPr>
          <w:rFonts w:eastAsia="仿宋_GB2312"/>
          <w:color w:val="auto"/>
          <w:sz w:val="24"/>
          <w:szCs w:val="24"/>
          <w:highlight w:val="none"/>
        </w:rPr>
        <w:t>2</w:t>
      </w:r>
      <w:r>
        <w:rPr>
          <w:rFonts w:hint="eastAsia" w:eastAsia="仿宋_GB2312"/>
          <w:color w:val="auto"/>
          <w:sz w:val="24"/>
          <w:szCs w:val="24"/>
          <w:highlight w:val="none"/>
        </w:rPr>
        <w:t>次等额扣回，当月进度款不足以扣回的，不足部分继续在下一月进度款中扣回。</w:t>
      </w:r>
    </w:p>
    <w:p w14:paraId="04F4319E">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12.2.2 预付款担保</w:t>
      </w:r>
    </w:p>
    <w:bookmarkEnd w:id="892"/>
    <w:bookmarkEnd w:id="893"/>
    <w:bookmarkEnd w:id="894"/>
    <w:bookmarkEnd w:id="895"/>
    <w:bookmarkEnd w:id="896"/>
    <w:bookmarkEnd w:id="897"/>
    <w:bookmarkEnd w:id="898"/>
    <w:bookmarkEnd w:id="899"/>
    <w:bookmarkEnd w:id="900"/>
    <w:bookmarkEnd w:id="901"/>
    <w:p w14:paraId="082E300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w:t>
      </w:r>
      <w:r>
        <w:rPr>
          <w:rFonts w:hint="eastAsia" w:eastAsia="仿宋_GB2312"/>
          <w:color w:val="auto"/>
          <w:sz w:val="24"/>
          <w:szCs w:val="24"/>
          <w:highlight w:val="none"/>
        </w:rPr>
        <w:t>2</w:t>
      </w:r>
      <w:r>
        <w:rPr>
          <w:rFonts w:eastAsia="仿宋_GB2312"/>
          <w:color w:val="auto"/>
          <w:sz w:val="24"/>
          <w:szCs w:val="24"/>
          <w:highlight w:val="none"/>
        </w:rPr>
        <w:t>.</w:t>
      </w:r>
      <w:r>
        <w:rPr>
          <w:rFonts w:hint="eastAsia" w:eastAsia="仿宋_GB2312"/>
          <w:color w:val="auto"/>
          <w:sz w:val="24"/>
          <w:szCs w:val="24"/>
          <w:highlight w:val="none"/>
        </w:rPr>
        <w:t>2.2不适用，替换为：</w:t>
      </w:r>
    </w:p>
    <w:p w14:paraId="5C939933">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12.2.2 预付款担保</w:t>
      </w:r>
    </w:p>
    <w:p w14:paraId="4952BE22">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12.2.2.1</w:t>
      </w:r>
      <w:r>
        <w:rPr>
          <w:rFonts w:hint="eastAsia" w:eastAsia="仿宋_GB2312"/>
          <w:color w:val="auto"/>
          <w:sz w:val="24"/>
          <w:szCs w:val="24"/>
          <w:highlight w:val="none"/>
        </w:rPr>
        <w:t>承包人应将预付款专用于实施本合同所需的施工机械、工程设备、材料及人员费用，并应向发包人、监理工程师提交发票和其他证明文件的副本以证明预付款确实专款专用。</w:t>
      </w:r>
    </w:p>
    <w:p w14:paraId="14DA5E44">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12.2.2.</w:t>
      </w:r>
      <w:r>
        <w:rPr>
          <w:rFonts w:hint="eastAsia" w:eastAsia="仿宋_GB2312"/>
          <w:color w:val="auto"/>
          <w:sz w:val="24"/>
          <w:szCs w:val="24"/>
          <w:highlight w:val="none"/>
        </w:rPr>
        <w:t>2</w:t>
      </w:r>
      <w:r>
        <w:rPr>
          <w:rFonts w:eastAsia="仿宋_GB2312"/>
          <w:color w:val="auto"/>
          <w:sz w:val="24"/>
          <w:szCs w:val="24"/>
          <w:highlight w:val="none"/>
        </w:rPr>
        <w:t>承包人应在发包人支付预付款7天前提供预付款担保</w:t>
      </w:r>
      <w:r>
        <w:rPr>
          <w:rFonts w:hint="eastAsia" w:eastAsia="仿宋_GB2312"/>
          <w:color w:val="auto"/>
          <w:sz w:val="24"/>
          <w:szCs w:val="24"/>
          <w:highlight w:val="none"/>
          <w:lang w:eastAsia="zh-CN"/>
        </w:rPr>
        <w:t>（担保金额为：</w:t>
      </w:r>
      <w:r>
        <w:rPr>
          <w:rFonts w:hint="eastAsia" w:eastAsia="仿宋_GB2312"/>
          <w:color w:val="auto"/>
          <w:sz w:val="24"/>
          <w:szCs w:val="24"/>
          <w:highlight w:val="none"/>
        </w:rPr>
        <w:t>签约合同价净值×10%</w:t>
      </w:r>
      <w:r>
        <w:rPr>
          <w:rFonts w:hint="eastAsia" w:eastAsia="仿宋_GB2312"/>
          <w:color w:val="auto"/>
          <w:sz w:val="24"/>
          <w:szCs w:val="24"/>
          <w:highlight w:val="none"/>
          <w:lang w:eastAsia="zh-CN"/>
        </w:rPr>
        <w:t>）</w:t>
      </w:r>
      <w:r>
        <w:rPr>
          <w:rFonts w:eastAsia="仿宋_GB2312"/>
          <w:color w:val="auto"/>
          <w:sz w:val="24"/>
          <w:szCs w:val="24"/>
          <w:highlight w:val="none"/>
        </w:rPr>
        <w:t>。预付款担保采用银行保函形式。在预付款完全扣回之前，承包人应保证预付款担保持续有效。</w:t>
      </w:r>
    </w:p>
    <w:p w14:paraId="5295348E">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发包人在工程款中逐期扣回预付款后，预付款担保额度应相应减少，但剩余的预付款担保金额不得低于未被扣回的预付款金额。</w:t>
      </w:r>
    </w:p>
    <w:p w14:paraId="68D7EB1E">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12.3 计量</w:t>
      </w:r>
    </w:p>
    <w:p w14:paraId="46824BF5">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12.3.1 计量原则</w:t>
      </w:r>
    </w:p>
    <w:p w14:paraId="09B4C068">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工程量计算规则：</w:t>
      </w:r>
      <w:r>
        <w:rPr>
          <w:rFonts w:hint="eastAsia" w:eastAsia="仿宋_GB2312"/>
          <w:color w:val="auto"/>
          <w:sz w:val="24"/>
          <w:szCs w:val="24"/>
          <w:highlight w:val="none"/>
        </w:rPr>
        <w:t>《建设工程工程量清单计价规范》及《工程量清单计价说明》。</w:t>
      </w:r>
    </w:p>
    <w:p w14:paraId="3F632820">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12.3.2 计量周期</w:t>
      </w:r>
    </w:p>
    <w:p w14:paraId="78A7DFD2">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关于计量周期的约定：</w:t>
      </w:r>
      <w:r>
        <w:rPr>
          <w:rFonts w:hint="eastAsia" w:eastAsia="仿宋_GB2312"/>
          <w:color w:val="auto"/>
          <w:sz w:val="24"/>
          <w:szCs w:val="24"/>
          <w:highlight w:val="none"/>
        </w:rPr>
        <w:t>上月21日至当月20日作为一个计量周期。</w:t>
      </w:r>
    </w:p>
    <w:p w14:paraId="28F2D026">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12.3.3 单价合同的计量</w:t>
      </w:r>
    </w:p>
    <w:p w14:paraId="78FC999A">
      <w:pPr>
        <w:spacing w:line="360" w:lineRule="auto"/>
        <w:ind w:firstLine="480" w:firstLineChars="200"/>
        <w:jc w:val="left"/>
        <w:rPr>
          <w:rFonts w:ascii="仿宋" w:hAnsi="仿宋" w:eastAsia="仿宋"/>
          <w:color w:val="auto"/>
          <w:sz w:val="22"/>
          <w:highlight w:val="none"/>
        </w:rPr>
      </w:pPr>
      <w:r>
        <w:rPr>
          <w:rFonts w:eastAsia="仿宋_GB2312"/>
          <w:color w:val="auto"/>
          <w:sz w:val="24"/>
          <w:szCs w:val="24"/>
          <w:highlight w:val="none"/>
        </w:rPr>
        <w:t>关于单价合同计量的约定：承包人应于每月25日向</w:t>
      </w:r>
      <w:r>
        <w:rPr>
          <w:rFonts w:hint="eastAsia" w:eastAsia="仿宋_GB2312"/>
          <w:color w:val="auto"/>
          <w:sz w:val="24"/>
          <w:szCs w:val="24"/>
          <w:highlight w:val="none"/>
        </w:rPr>
        <w:t>发包人</w:t>
      </w:r>
      <w:r>
        <w:rPr>
          <w:rFonts w:eastAsia="仿宋_GB2312"/>
          <w:color w:val="auto"/>
          <w:sz w:val="24"/>
          <w:szCs w:val="24"/>
          <w:highlight w:val="none"/>
        </w:rPr>
        <w:t>报送上月2</w:t>
      </w:r>
      <w:r>
        <w:rPr>
          <w:rFonts w:hint="eastAsia" w:eastAsia="仿宋_GB2312"/>
          <w:color w:val="auto"/>
          <w:sz w:val="24"/>
          <w:szCs w:val="24"/>
          <w:highlight w:val="none"/>
        </w:rPr>
        <w:t>1</w:t>
      </w:r>
      <w:r>
        <w:rPr>
          <w:rFonts w:eastAsia="仿宋_GB2312"/>
          <w:color w:val="auto"/>
          <w:sz w:val="24"/>
          <w:szCs w:val="24"/>
          <w:highlight w:val="none"/>
        </w:rPr>
        <w:t>日至当月</w:t>
      </w:r>
      <w:r>
        <w:rPr>
          <w:rFonts w:hint="eastAsia" w:eastAsia="仿宋_GB2312"/>
          <w:color w:val="auto"/>
          <w:sz w:val="24"/>
          <w:szCs w:val="24"/>
          <w:highlight w:val="none"/>
        </w:rPr>
        <w:t>20</w:t>
      </w:r>
      <w:r>
        <w:rPr>
          <w:rFonts w:eastAsia="仿宋_GB2312"/>
          <w:color w:val="auto"/>
          <w:sz w:val="24"/>
          <w:szCs w:val="24"/>
          <w:highlight w:val="none"/>
        </w:rPr>
        <w:t>日已完成的工程量报告</w:t>
      </w:r>
      <w:r>
        <w:rPr>
          <w:rFonts w:hint="eastAsia" w:eastAsia="仿宋_GB2312"/>
          <w:color w:val="auto"/>
          <w:sz w:val="24"/>
          <w:szCs w:val="24"/>
          <w:highlight w:val="none"/>
        </w:rPr>
        <w:t>并抄送监理人和造价工程师</w:t>
      </w:r>
      <w:r>
        <w:rPr>
          <w:rFonts w:eastAsia="仿宋_GB2312"/>
          <w:color w:val="auto"/>
          <w:sz w:val="24"/>
          <w:szCs w:val="24"/>
          <w:highlight w:val="none"/>
        </w:rPr>
        <w:t>，并附具进度付款申请单、已完成工程量报表和有关资料</w:t>
      </w:r>
      <w:r>
        <w:rPr>
          <w:rFonts w:hint="eastAsia" w:eastAsia="仿宋_GB2312"/>
          <w:color w:val="auto"/>
          <w:sz w:val="24"/>
          <w:szCs w:val="24"/>
          <w:highlight w:val="none"/>
        </w:rPr>
        <w:t>，有关支付管理按发包人要求执行</w:t>
      </w:r>
      <w:r>
        <w:rPr>
          <w:rFonts w:eastAsia="仿宋_GB2312"/>
          <w:color w:val="auto"/>
          <w:sz w:val="24"/>
          <w:szCs w:val="24"/>
          <w:highlight w:val="none"/>
        </w:rPr>
        <w:t>。</w:t>
      </w:r>
    </w:p>
    <w:p w14:paraId="7CC0A5BA">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12.3.4 总价合同的计量</w:t>
      </w:r>
    </w:p>
    <w:p w14:paraId="6AA01333">
      <w:pPr>
        <w:spacing w:line="360" w:lineRule="auto"/>
        <w:ind w:firstLine="480" w:firstLineChars="200"/>
        <w:jc w:val="left"/>
        <w:rPr>
          <w:rFonts w:hint="eastAsia" w:ascii="仿宋" w:hAnsi="仿宋" w:eastAsia="仿宋"/>
          <w:color w:val="auto"/>
          <w:sz w:val="22"/>
          <w:highlight w:val="none"/>
        </w:rPr>
      </w:pPr>
      <w:r>
        <w:rPr>
          <w:rFonts w:eastAsia="仿宋_GB2312"/>
          <w:color w:val="auto"/>
          <w:sz w:val="24"/>
          <w:szCs w:val="24"/>
          <w:highlight w:val="none"/>
        </w:rPr>
        <w:t>关于总价合同计量的约定：承包人应于每月25日向</w:t>
      </w:r>
      <w:r>
        <w:rPr>
          <w:rFonts w:hint="eastAsia" w:eastAsia="仿宋_GB2312"/>
          <w:color w:val="auto"/>
          <w:sz w:val="24"/>
          <w:szCs w:val="24"/>
          <w:highlight w:val="none"/>
        </w:rPr>
        <w:t>发包人</w:t>
      </w:r>
      <w:r>
        <w:rPr>
          <w:rFonts w:eastAsia="仿宋_GB2312"/>
          <w:color w:val="auto"/>
          <w:sz w:val="24"/>
          <w:szCs w:val="24"/>
          <w:highlight w:val="none"/>
        </w:rPr>
        <w:t>报送上月2</w:t>
      </w:r>
      <w:r>
        <w:rPr>
          <w:rFonts w:hint="eastAsia" w:eastAsia="仿宋_GB2312"/>
          <w:color w:val="auto"/>
          <w:sz w:val="24"/>
          <w:szCs w:val="24"/>
          <w:highlight w:val="none"/>
        </w:rPr>
        <w:t>1</w:t>
      </w:r>
      <w:r>
        <w:rPr>
          <w:rFonts w:eastAsia="仿宋_GB2312"/>
          <w:color w:val="auto"/>
          <w:sz w:val="24"/>
          <w:szCs w:val="24"/>
          <w:highlight w:val="none"/>
        </w:rPr>
        <w:t>日至当月</w:t>
      </w:r>
      <w:r>
        <w:rPr>
          <w:rFonts w:hint="eastAsia" w:eastAsia="仿宋_GB2312"/>
          <w:color w:val="auto"/>
          <w:sz w:val="24"/>
          <w:szCs w:val="24"/>
          <w:highlight w:val="none"/>
        </w:rPr>
        <w:t>20</w:t>
      </w:r>
      <w:r>
        <w:rPr>
          <w:rFonts w:eastAsia="仿宋_GB2312"/>
          <w:color w:val="auto"/>
          <w:sz w:val="24"/>
          <w:szCs w:val="24"/>
          <w:highlight w:val="none"/>
        </w:rPr>
        <w:t>日已完成的工程量报告</w:t>
      </w:r>
      <w:r>
        <w:rPr>
          <w:rFonts w:hint="eastAsia" w:eastAsia="仿宋_GB2312"/>
          <w:color w:val="auto"/>
          <w:sz w:val="24"/>
          <w:szCs w:val="24"/>
          <w:highlight w:val="none"/>
        </w:rPr>
        <w:t>并抄送监理人和造价工程师</w:t>
      </w:r>
      <w:r>
        <w:rPr>
          <w:rFonts w:eastAsia="仿宋_GB2312"/>
          <w:color w:val="auto"/>
          <w:sz w:val="24"/>
          <w:szCs w:val="24"/>
          <w:highlight w:val="none"/>
        </w:rPr>
        <w:t>，并附具进度付款申请单、已完成工程量报表和有关资料</w:t>
      </w:r>
      <w:r>
        <w:rPr>
          <w:rFonts w:hint="eastAsia" w:eastAsia="仿宋_GB2312"/>
          <w:color w:val="auto"/>
          <w:sz w:val="24"/>
          <w:szCs w:val="24"/>
          <w:highlight w:val="none"/>
        </w:rPr>
        <w:t>，有关支付管理按发包人要求执行</w:t>
      </w:r>
      <w:r>
        <w:rPr>
          <w:rFonts w:eastAsia="仿宋_GB2312"/>
          <w:color w:val="auto"/>
          <w:sz w:val="24"/>
          <w:szCs w:val="24"/>
          <w:highlight w:val="none"/>
        </w:rPr>
        <w:t>。</w:t>
      </w:r>
    </w:p>
    <w:p w14:paraId="1E3FDB41">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12.3.5总价合同采用支付分解表计量支付的，是否适用第</w:t>
      </w:r>
      <w:r>
        <w:rPr>
          <w:rFonts w:eastAsia="仿宋_GB2312"/>
          <w:color w:val="auto"/>
          <w:kern w:val="0"/>
          <w:sz w:val="24"/>
          <w:szCs w:val="24"/>
          <w:highlight w:val="none"/>
        </w:rPr>
        <w:t xml:space="preserve">12.3.4 </w:t>
      </w:r>
      <w:r>
        <w:rPr>
          <w:rFonts w:eastAsia="仿宋_GB2312"/>
          <w:color w:val="auto"/>
          <w:sz w:val="24"/>
          <w:szCs w:val="24"/>
          <w:highlight w:val="none"/>
        </w:rPr>
        <w:t>项</w:t>
      </w:r>
      <w:r>
        <w:rPr>
          <w:rFonts w:hint="eastAsia" w:eastAsia="仿宋_GB2312"/>
          <w:color w:val="auto"/>
          <w:kern w:val="0"/>
          <w:sz w:val="24"/>
          <w:szCs w:val="24"/>
          <w:highlight w:val="none"/>
        </w:rPr>
        <w:t>〔</w:t>
      </w:r>
      <w:r>
        <w:rPr>
          <w:rFonts w:eastAsia="仿宋_GB2312"/>
          <w:color w:val="auto"/>
          <w:kern w:val="0"/>
          <w:sz w:val="24"/>
          <w:szCs w:val="24"/>
          <w:highlight w:val="none"/>
        </w:rPr>
        <w:t>总价合同的计量</w:t>
      </w:r>
      <w:r>
        <w:rPr>
          <w:rFonts w:hint="eastAsia" w:eastAsia="仿宋_GB2312"/>
          <w:color w:val="auto"/>
          <w:kern w:val="0"/>
          <w:sz w:val="24"/>
          <w:szCs w:val="24"/>
          <w:highlight w:val="none"/>
        </w:rPr>
        <w:t>〕</w:t>
      </w:r>
      <w:r>
        <w:rPr>
          <w:rFonts w:eastAsia="仿宋_GB2312"/>
          <w:color w:val="auto"/>
          <w:sz w:val="24"/>
          <w:szCs w:val="24"/>
          <w:highlight w:val="none"/>
        </w:rPr>
        <w:t>约定</w:t>
      </w:r>
      <w:r>
        <w:rPr>
          <w:rFonts w:hint="eastAsia" w:eastAsia="仿宋_GB2312"/>
          <w:color w:val="auto"/>
          <w:sz w:val="24"/>
          <w:szCs w:val="24"/>
          <w:highlight w:val="none"/>
        </w:rPr>
        <w:t>进行计量：</w:t>
      </w:r>
      <w:r>
        <w:rPr>
          <w:rFonts w:hint="eastAsia" w:eastAsia="仿宋_GB2312"/>
          <w:color w:val="auto"/>
          <w:sz w:val="24"/>
          <w:szCs w:val="24"/>
          <w:highlight w:val="none"/>
          <w:u w:val="single"/>
        </w:rPr>
        <w:t xml:space="preserve">不适用 </w:t>
      </w:r>
      <w:r>
        <w:rPr>
          <w:rFonts w:eastAsia="仿宋_GB2312"/>
          <w:color w:val="auto"/>
          <w:sz w:val="24"/>
          <w:szCs w:val="24"/>
          <w:highlight w:val="none"/>
          <w:u w:val="single"/>
        </w:rPr>
        <w:t>。</w:t>
      </w:r>
    </w:p>
    <w:p w14:paraId="69E2ABB1">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12.3.6 其他价格形式合同的计量</w:t>
      </w:r>
    </w:p>
    <w:p w14:paraId="221E66AE">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其他价格形式的计量方式和程序：</w:t>
      </w:r>
      <w:r>
        <w:rPr>
          <w:rFonts w:hint="eastAsia" w:eastAsia="仿宋_GB2312"/>
          <w:color w:val="auto"/>
          <w:sz w:val="24"/>
          <w:szCs w:val="24"/>
          <w:highlight w:val="none"/>
          <w:u w:val="single"/>
        </w:rPr>
        <w:t xml:space="preserve"> 无 </w:t>
      </w:r>
      <w:r>
        <w:rPr>
          <w:rFonts w:eastAsia="仿宋_GB2312"/>
          <w:color w:val="auto"/>
          <w:sz w:val="24"/>
          <w:szCs w:val="24"/>
          <w:highlight w:val="none"/>
        </w:rPr>
        <w:t>。</w:t>
      </w:r>
    </w:p>
    <w:p w14:paraId="50372FE9">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12.4 工程进度款支付</w:t>
      </w:r>
    </w:p>
    <w:p w14:paraId="1C9703B6">
      <w:pPr>
        <w:spacing w:line="360" w:lineRule="auto"/>
        <w:ind w:firstLine="480" w:firstLineChars="200"/>
        <w:jc w:val="left"/>
        <w:rPr>
          <w:rFonts w:eastAsia="仿宋_GB2312"/>
          <w:color w:val="auto"/>
          <w:sz w:val="24"/>
          <w:szCs w:val="24"/>
          <w:highlight w:val="none"/>
        </w:rPr>
      </w:pPr>
      <w:bookmarkStart w:id="902" w:name="_Toc296891251"/>
      <w:bookmarkStart w:id="903" w:name="_Toc296346712"/>
      <w:bookmarkStart w:id="904" w:name="_Toc296944550"/>
      <w:bookmarkStart w:id="905" w:name="_Toc296891039"/>
      <w:bookmarkStart w:id="906" w:name="_Toc292559416"/>
      <w:bookmarkStart w:id="907" w:name="_Toc297120511"/>
      <w:bookmarkStart w:id="908" w:name="_Toc296503211"/>
      <w:bookmarkStart w:id="909" w:name="_Toc300935006"/>
      <w:bookmarkStart w:id="910" w:name="_Toc292559921"/>
      <w:bookmarkStart w:id="911" w:name="_Toc297216215"/>
      <w:bookmarkStart w:id="912" w:name="_Toc296347210"/>
      <w:bookmarkStart w:id="913" w:name="_Toc303539163"/>
      <w:bookmarkStart w:id="914" w:name="_Toc297048397"/>
      <w:bookmarkStart w:id="915" w:name="_Toc297123556"/>
      <w:r>
        <w:rPr>
          <w:rFonts w:eastAsia="仿宋_GB2312"/>
          <w:color w:val="auto"/>
          <w:sz w:val="24"/>
          <w:szCs w:val="24"/>
          <w:highlight w:val="none"/>
        </w:rPr>
        <w:t>12.4.1 付款周期</w:t>
      </w:r>
    </w:p>
    <w:p w14:paraId="38A3D38C">
      <w:pPr>
        <w:spacing w:line="360" w:lineRule="auto"/>
        <w:ind w:firstLine="480" w:firstLineChars="200"/>
        <w:jc w:val="left"/>
        <w:rPr>
          <w:rFonts w:eastAsia="仿宋_GB2312"/>
          <w:color w:val="auto"/>
          <w:sz w:val="24"/>
          <w:szCs w:val="24"/>
          <w:highlight w:val="none"/>
          <w:u w:val="single"/>
        </w:rPr>
      </w:pPr>
      <w:r>
        <w:rPr>
          <w:rFonts w:eastAsia="仿宋_GB2312"/>
          <w:color w:val="auto"/>
          <w:sz w:val="24"/>
          <w:szCs w:val="24"/>
          <w:highlight w:val="none"/>
        </w:rPr>
        <w:t>关于付款周期的约定：</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上月21日至当月20日作为一个</w:t>
      </w:r>
      <w:r>
        <w:rPr>
          <w:rFonts w:eastAsia="仿宋_GB2312"/>
          <w:color w:val="auto"/>
          <w:sz w:val="24"/>
          <w:szCs w:val="24"/>
          <w:highlight w:val="none"/>
          <w:u w:val="single"/>
        </w:rPr>
        <w:t>付款周期。</w:t>
      </w:r>
    </w:p>
    <w:p w14:paraId="10A1757C">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12.4.2 进度付款申请单的编制</w:t>
      </w:r>
    </w:p>
    <w:p w14:paraId="387006F4">
      <w:pPr>
        <w:spacing w:line="360" w:lineRule="auto"/>
        <w:ind w:firstLine="480" w:firstLineChars="200"/>
        <w:jc w:val="left"/>
        <w:rPr>
          <w:rFonts w:hint="eastAsia" w:eastAsia="仿宋_GB2312"/>
          <w:color w:val="auto"/>
          <w:sz w:val="24"/>
          <w:szCs w:val="24"/>
          <w:highlight w:val="none"/>
          <w:u w:val="single"/>
        </w:rPr>
      </w:pPr>
      <w:r>
        <w:rPr>
          <w:rFonts w:eastAsia="仿宋_GB2312"/>
          <w:color w:val="auto"/>
          <w:sz w:val="24"/>
          <w:szCs w:val="24"/>
          <w:highlight w:val="none"/>
        </w:rPr>
        <w:t>关于进度付款申请单编制的约定：</w:t>
      </w:r>
      <w:r>
        <w:rPr>
          <w:rFonts w:hint="eastAsia" w:eastAsia="仿宋_GB2312"/>
          <w:color w:val="auto"/>
          <w:sz w:val="24"/>
          <w:szCs w:val="24"/>
          <w:highlight w:val="none"/>
          <w:u w:val="single"/>
        </w:rPr>
        <w:t>承包人支付申请的内容包括不限于：</w:t>
      </w:r>
    </w:p>
    <w:p w14:paraId="5377D41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A－累计已完工程的价款；</w:t>
      </w:r>
    </w:p>
    <w:p w14:paraId="3147F57B">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B－累计已实际支付的工程价款；</w:t>
      </w:r>
    </w:p>
    <w:p w14:paraId="412F848D">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C－本期间完成工程价款；</w:t>
      </w:r>
    </w:p>
    <w:p w14:paraId="07B2A30B">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D－本期间完成的零星工作项目价款；</w:t>
      </w:r>
    </w:p>
    <w:p w14:paraId="2F3D6DF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E－本期间应支付的预留金价款；</w:t>
      </w:r>
    </w:p>
    <w:p w14:paraId="1F8691B4">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F－本期间应扣除的误期赔偿费；</w:t>
      </w:r>
    </w:p>
    <w:p w14:paraId="658D760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G－本期间应支付的变更价款；</w:t>
      </w:r>
    </w:p>
    <w:p w14:paraId="57FE425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H－本期间应扣回的预付款；</w:t>
      </w:r>
    </w:p>
    <w:p w14:paraId="16B1DC53">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I</w:t>
      </w:r>
      <w:r>
        <w:rPr>
          <w:rFonts w:hint="eastAsia" w:eastAsia="仿宋_GB2312"/>
          <w:color w:val="auto"/>
          <w:sz w:val="24"/>
          <w:szCs w:val="24"/>
          <w:highlight w:val="none"/>
        </w:rPr>
        <w:t>－本期间应支付的安全防护、文明施工措施费；</w:t>
      </w:r>
    </w:p>
    <w:p w14:paraId="68FE3A04">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K－根据合同规定，本期间应支付或扣留（扣回）的其它款项；</w:t>
      </w:r>
    </w:p>
    <w:p w14:paraId="4D70CED7">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L－按照合同本期间应扣留的质量保证金；</w:t>
      </w:r>
    </w:p>
    <w:p w14:paraId="30AC1912">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M－根据本合同第11条规定价款的调整；</w:t>
      </w:r>
    </w:p>
    <w:p w14:paraId="462FA8E5">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N-发包人要求的其他证明资料，包括但不限于：商品混凝土供应单位、各分包工程、主要材料、人工工资已按期支付的证明材料等；</w:t>
      </w:r>
    </w:p>
    <w:p w14:paraId="2A32D49D">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O- 本期间应支付的工程价款。</w:t>
      </w:r>
    </w:p>
    <w:p w14:paraId="13FF85E0">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Pr>
          <w:rFonts w:eastAsia="仿宋_GB2312"/>
          <w:color w:val="auto"/>
          <w:sz w:val="24"/>
          <w:szCs w:val="24"/>
          <w:highlight w:val="none"/>
        </w:rPr>
        <w:t>2.4.3 进度付款申请单的提交</w:t>
      </w:r>
    </w:p>
    <w:p w14:paraId="05852D77">
      <w:pPr>
        <w:spacing w:line="360" w:lineRule="auto"/>
        <w:ind w:firstLine="480" w:firstLineChars="200"/>
        <w:rPr>
          <w:rFonts w:eastAsia="仿宋_GB2312"/>
          <w:color w:val="auto"/>
          <w:sz w:val="24"/>
          <w:szCs w:val="24"/>
          <w:highlight w:val="none"/>
          <w:u w:val="single"/>
        </w:rPr>
      </w:pPr>
      <w:r>
        <w:rPr>
          <w:rFonts w:eastAsia="仿宋_GB2312"/>
          <w:color w:val="auto"/>
          <w:sz w:val="24"/>
          <w:szCs w:val="24"/>
          <w:highlight w:val="none"/>
        </w:rPr>
        <w:t>（1）单价合同进度付款申请单提交的约定</w:t>
      </w:r>
      <w:r>
        <w:rPr>
          <w:rFonts w:hint="eastAsia" w:eastAsia="仿宋_GB2312"/>
          <w:color w:val="auto"/>
          <w:sz w:val="24"/>
          <w:szCs w:val="24"/>
          <w:highlight w:val="none"/>
        </w:rPr>
        <w:t>：</w:t>
      </w:r>
      <w:r>
        <w:rPr>
          <w:rFonts w:hint="eastAsia" w:eastAsia="仿宋_GB2312"/>
          <w:color w:val="auto"/>
          <w:sz w:val="24"/>
          <w:szCs w:val="24"/>
          <w:highlight w:val="none"/>
          <w:u w:val="single"/>
        </w:rPr>
        <w:t>承包人按专用条款12.3.3约定的时间向发包人提交</w:t>
      </w:r>
      <w:r>
        <w:rPr>
          <w:rFonts w:eastAsia="仿宋_GB2312"/>
          <w:color w:val="auto"/>
          <w:sz w:val="24"/>
          <w:szCs w:val="24"/>
          <w:highlight w:val="none"/>
          <w:u w:val="single"/>
        </w:rPr>
        <w:t>进度付款申请单</w:t>
      </w:r>
      <w:r>
        <w:rPr>
          <w:rFonts w:hint="eastAsia" w:eastAsia="仿宋_GB2312"/>
          <w:color w:val="auto"/>
          <w:sz w:val="24"/>
          <w:szCs w:val="24"/>
          <w:highlight w:val="none"/>
          <w:u w:val="single"/>
        </w:rPr>
        <w:t>并抄送监理人和造价工程师，并详细说明此支付期间自己认为有权获得的款额，包括分包人、指定分包人已完工程的价款，并附上工程量报表和专用条款</w:t>
      </w:r>
      <w:r>
        <w:rPr>
          <w:rFonts w:eastAsia="仿宋_GB2312"/>
          <w:color w:val="auto"/>
          <w:sz w:val="24"/>
          <w:szCs w:val="24"/>
          <w:highlight w:val="none"/>
          <w:u w:val="single"/>
        </w:rPr>
        <w:t>12.4.2</w:t>
      </w:r>
      <w:r>
        <w:rPr>
          <w:rFonts w:hint="eastAsia" w:eastAsia="仿宋_GB2312"/>
          <w:color w:val="auto"/>
          <w:sz w:val="24"/>
          <w:szCs w:val="24"/>
          <w:highlight w:val="none"/>
          <w:u w:val="single"/>
        </w:rPr>
        <w:t>约定的资料</w:t>
      </w:r>
      <w:r>
        <w:rPr>
          <w:rFonts w:eastAsia="仿宋_GB2312"/>
          <w:color w:val="auto"/>
          <w:sz w:val="24"/>
          <w:szCs w:val="24"/>
          <w:highlight w:val="none"/>
          <w:u w:val="single"/>
        </w:rPr>
        <w:t>。</w:t>
      </w:r>
    </w:p>
    <w:p w14:paraId="3943021F">
      <w:pPr>
        <w:spacing w:line="360" w:lineRule="auto"/>
        <w:ind w:firstLine="480" w:firstLineChars="200"/>
        <w:rPr>
          <w:rFonts w:eastAsia="仿宋_GB2312"/>
          <w:color w:val="auto"/>
          <w:sz w:val="24"/>
          <w:szCs w:val="24"/>
          <w:highlight w:val="none"/>
          <w:u w:val="single"/>
        </w:rPr>
      </w:pPr>
      <w:r>
        <w:rPr>
          <w:rFonts w:eastAsia="仿宋_GB2312"/>
          <w:color w:val="auto"/>
          <w:sz w:val="24"/>
          <w:szCs w:val="24"/>
          <w:highlight w:val="none"/>
        </w:rPr>
        <w:t>（2）总价合同进度付款申请单提交的约定</w:t>
      </w:r>
      <w:r>
        <w:rPr>
          <w:rFonts w:hint="eastAsia" w:eastAsia="仿宋_GB2312"/>
          <w:color w:val="auto"/>
          <w:sz w:val="24"/>
          <w:szCs w:val="24"/>
          <w:highlight w:val="none"/>
        </w:rPr>
        <w:t>：</w:t>
      </w:r>
      <w:r>
        <w:rPr>
          <w:rFonts w:hint="eastAsia" w:eastAsia="仿宋_GB2312"/>
          <w:color w:val="auto"/>
          <w:sz w:val="24"/>
          <w:szCs w:val="24"/>
          <w:highlight w:val="none"/>
          <w:u w:val="single"/>
        </w:rPr>
        <w:t>承包人按专用条款12.3.4约定的时间向发包人提交</w:t>
      </w:r>
      <w:r>
        <w:rPr>
          <w:rFonts w:eastAsia="仿宋_GB2312"/>
          <w:color w:val="auto"/>
          <w:sz w:val="24"/>
          <w:szCs w:val="24"/>
          <w:highlight w:val="none"/>
          <w:u w:val="single"/>
        </w:rPr>
        <w:t>进度付款申请单</w:t>
      </w:r>
      <w:r>
        <w:rPr>
          <w:rFonts w:hint="eastAsia" w:eastAsia="仿宋_GB2312"/>
          <w:color w:val="auto"/>
          <w:sz w:val="24"/>
          <w:szCs w:val="24"/>
          <w:highlight w:val="none"/>
          <w:u w:val="single"/>
        </w:rPr>
        <w:t>并抄送监理人和造价工程师，并详细说明此支付期间自己认为有权获得的款额，包括分包人、指定分包人已完工程的价款，并附上工程量报表和专用条款</w:t>
      </w:r>
      <w:r>
        <w:rPr>
          <w:rFonts w:eastAsia="仿宋_GB2312"/>
          <w:color w:val="auto"/>
          <w:sz w:val="24"/>
          <w:szCs w:val="24"/>
          <w:highlight w:val="none"/>
          <w:u w:val="single"/>
        </w:rPr>
        <w:t>12.4.2</w:t>
      </w:r>
      <w:r>
        <w:rPr>
          <w:rFonts w:hint="eastAsia" w:eastAsia="仿宋_GB2312"/>
          <w:color w:val="auto"/>
          <w:sz w:val="24"/>
          <w:szCs w:val="24"/>
          <w:highlight w:val="none"/>
          <w:u w:val="single"/>
        </w:rPr>
        <w:t>约定的资料</w:t>
      </w:r>
      <w:r>
        <w:rPr>
          <w:rFonts w:eastAsia="仿宋_GB2312"/>
          <w:color w:val="auto"/>
          <w:sz w:val="24"/>
          <w:szCs w:val="24"/>
          <w:highlight w:val="none"/>
          <w:u w:val="single"/>
        </w:rPr>
        <w:t>。</w:t>
      </w:r>
    </w:p>
    <w:p w14:paraId="22C057B8">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（3）其他价格形式合同进度付款申请单提交的约定：</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无</w:t>
      </w:r>
      <w:r>
        <w:rPr>
          <w:rFonts w:eastAsia="仿宋_GB2312"/>
          <w:color w:val="auto"/>
          <w:sz w:val="24"/>
          <w:szCs w:val="24"/>
          <w:highlight w:val="none"/>
          <w:u w:val="single"/>
        </w:rPr>
        <w:t xml:space="preserve">   </w:t>
      </w:r>
      <w:r>
        <w:rPr>
          <w:rFonts w:eastAsia="仿宋_GB2312"/>
          <w:color w:val="auto"/>
          <w:sz w:val="24"/>
          <w:szCs w:val="24"/>
          <w:highlight w:val="none"/>
        </w:rPr>
        <w:t>。</w:t>
      </w:r>
    </w:p>
    <w:p w14:paraId="76ACD7F9">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12.4.4 进度款审核和支付</w:t>
      </w:r>
    </w:p>
    <w:p w14:paraId="07A61261">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w:t>
      </w:r>
      <w:r>
        <w:rPr>
          <w:rFonts w:hint="eastAsia" w:eastAsia="仿宋_GB2312"/>
          <w:color w:val="auto"/>
          <w:sz w:val="24"/>
          <w:szCs w:val="24"/>
          <w:highlight w:val="none"/>
        </w:rPr>
        <w:t>2</w:t>
      </w:r>
      <w:r>
        <w:rPr>
          <w:rFonts w:eastAsia="仿宋_GB2312"/>
          <w:color w:val="auto"/>
          <w:sz w:val="24"/>
          <w:szCs w:val="24"/>
          <w:highlight w:val="none"/>
        </w:rPr>
        <w:t>.</w:t>
      </w:r>
      <w:r>
        <w:rPr>
          <w:rFonts w:hint="eastAsia" w:eastAsia="仿宋_GB2312"/>
          <w:color w:val="auto"/>
          <w:sz w:val="24"/>
          <w:szCs w:val="24"/>
          <w:highlight w:val="none"/>
        </w:rPr>
        <w:t>4.4不适用，替换为：</w:t>
      </w:r>
    </w:p>
    <w:p w14:paraId="2C6BA006">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12.4.4 进度款审核和支付</w:t>
      </w:r>
    </w:p>
    <w:p w14:paraId="1415347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12.4.4.1</w:t>
      </w:r>
      <w:r>
        <w:rPr>
          <w:rFonts w:eastAsia="仿宋_GB2312"/>
          <w:color w:val="auto"/>
          <w:sz w:val="24"/>
          <w:szCs w:val="24"/>
          <w:highlight w:val="none"/>
        </w:rPr>
        <w:t>监理人应在收到承包人进度付款申请单以及相关资料后完成审查并报送发包人</w:t>
      </w:r>
      <w:r>
        <w:rPr>
          <w:rFonts w:hint="eastAsia" w:eastAsia="仿宋_GB2312"/>
          <w:color w:val="auto"/>
          <w:sz w:val="24"/>
          <w:szCs w:val="24"/>
          <w:highlight w:val="none"/>
        </w:rPr>
        <w:t>;造价工程师在收到上述资料后，应按本合同的规定进行计量，并根据计量结果和合同约定对资料内容予以核实。造价工程师和监理工程师如认为承包人提交的资料欠周详，应于收到报告后的2天内要求承包人提供合规凭证，承包人应于合理时间内提供，造价工程师和监理工程师核实进度款的时限相应顺延。由于承包人未能及时提供合规凭证而产生的一切后果，均由承包人承担。造价工程师应在收到完整的进度款支付申请资料后完成审核并并报送发包人，发包人应在收到后审核并出具审核意见。发包人审核完成后按发包人支付管理规定向承包人支付进度款，同时通知造价工程师、监理工程师。进度款的支付具体约定如下：</w:t>
      </w:r>
    </w:p>
    <w:p w14:paraId="64D3A17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（1）分部分项清单进度款</w:t>
      </w:r>
    </w:p>
    <w:p w14:paraId="534057D1">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1）每月按已核实的累计工程完成值的80%减去应扣预付款和之前已支付的款项后支付余款。</w:t>
      </w:r>
    </w:p>
    <w:p w14:paraId="4256ACA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2）经发包人及监理确认工程完工，提交工程质量竣工验收监督所需材料（如：工程质量验收监督记录表）并通过现场验收后，支付不超合同价(扣除含税暂列金)的80%（最终以发包人审批为准）；</w:t>
      </w:r>
    </w:p>
    <w:p w14:paraId="614E0C09">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3）工程通过竣工验收备案后，支付不超合同价(扣除含税暂列金)的85%；</w:t>
      </w:r>
    </w:p>
    <w:p w14:paraId="198EBC08">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4）签署双方确认的结算书后，支付至结算总价的97% ，余款3%为质量保证金。</w:t>
      </w:r>
    </w:p>
    <w:p w14:paraId="7F40A827">
      <w:pPr>
        <w:spacing w:line="360" w:lineRule="auto"/>
        <w:ind w:firstLine="480" w:firstLineChars="200"/>
        <w:rPr>
          <w:rFonts w:hint="eastAsia" w:eastAsia="仿宋_GB2312"/>
          <w:color w:val="auto"/>
          <w:sz w:val="24"/>
          <w:szCs w:val="24"/>
          <w:highlight w:val="none"/>
          <w:lang w:val="en-US" w:eastAsia="zh-CN"/>
        </w:rPr>
      </w:pPr>
      <w:r>
        <w:rPr>
          <w:rFonts w:hint="eastAsia" w:eastAsia="仿宋_GB2312"/>
          <w:color w:val="auto"/>
          <w:sz w:val="24"/>
          <w:szCs w:val="24"/>
          <w:highlight w:val="none"/>
          <w:lang w:val="en-US" w:eastAsia="zh-CN"/>
        </w:rPr>
        <w:t>5）每月进度款中工人工资款支付比例是进度款的15%。</w:t>
      </w:r>
    </w:p>
    <w:p w14:paraId="5F02D5C1">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（2）措施项目</w:t>
      </w:r>
    </w:p>
    <w:p w14:paraId="10AB709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1）安全文明施工措施费</w:t>
      </w:r>
    </w:p>
    <w:p w14:paraId="0CA20F60">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发包人应合同</w:t>
      </w:r>
      <w:r>
        <w:rPr>
          <w:rFonts w:eastAsia="仿宋_GB2312"/>
          <w:color w:val="auto"/>
          <w:sz w:val="24"/>
          <w:szCs w:val="24"/>
          <w:highlight w:val="none"/>
        </w:rPr>
        <w:t>签订后15</w:t>
      </w:r>
      <w:r>
        <w:rPr>
          <w:rFonts w:hint="eastAsia" w:eastAsia="仿宋_GB2312"/>
          <w:color w:val="auto"/>
          <w:sz w:val="24"/>
          <w:szCs w:val="24"/>
          <w:highlight w:val="none"/>
        </w:rPr>
        <w:t>天内预付绿色施工安全防护措施费总额的</w:t>
      </w:r>
      <w:r>
        <w:rPr>
          <w:rFonts w:eastAsia="仿宋_GB2312"/>
          <w:color w:val="auto"/>
          <w:sz w:val="24"/>
          <w:szCs w:val="24"/>
          <w:highlight w:val="none"/>
        </w:rPr>
        <w:t>50</w:t>
      </w:r>
      <w:r>
        <w:rPr>
          <w:rFonts w:hint="eastAsia" w:eastAsia="仿宋_GB2312"/>
          <w:color w:val="auto"/>
          <w:sz w:val="24"/>
          <w:szCs w:val="24"/>
          <w:highlight w:val="none"/>
        </w:rPr>
        <w:t>%；获得安全监督机构出具的安全责任评价书后支付至80%；工程通过竣工验收及结算后支付至结算的安全生产措施费的97%，余款3%为质量保证金。</w:t>
      </w:r>
    </w:p>
    <w:p w14:paraId="557D30D3">
      <w:pPr>
        <w:tabs>
          <w:tab w:val="left" w:pos="1265"/>
        </w:tabs>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2）其他项目价款</w:t>
      </w:r>
    </w:p>
    <w:p w14:paraId="688544D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按分部分项工程量清单完成百分比乘以措施项目的总价款计算累计完成值后，按上述第（1）项的方式及比例支付。</w:t>
      </w:r>
    </w:p>
    <w:p w14:paraId="4FBDCAD9">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（3）其他项目清单（不含总承包管理配合服务费、暂估价）进度款的支付方式：</w:t>
      </w:r>
    </w:p>
    <w:p w14:paraId="4A4CAF0F">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有协议的参照协议执行，其余根据实际完成情况支付，参照分部分项工程量项目费支付方式进行计算。</w:t>
      </w:r>
    </w:p>
    <w:p w14:paraId="369996D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（4）总承包管理配合服务费的支付方式：</w:t>
      </w:r>
    </w:p>
    <w:p w14:paraId="60352866">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当需管理或配合服务的暂估价专业工程承包人（指定分包人）进场后，按相应暂估价专业工程的总承包管理配合服务费×按该工程每月实际完成工程量比例【即当月完成该专业分包或直接发包工程价款占该暂估价专业工程合同价的百分比】支付。其中承包人在申请配合服务费时，须同时提供各暂估价专业工程承包人（指定分包人）对其提供的配合服务的综合评价报告，配合服务的支付比例将根据综合评价报告在50％～80％之间进行调整（评价办法由发包人根据需要另行制定），工程竣工验收后支付至该价款的85％，暂定支付；如承包人未按约定进行总承包管理或提供配合服务，发包人可暂停或不支付该项费用；如承包人参与暂估价专业工程投标，且中标的，则由承包人负责实施相应暂估价专业工程，但发包人不再支付相应的暂估价专业工程总承包管理配合服务费，该项费用已视为包含在签约合同价款中，不另外计取。</w:t>
      </w:r>
    </w:p>
    <w:p w14:paraId="5598CA97">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2）属于由承包人自行分包的分包人进行总承包管理或提供配合服务所需的费用已视为包含在签约合同价款中，不单独计算。由发包人直接平行发包的承包人进行总承包管理或提供配合服务所需的费用可以另行计算，计算方法详见招标清单。</w:t>
      </w:r>
    </w:p>
    <w:p w14:paraId="782DA73D">
      <w:pPr>
        <w:numPr>
          <w:ilvl w:val="0"/>
          <w:numId w:val="8"/>
        </w:num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暂估价专业工程进度款按发包人与该指定分包人约定的支付方式及支付比例专款支付；</w:t>
      </w:r>
    </w:p>
    <w:p w14:paraId="3DE5E7C9">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（6）税金按上述（1）~（5）合计费用乘以有关税率计算后按合同规定支付。</w:t>
      </w:r>
    </w:p>
    <w:p w14:paraId="26C0A2B3">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（7）质量保证金</w:t>
      </w:r>
    </w:p>
    <w:p w14:paraId="35D1B182">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工程质量缺陷期两年期满，承包人已履行保修义务后，支付质量保证金</w:t>
      </w:r>
      <w:r>
        <w:rPr>
          <w:rFonts w:hint="eastAsia" w:eastAsia="仿宋_GB2312"/>
          <w:color w:val="auto"/>
          <w:sz w:val="24"/>
          <w:szCs w:val="24"/>
          <w:highlight w:val="none"/>
          <w:lang w:eastAsia="zh-CN"/>
        </w:rPr>
        <w:t>（不计算利息）</w:t>
      </w:r>
      <w:r>
        <w:rPr>
          <w:rFonts w:hint="eastAsia" w:eastAsia="仿宋_GB2312"/>
          <w:color w:val="auto"/>
          <w:sz w:val="24"/>
          <w:szCs w:val="24"/>
          <w:highlight w:val="none"/>
        </w:rPr>
        <w:t>。</w:t>
      </w:r>
    </w:p>
    <w:p w14:paraId="36659C26">
      <w:pPr>
        <w:spacing w:line="360" w:lineRule="auto"/>
        <w:ind w:firstLine="440" w:firstLineChars="200"/>
        <w:rPr>
          <w:rFonts w:hint="eastAsia" w:eastAsia="仿宋_GB2312"/>
          <w:color w:val="auto"/>
          <w:sz w:val="24"/>
          <w:szCs w:val="24"/>
          <w:highlight w:val="none"/>
        </w:rPr>
      </w:pPr>
      <w:r>
        <w:rPr>
          <w:rFonts w:hint="eastAsia" w:ascii="仿宋" w:hAnsi="仿宋" w:eastAsia="仿宋"/>
          <w:color w:val="auto"/>
          <w:sz w:val="22"/>
          <w:highlight w:val="none"/>
        </w:rPr>
        <w:t xml:space="preserve"> </w:t>
      </w:r>
      <w:r>
        <w:rPr>
          <w:rFonts w:hint="eastAsia" w:eastAsia="仿宋_GB2312"/>
          <w:color w:val="auto"/>
          <w:sz w:val="24"/>
          <w:szCs w:val="24"/>
          <w:highlight w:val="none"/>
        </w:rPr>
        <w:t xml:space="preserve"> </w:t>
      </w:r>
      <w:r>
        <w:rPr>
          <w:rFonts w:eastAsia="仿宋_GB2312"/>
          <w:color w:val="auto"/>
          <w:sz w:val="24"/>
          <w:szCs w:val="24"/>
          <w:highlight w:val="none"/>
        </w:rPr>
        <w:t>12.4.</w:t>
      </w:r>
      <w:r>
        <w:rPr>
          <w:rFonts w:hint="eastAsia" w:eastAsia="仿宋_GB2312"/>
          <w:color w:val="auto"/>
          <w:sz w:val="24"/>
          <w:szCs w:val="24"/>
          <w:highlight w:val="none"/>
        </w:rPr>
        <w:t>4</w:t>
      </w:r>
      <w:r>
        <w:rPr>
          <w:rFonts w:eastAsia="仿宋_GB2312"/>
          <w:color w:val="auto"/>
          <w:sz w:val="24"/>
          <w:szCs w:val="24"/>
          <w:highlight w:val="none"/>
        </w:rPr>
        <w:t>.</w:t>
      </w:r>
      <w:r>
        <w:rPr>
          <w:rFonts w:hint="eastAsia" w:eastAsia="仿宋_GB2312"/>
          <w:color w:val="auto"/>
          <w:sz w:val="24"/>
          <w:szCs w:val="24"/>
          <w:highlight w:val="none"/>
        </w:rPr>
        <w:t>2其它约定：</w:t>
      </w:r>
    </w:p>
    <w:p w14:paraId="39D981E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（1）所有进度款须于承包人提交了符合要求的履约保函后才可办理支付；</w:t>
      </w:r>
    </w:p>
    <w:p w14:paraId="1C71130D">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（2）所有预付款须于承包人提交了等额的预付款保函后才可办理支付；</w:t>
      </w:r>
    </w:p>
    <w:p w14:paraId="2B3B529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（3）付款前承包人必须提供合法、等额有效的增值税专用发票</w:t>
      </w:r>
      <w:r>
        <w:rPr>
          <w:rFonts w:hint="eastAsia" w:eastAsia="仿宋_GB2312"/>
          <w:color w:val="auto"/>
          <w:sz w:val="24"/>
          <w:szCs w:val="24"/>
          <w:highlight w:val="none"/>
          <w:lang w:eastAsia="zh-CN"/>
        </w:rPr>
        <w:t>（税率</w:t>
      </w:r>
      <w:r>
        <w:rPr>
          <w:rFonts w:hint="eastAsia" w:eastAsia="仿宋_GB2312"/>
          <w:color w:val="auto"/>
          <w:sz w:val="24"/>
          <w:szCs w:val="24"/>
          <w:highlight w:val="none"/>
          <w:lang w:val="en-US" w:eastAsia="zh-CN"/>
        </w:rPr>
        <w:t>9%</w:t>
      </w:r>
      <w:r>
        <w:rPr>
          <w:rFonts w:hint="eastAsia" w:eastAsia="仿宋_GB2312"/>
          <w:color w:val="auto"/>
          <w:sz w:val="24"/>
          <w:szCs w:val="24"/>
          <w:highlight w:val="none"/>
          <w:lang w:eastAsia="zh-CN"/>
        </w:rPr>
        <w:t>）</w:t>
      </w:r>
      <w:r>
        <w:rPr>
          <w:rFonts w:hint="eastAsia" w:eastAsia="仿宋_GB2312"/>
          <w:color w:val="auto"/>
          <w:sz w:val="24"/>
          <w:szCs w:val="24"/>
          <w:highlight w:val="none"/>
        </w:rPr>
        <w:t>；</w:t>
      </w:r>
    </w:p>
    <w:p w14:paraId="344437A8">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（4）审批支付时间按合同约定及发包人的管理流程办理，如有不一致的，以发包人最终确定为准。</w:t>
      </w:r>
    </w:p>
    <w:p w14:paraId="7C80293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（5）进度款及变更、签证台帐：</w:t>
      </w:r>
    </w:p>
    <w:p w14:paraId="4117930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承包人提交进度款的同时，向发包人提供进度款及变更、签证台帐，台帐的格式要求须与发包人共同商定。</w:t>
      </w:r>
    </w:p>
    <w:bookmarkEnd w:id="743"/>
    <w:p w14:paraId="67AC85BF">
      <w:pPr>
        <w:pStyle w:val="6"/>
        <w:spacing w:before="120" w:after="120" w:line="360" w:lineRule="auto"/>
        <w:rPr>
          <w:rFonts w:ascii="Times New Roman" w:hAnsi="Times New Roman" w:eastAsia="黑体"/>
          <w:b w:val="0"/>
          <w:color w:val="auto"/>
          <w:sz w:val="24"/>
          <w:szCs w:val="24"/>
          <w:highlight w:val="none"/>
        </w:rPr>
      </w:pPr>
      <w:bookmarkStart w:id="916" w:name="_Toc32835788"/>
      <w:bookmarkStart w:id="917" w:name="_Toc300935015"/>
      <w:bookmarkStart w:id="918" w:name="_Toc292559424"/>
      <w:bookmarkStart w:id="919" w:name="_Toc292559929"/>
      <w:bookmarkStart w:id="920" w:name="_Toc296891259"/>
      <w:bookmarkStart w:id="921" w:name="_Toc297048405"/>
      <w:bookmarkStart w:id="922" w:name="_Toc297120519"/>
      <w:bookmarkStart w:id="923" w:name="_Toc296503219"/>
      <w:bookmarkStart w:id="924" w:name="_Toc296347218"/>
      <w:bookmarkStart w:id="925" w:name="_Toc297123564"/>
      <w:bookmarkStart w:id="926" w:name="_Toc303539172"/>
      <w:bookmarkStart w:id="927" w:name="_Toc296944558"/>
      <w:bookmarkStart w:id="928" w:name="_Toc296891047"/>
      <w:bookmarkStart w:id="929" w:name="_Toc312678053"/>
      <w:bookmarkStart w:id="930" w:name="_Toc296346720"/>
      <w:bookmarkStart w:id="931" w:name="_Toc304295593"/>
      <w:bookmarkStart w:id="932" w:name="_Toc297216223"/>
      <w:r>
        <w:rPr>
          <w:rFonts w:ascii="Times New Roman" w:hAnsi="Times New Roman" w:eastAsia="黑体"/>
          <w:b w:val="0"/>
          <w:color w:val="auto"/>
          <w:sz w:val="24"/>
          <w:szCs w:val="24"/>
          <w:highlight w:val="none"/>
        </w:rPr>
        <w:t>13.</w:t>
      </w:r>
      <w:r>
        <w:rPr>
          <w:rFonts w:hint="eastAsia" w:ascii="Times New Roman" w:hAnsi="Times New Roman" w:eastAsia="黑体"/>
          <w:b w:val="0"/>
          <w:color w:val="auto"/>
          <w:sz w:val="24"/>
          <w:szCs w:val="24"/>
          <w:highlight w:val="none"/>
        </w:rPr>
        <w:t xml:space="preserve"> </w:t>
      </w:r>
      <w:r>
        <w:rPr>
          <w:rFonts w:ascii="Times New Roman" w:hAnsi="Times New Roman" w:eastAsia="黑体"/>
          <w:b w:val="0"/>
          <w:color w:val="auto"/>
          <w:sz w:val="24"/>
          <w:szCs w:val="24"/>
          <w:highlight w:val="none"/>
        </w:rPr>
        <w:t>验收和工程试车</w:t>
      </w:r>
      <w:bookmarkEnd w:id="916"/>
    </w:p>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14:paraId="04EADEC0">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13.1 分部分项工程验收</w:t>
      </w:r>
    </w:p>
    <w:p w14:paraId="0639FFB8">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13.1.2监理人不能按时进行验收时，应提前</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24</w:t>
      </w:r>
      <w:r>
        <w:rPr>
          <w:rFonts w:eastAsia="仿宋_GB2312"/>
          <w:color w:val="auto"/>
          <w:sz w:val="24"/>
          <w:szCs w:val="24"/>
          <w:highlight w:val="none"/>
          <w:u w:val="single"/>
        </w:rPr>
        <w:t xml:space="preserve">    </w:t>
      </w:r>
      <w:r>
        <w:rPr>
          <w:rFonts w:eastAsia="仿宋_GB2312"/>
          <w:color w:val="auto"/>
          <w:sz w:val="24"/>
          <w:szCs w:val="24"/>
          <w:highlight w:val="none"/>
        </w:rPr>
        <w:t>小时提交书面延期要求。</w:t>
      </w:r>
    </w:p>
    <w:p w14:paraId="68A64A89">
      <w:pPr>
        <w:spacing w:line="360" w:lineRule="auto"/>
        <w:ind w:firstLine="480" w:firstLineChars="200"/>
        <w:jc w:val="left"/>
        <w:rPr>
          <w:rFonts w:eastAsia="仿宋_GB2312"/>
          <w:b/>
          <w:color w:val="auto"/>
          <w:sz w:val="24"/>
          <w:szCs w:val="24"/>
          <w:highlight w:val="none"/>
        </w:rPr>
      </w:pPr>
      <w:r>
        <w:rPr>
          <w:rFonts w:eastAsia="仿宋_GB2312"/>
          <w:color w:val="auto"/>
          <w:sz w:val="24"/>
          <w:szCs w:val="24"/>
          <w:highlight w:val="none"/>
        </w:rPr>
        <w:t>关于延期最长不得超过：</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48</w:t>
      </w:r>
      <w:r>
        <w:rPr>
          <w:rFonts w:eastAsia="仿宋_GB2312"/>
          <w:color w:val="auto"/>
          <w:sz w:val="24"/>
          <w:szCs w:val="24"/>
          <w:highlight w:val="none"/>
          <w:u w:val="single"/>
        </w:rPr>
        <w:t xml:space="preserve">    </w:t>
      </w:r>
      <w:r>
        <w:rPr>
          <w:rFonts w:eastAsia="仿宋_GB2312"/>
          <w:color w:val="auto"/>
          <w:sz w:val="24"/>
          <w:szCs w:val="24"/>
          <w:highlight w:val="none"/>
        </w:rPr>
        <w:t>小时。</w:t>
      </w:r>
    </w:p>
    <w:p w14:paraId="1115E664">
      <w:pPr>
        <w:spacing w:after="120" w:line="360" w:lineRule="auto"/>
        <w:ind w:firstLine="480" w:firstLineChars="200"/>
        <w:rPr>
          <w:rFonts w:eastAsia="黑体"/>
          <w:color w:val="auto"/>
          <w:sz w:val="24"/>
          <w:szCs w:val="24"/>
          <w:highlight w:val="none"/>
        </w:rPr>
      </w:pPr>
      <w:bookmarkStart w:id="933" w:name="_Toc292559428"/>
      <w:bookmarkStart w:id="934" w:name="_Toc296347222"/>
      <w:bookmarkStart w:id="935" w:name="_Toc297120523"/>
      <w:bookmarkStart w:id="936" w:name="_Toc297216224"/>
      <w:bookmarkStart w:id="937" w:name="_Toc292559933"/>
      <w:bookmarkStart w:id="938" w:name="_Toc296944562"/>
      <w:bookmarkStart w:id="939" w:name="_Toc296891263"/>
      <w:bookmarkStart w:id="940" w:name="_Toc300935016"/>
      <w:bookmarkStart w:id="941" w:name="_Toc312678056"/>
      <w:bookmarkStart w:id="942" w:name="_Toc303539173"/>
      <w:bookmarkStart w:id="943" w:name="_Toc296891051"/>
      <w:bookmarkStart w:id="944" w:name="_Toc296503223"/>
      <w:bookmarkStart w:id="945" w:name="_Toc304295596"/>
      <w:bookmarkStart w:id="946" w:name="_Toc297048409"/>
      <w:bookmarkStart w:id="947" w:name="_Toc297123565"/>
      <w:bookmarkStart w:id="948" w:name="_Toc296346724"/>
      <w:bookmarkStart w:id="949" w:name="_Toc267251475"/>
      <w:bookmarkStart w:id="950" w:name="_Toc267251473"/>
      <w:bookmarkStart w:id="951" w:name="_Toc267251472"/>
      <w:bookmarkStart w:id="952" w:name="_Toc267251476"/>
      <w:bookmarkStart w:id="953" w:name="_Toc267251471"/>
      <w:bookmarkStart w:id="954" w:name="_Toc267251470"/>
      <w:bookmarkStart w:id="955" w:name="_Toc267251474"/>
      <w:r>
        <w:rPr>
          <w:rFonts w:eastAsia="黑体"/>
          <w:color w:val="auto"/>
          <w:sz w:val="24"/>
          <w:szCs w:val="24"/>
          <w:highlight w:val="none"/>
        </w:rPr>
        <w:t>13.2 竣工验收</w:t>
      </w:r>
    </w:p>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14:paraId="0961D1AA">
      <w:pPr>
        <w:spacing w:line="360" w:lineRule="auto"/>
        <w:ind w:firstLine="480" w:firstLineChars="200"/>
        <w:jc w:val="left"/>
        <w:rPr>
          <w:rFonts w:eastAsia="仿宋_GB2312"/>
          <w:color w:val="auto"/>
          <w:sz w:val="24"/>
          <w:szCs w:val="24"/>
          <w:highlight w:val="none"/>
        </w:rPr>
      </w:pPr>
      <w:bookmarkStart w:id="956" w:name="_Toc280868704"/>
      <w:bookmarkStart w:id="957" w:name="_Toc280868705"/>
      <w:bookmarkStart w:id="958" w:name="_Toc280868706"/>
      <w:bookmarkStart w:id="959" w:name="_Toc280868707"/>
      <w:bookmarkStart w:id="960" w:name="_Toc280868708"/>
      <w:bookmarkStart w:id="961" w:name="_Toc280868709"/>
      <w:r>
        <w:rPr>
          <w:rFonts w:eastAsia="仿宋_GB2312"/>
          <w:color w:val="auto"/>
          <w:sz w:val="24"/>
          <w:szCs w:val="24"/>
          <w:highlight w:val="none"/>
        </w:rPr>
        <w:t>13.2.2竣工验收程序</w:t>
      </w:r>
    </w:p>
    <w:bookmarkEnd w:id="956"/>
    <w:p w14:paraId="079755AE">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13.2.2</w:t>
      </w:r>
      <w:r>
        <w:rPr>
          <w:rFonts w:hint="eastAsia" w:eastAsia="仿宋_GB2312"/>
          <w:color w:val="auto"/>
          <w:sz w:val="24"/>
          <w:szCs w:val="24"/>
          <w:highlight w:val="none"/>
        </w:rPr>
        <w:t>不适用，替换为：</w:t>
      </w:r>
    </w:p>
    <w:p w14:paraId="5DB3C51E">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13.2.2竣工验收程序</w:t>
      </w:r>
    </w:p>
    <w:p w14:paraId="626A1453">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F5F88EE">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w:t>
      </w:r>
      <w:r>
        <w:rPr>
          <w:rFonts w:hint="eastAsia" w:eastAsia="仿宋_GB2312"/>
          <w:color w:val="auto"/>
          <w:sz w:val="24"/>
          <w:szCs w:val="24"/>
          <w:highlight w:val="none"/>
        </w:rPr>
        <w:t>2</w:t>
      </w:r>
      <w:r>
        <w:rPr>
          <w:rFonts w:eastAsia="仿宋_GB2312"/>
          <w:color w:val="auto"/>
          <w:sz w:val="24"/>
          <w:szCs w:val="24"/>
          <w:highlight w:val="none"/>
        </w:rPr>
        <w:t>）</w:t>
      </w:r>
      <w:r>
        <w:rPr>
          <w:rFonts w:hint="eastAsia" w:eastAsia="仿宋_GB2312"/>
          <w:color w:val="auto"/>
          <w:sz w:val="24"/>
          <w:szCs w:val="24"/>
          <w:highlight w:val="none"/>
        </w:rPr>
        <w:t>监理人审查后认为已具备竣工验收条件的，应将竣工验收申请报告提交发包人，发包人应在收到经监理人审核的竣工验收申请报告后28天内进行审批，并组织监理人、承包人、设计人等相关单位进行竣工验收。</w:t>
      </w:r>
    </w:p>
    <w:p w14:paraId="7C8090D7">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（3）竣工验收合格的，发包人应在验收合格后28天内向承包人签发工程接收证书。</w:t>
      </w:r>
    </w:p>
    <w:p w14:paraId="69DC4D1A">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4B4B7F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增加以下内容，具体为：</w:t>
      </w:r>
    </w:p>
    <w:p w14:paraId="2883E03E">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（1）工程具备竣工验收条件，承包人按国家、广东省、市县工程竣工验收有关规定，向发包人提供完整竣工资料及竣工验收报告。发包人在收到承包人提交的竣工验收报告后的</w:t>
      </w:r>
      <w:r>
        <w:rPr>
          <w:rFonts w:eastAsia="仿宋_GB2312"/>
          <w:color w:val="auto"/>
          <w:sz w:val="24"/>
          <w:szCs w:val="24"/>
          <w:highlight w:val="none"/>
        </w:rPr>
        <w:t>28</w:t>
      </w:r>
      <w:r>
        <w:rPr>
          <w:rFonts w:hint="eastAsia" w:eastAsia="仿宋_GB2312"/>
          <w:color w:val="auto"/>
          <w:sz w:val="24"/>
          <w:szCs w:val="24"/>
          <w:highlight w:val="none"/>
        </w:rPr>
        <w:t>天内组织验收，并在验收完成后</w:t>
      </w:r>
      <w:r>
        <w:rPr>
          <w:rFonts w:eastAsia="仿宋_GB2312"/>
          <w:color w:val="auto"/>
          <w:sz w:val="24"/>
          <w:szCs w:val="24"/>
          <w:highlight w:val="none"/>
        </w:rPr>
        <w:t>14</w:t>
      </w:r>
      <w:r>
        <w:rPr>
          <w:rFonts w:hint="eastAsia" w:eastAsia="仿宋_GB2312"/>
          <w:color w:val="auto"/>
          <w:sz w:val="24"/>
          <w:szCs w:val="24"/>
          <w:highlight w:val="none"/>
        </w:rPr>
        <w:t>天内予以认可或提出修改意见。验收不合格，承包人应按要求修改后再次提请发包人验收，并承担因自身原因造成修改的费用。</w:t>
      </w:r>
    </w:p>
    <w:p w14:paraId="3338C89A">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（2）中间交工工程的验收：中间交工工程的范围及其计划竣工时间，双方另行商议，其验收程序按第</w:t>
      </w:r>
      <w:r>
        <w:rPr>
          <w:rFonts w:eastAsia="仿宋_GB2312"/>
          <w:color w:val="auto"/>
          <w:sz w:val="24"/>
          <w:szCs w:val="24"/>
          <w:highlight w:val="none"/>
        </w:rPr>
        <w:t>13.2.2</w:t>
      </w:r>
      <w:r>
        <w:rPr>
          <w:rFonts w:hint="eastAsia" w:eastAsia="仿宋_GB2312"/>
          <w:color w:val="auto"/>
          <w:sz w:val="24"/>
          <w:szCs w:val="24"/>
          <w:highlight w:val="none"/>
        </w:rPr>
        <w:t>（</w:t>
      </w:r>
      <w:r>
        <w:rPr>
          <w:rFonts w:eastAsia="仿宋_GB2312"/>
          <w:color w:val="auto"/>
          <w:sz w:val="24"/>
          <w:szCs w:val="24"/>
          <w:highlight w:val="none"/>
        </w:rPr>
        <w:t>1</w:t>
      </w:r>
      <w:r>
        <w:rPr>
          <w:rFonts w:hint="eastAsia" w:eastAsia="仿宋_GB2312"/>
          <w:color w:val="auto"/>
          <w:sz w:val="24"/>
          <w:szCs w:val="24"/>
          <w:highlight w:val="none"/>
        </w:rPr>
        <w:t>）至（4）条规定办理。</w:t>
      </w:r>
    </w:p>
    <w:p w14:paraId="6335AA5F">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（3）</w:t>
      </w:r>
      <w:r>
        <w:rPr>
          <w:rFonts w:eastAsia="仿宋_GB2312"/>
          <w:color w:val="auto"/>
          <w:sz w:val="24"/>
          <w:szCs w:val="24"/>
          <w:highlight w:val="none"/>
        </w:rPr>
        <w:t>发包人</w:t>
      </w:r>
      <w:r>
        <w:rPr>
          <w:rFonts w:hint="eastAsia" w:eastAsia="仿宋_GB2312"/>
          <w:color w:val="auto"/>
          <w:sz w:val="24"/>
          <w:szCs w:val="24"/>
          <w:highlight w:val="none"/>
        </w:rPr>
        <w:t>应在收到承包人提交的竣工验收报告后28天内</w:t>
      </w:r>
      <w:r>
        <w:rPr>
          <w:rFonts w:eastAsia="仿宋_GB2312"/>
          <w:color w:val="auto"/>
          <w:sz w:val="24"/>
          <w:szCs w:val="24"/>
          <w:highlight w:val="none"/>
        </w:rPr>
        <w:t>按照本项约定组织竣工验</w:t>
      </w:r>
      <w:r>
        <w:rPr>
          <w:rFonts w:hint="eastAsia" w:eastAsia="仿宋_GB2312"/>
          <w:color w:val="auto"/>
          <w:sz w:val="24"/>
          <w:szCs w:val="24"/>
          <w:highlight w:val="none"/>
        </w:rPr>
        <w:t>收，验收合格后颁发工程接收证书。</w:t>
      </w:r>
    </w:p>
    <w:bookmarkEnd w:id="957"/>
    <w:bookmarkEnd w:id="958"/>
    <w:bookmarkEnd w:id="959"/>
    <w:p w14:paraId="0CD3CEBD">
      <w:pPr>
        <w:spacing w:line="360" w:lineRule="auto"/>
        <w:ind w:firstLine="482" w:firstLineChars="200"/>
        <w:jc w:val="left"/>
        <w:rPr>
          <w:rFonts w:hint="eastAsia" w:eastAsia="仿宋_GB2312"/>
          <w:b/>
          <w:bCs/>
          <w:color w:val="auto"/>
          <w:sz w:val="24"/>
          <w:szCs w:val="24"/>
          <w:highlight w:val="none"/>
        </w:rPr>
      </w:pPr>
      <w:r>
        <w:rPr>
          <w:rFonts w:hint="eastAsia" w:eastAsia="仿宋_GB2312"/>
          <w:b/>
          <w:bCs/>
          <w:color w:val="auto"/>
          <w:sz w:val="24"/>
          <w:szCs w:val="24"/>
          <w:highlight w:val="none"/>
        </w:rPr>
        <w:t>通用条款</w:t>
      </w:r>
      <w:r>
        <w:rPr>
          <w:rFonts w:eastAsia="仿宋_GB2312"/>
          <w:b/>
          <w:bCs/>
          <w:color w:val="auto"/>
          <w:sz w:val="24"/>
          <w:szCs w:val="24"/>
          <w:highlight w:val="none"/>
        </w:rPr>
        <w:t>13.2.</w:t>
      </w:r>
      <w:r>
        <w:rPr>
          <w:rFonts w:hint="eastAsia" w:eastAsia="仿宋_GB2312"/>
          <w:b/>
          <w:bCs/>
          <w:color w:val="auto"/>
          <w:sz w:val="24"/>
          <w:szCs w:val="24"/>
          <w:highlight w:val="none"/>
        </w:rPr>
        <w:t>3~</w:t>
      </w:r>
      <w:r>
        <w:rPr>
          <w:rFonts w:eastAsia="仿宋_GB2312"/>
          <w:b/>
          <w:bCs/>
          <w:color w:val="auto"/>
          <w:sz w:val="24"/>
          <w:szCs w:val="24"/>
          <w:highlight w:val="none"/>
        </w:rPr>
        <w:t>13.2.</w:t>
      </w:r>
      <w:r>
        <w:rPr>
          <w:rFonts w:hint="eastAsia" w:eastAsia="仿宋_GB2312"/>
          <w:b/>
          <w:bCs/>
          <w:color w:val="auto"/>
          <w:sz w:val="24"/>
          <w:szCs w:val="24"/>
          <w:highlight w:val="none"/>
        </w:rPr>
        <w:t>5不适用，替换为：</w:t>
      </w:r>
    </w:p>
    <w:p w14:paraId="52425387">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13.2.3竣工日期</w:t>
      </w:r>
    </w:p>
    <w:p w14:paraId="2179ADF7">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工程经竣工验收合格的，以</w:t>
      </w:r>
      <w:r>
        <w:rPr>
          <w:rFonts w:hint="eastAsia" w:eastAsia="仿宋_GB2312"/>
          <w:color w:val="auto"/>
          <w:sz w:val="24"/>
          <w:szCs w:val="24"/>
          <w:highlight w:val="none"/>
        </w:rPr>
        <w:t>工程</w:t>
      </w:r>
      <w:r>
        <w:rPr>
          <w:rFonts w:eastAsia="仿宋_GB2312"/>
          <w:color w:val="auto"/>
          <w:sz w:val="24"/>
          <w:szCs w:val="24"/>
          <w:highlight w:val="none"/>
        </w:rPr>
        <w:t>竣工验收</w:t>
      </w:r>
      <w:r>
        <w:rPr>
          <w:rFonts w:hint="eastAsia" w:eastAsia="仿宋_GB2312"/>
          <w:color w:val="auto"/>
          <w:sz w:val="24"/>
          <w:szCs w:val="24"/>
          <w:highlight w:val="none"/>
        </w:rPr>
        <w:t>合格</w:t>
      </w:r>
      <w:r>
        <w:rPr>
          <w:rFonts w:eastAsia="仿宋_GB2312"/>
          <w:color w:val="auto"/>
          <w:sz w:val="24"/>
          <w:szCs w:val="24"/>
          <w:highlight w:val="none"/>
        </w:rPr>
        <w:t>之日为实际竣工日期，并在工程接收证书中载明；因发包人原因，未在监理人收到承包人提交的竣工验收申请报告</w:t>
      </w:r>
      <w:r>
        <w:rPr>
          <w:rFonts w:hint="eastAsia" w:eastAsia="仿宋_GB2312"/>
          <w:color w:val="auto"/>
          <w:sz w:val="24"/>
          <w:szCs w:val="24"/>
          <w:highlight w:val="none"/>
        </w:rPr>
        <w:t>42天内组织</w:t>
      </w:r>
      <w:r>
        <w:rPr>
          <w:rFonts w:eastAsia="仿宋_GB2312"/>
          <w:color w:val="auto"/>
          <w:sz w:val="24"/>
          <w:szCs w:val="24"/>
          <w:highlight w:val="none"/>
        </w:rPr>
        <w:t>验收</w:t>
      </w:r>
      <w:r>
        <w:rPr>
          <w:rFonts w:hint="eastAsia" w:eastAsia="仿宋_GB2312"/>
          <w:color w:val="auto"/>
          <w:sz w:val="24"/>
          <w:szCs w:val="24"/>
          <w:highlight w:val="none"/>
        </w:rPr>
        <w:t>的，或竣工验收合格之后不予签发工程接收证书</w:t>
      </w:r>
      <w:r>
        <w:rPr>
          <w:rFonts w:eastAsia="仿宋_GB2312"/>
          <w:color w:val="auto"/>
          <w:sz w:val="24"/>
          <w:szCs w:val="24"/>
          <w:highlight w:val="none"/>
        </w:rPr>
        <w:t>的，以提交竣工验收申请报告的日期为实际竣工日期；工程未经竣工验收，发包人擅自使用的，以转移占有工程之日为实际竣工日期。</w:t>
      </w:r>
    </w:p>
    <w:p w14:paraId="655CD342">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13.2.4 拒绝接收全部或部分工程</w:t>
      </w:r>
    </w:p>
    <w:p w14:paraId="2462430C">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对于</w:t>
      </w:r>
      <w:r>
        <w:rPr>
          <w:rFonts w:hint="eastAsia" w:eastAsia="仿宋_GB2312"/>
          <w:color w:val="auto"/>
          <w:sz w:val="24"/>
          <w:szCs w:val="24"/>
          <w:highlight w:val="none"/>
        </w:rPr>
        <w:t>因承包人原因</w:t>
      </w:r>
      <w:r>
        <w:rPr>
          <w:rFonts w:eastAsia="仿宋_GB2312"/>
          <w:color w:val="auto"/>
          <w:sz w:val="24"/>
          <w:szCs w:val="24"/>
          <w:highlight w:val="none"/>
        </w:rPr>
        <w:t>竣工验收不合格的工程，承包人完成整改后，</w:t>
      </w:r>
      <w:r>
        <w:rPr>
          <w:rFonts w:hint="eastAsia" w:eastAsia="仿宋_GB2312"/>
          <w:color w:val="auto"/>
          <w:sz w:val="24"/>
          <w:szCs w:val="24"/>
          <w:highlight w:val="none"/>
        </w:rPr>
        <w:t>应当</w:t>
      </w:r>
      <w:r>
        <w:rPr>
          <w:rFonts w:eastAsia="仿宋_GB2312"/>
          <w:color w:val="auto"/>
          <w:sz w:val="24"/>
          <w:szCs w:val="24"/>
          <w:highlight w:val="non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r>
        <w:rPr>
          <w:rFonts w:hint="eastAsia" w:eastAsia="仿宋_GB2312"/>
          <w:color w:val="auto"/>
          <w:sz w:val="24"/>
          <w:szCs w:val="24"/>
          <w:highlight w:val="none"/>
        </w:rPr>
        <w:t>，且须赔偿发包人因此造成的一切直接和间接损失。</w:t>
      </w:r>
    </w:p>
    <w:p w14:paraId="0E937FFF">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13.2.5移交、接收全部与部分工程</w:t>
      </w:r>
    </w:p>
    <w:p w14:paraId="4D42678D">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承包人应当在颁发工程接收证书后7天内完成工程的移交。</w:t>
      </w:r>
    </w:p>
    <w:p w14:paraId="2A0A8493">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承包人未按时移交工程的，每逾期一天，应</w:t>
      </w:r>
      <w:r>
        <w:rPr>
          <w:rFonts w:hint="eastAsia" w:eastAsia="仿宋_GB2312"/>
          <w:color w:val="auto"/>
          <w:sz w:val="24"/>
          <w:szCs w:val="24"/>
          <w:highlight w:val="none"/>
        </w:rPr>
        <w:t>向发包人支付</w:t>
      </w:r>
      <w:r>
        <w:rPr>
          <w:rFonts w:eastAsia="仿宋_GB2312"/>
          <w:color w:val="auto"/>
          <w:sz w:val="24"/>
          <w:szCs w:val="24"/>
          <w:highlight w:val="none"/>
        </w:rPr>
        <w:t>签约合同价</w:t>
      </w:r>
      <w:r>
        <w:rPr>
          <w:rFonts w:hint="eastAsia" w:eastAsia="仿宋_GB2312"/>
          <w:color w:val="auto"/>
          <w:sz w:val="24"/>
          <w:szCs w:val="24"/>
          <w:highlight w:val="none"/>
        </w:rPr>
        <w:t>的万分之一作为</w:t>
      </w:r>
      <w:r>
        <w:rPr>
          <w:rFonts w:eastAsia="仿宋_GB2312"/>
          <w:color w:val="auto"/>
          <w:sz w:val="24"/>
          <w:szCs w:val="24"/>
          <w:highlight w:val="none"/>
        </w:rPr>
        <w:t>逾期</w:t>
      </w:r>
      <w:r>
        <w:rPr>
          <w:rFonts w:hint="eastAsia" w:eastAsia="仿宋_GB2312"/>
          <w:color w:val="auto"/>
          <w:sz w:val="24"/>
          <w:szCs w:val="24"/>
          <w:highlight w:val="none"/>
        </w:rPr>
        <w:t>交付</w:t>
      </w:r>
      <w:r>
        <w:rPr>
          <w:rFonts w:eastAsia="仿宋_GB2312"/>
          <w:color w:val="auto"/>
          <w:sz w:val="24"/>
          <w:szCs w:val="24"/>
          <w:highlight w:val="none"/>
        </w:rPr>
        <w:t>违约金。</w:t>
      </w:r>
    </w:p>
    <w:p w14:paraId="08AB3042">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13.3 工程试车</w:t>
      </w:r>
    </w:p>
    <w:bookmarkEnd w:id="960"/>
    <w:p w14:paraId="02050CF6">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13.3.1 试车程序</w:t>
      </w:r>
    </w:p>
    <w:p w14:paraId="1EEA1A97">
      <w:pPr>
        <w:spacing w:line="360" w:lineRule="auto"/>
        <w:ind w:firstLine="480" w:firstLineChars="200"/>
        <w:rPr>
          <w:rFonts w:hint="eastAsia" w:ascii="仿宋" w:hAnsi="仿宋" w:eastAsia="仿宋"/>
          <w:color w:val="auto"/>
          <w:sz w:val="22"/>
          <w:highlight w:val="none"/>
        </w:rPr>
      </w:pPr>
      <w:r>
        <w:rPr>
          <w:rFonts w:eastAsia="仿宋_GB2312"/>
          <w:color w:val="auto"/>
          <w:kern w:val="0"/>
          <w:sz w:val="24"/>
          <w:szCs w:val="24"/>
          <w:highlight w:val="none"/>
        </w:rPr>
        <w:t>工程试车内容：</w:t>
      </w:r>
      <w:r>
        <w:rPr>
          <w:rFonts w:hint="eastAsia" w:eastAsia="仿宋_GB2312"/>
          <w:color w:val="auto"/>
          <w:sz w:val="24"/>
          <w:szCs w:val="24"/>
          <w:highlight w:val="none"/>
          <w:u w:val="single"/>
        </w:rPr>
        <w:t>工程试车内容与本项目承包人承包范围一致，工程试车所涉及到全部费用已包含在签约合同价中。</w:t>
      </w:r>
    </w:p>
    <w:p w14:paraId="1455B240">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（1）单机无负荷试车费用由</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承包人</w:t>
      </w:r>
      <w:r>
        <w:rPr>
          <w:rFonts w:eastAsia="仿宋_GB2312"/>
          <w:color w:val="auto"/>
          <w:sz w:val="24"/>
          <w:szCs w:val="24"/>
          <w:highlight w:val="none"/>
          <w:u w:val="single"/>
        </w:rPr>
        <w:t xml:space="preserve">         </w:t>
      </w:r>
      <w:r>
        <w:rPr>
          <w:rFonts w:eastAsia="仿宋_GB2312"/>
          <w:color w:val="auto"/>
          <w:kern w:val="0"/>
          <w:sz w:val="24"/>
          <w:szCs w:val="24"/>
          <w:highlight w:val="none"/>
        </w:rPr>
        <w:t>承担；</w:t>
      </w:r>
    </w:p>
    <w:p w14:paraId="7F33E8B5">
      <w:pPr>
        <w:spacing w:line="360" w:lineRule="auto"/>
        <w:ind w:firstLine="480" w:firstLineChars="200"/>
        <w:jc w:val="left"/>
        <w:rPr>
          <w:rFonts w:hint="eastAsia" w:eastAsia="仿宋_GB2312"/>
          <w:color w:val="auto"/>
          <w:kern w:val="0"/>
          <w:sz w:val="24"/>
          <w:szCs w:val="24"/>
          <w:highlight w:val="none"/>
        </w:rPr>
      </w:pPr>
      <w:r>
        <w:rPr>
          <w:rFonts w:eastAsia="仿宋_GB2312"/>
          <w:color w:val="auto"/>
          <w:kern w:val="0"/>
          <w:sz w:val="24"/>
          <w:szCs w:val="24"/>
          <w:highlight w:val="none"/>
        </w:rPr>
        <w:t>（2）无负荷联动试车费用由</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承包人</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kern w:val="0"/>
          <w:sz w:val="24"/>
          <w:szCs w:val="24"/>
          <w:highlight w:val="none"/>
        </w:rPr>
        <w:t>承担。</w:t>
      </w:r>
    </w:p>
    <w:p w14:paraId="7F93AC04">
      <w:pPr>
        <w:spacing w:after="120" w:line="360" w:lineRule="auto"/>
        <w:ind w:firstLine="480" w:firstLineChars="200"/>
        <w:outlineLvl w:val="0"/>
        <w:rPr>
          <w:rFonts w:eastAsia="黑体"/>
          <w:color w:val="auto"/>
          <w:sz w:val="24"/>
          <w:szCs w:val="24"/>
          <w:highlight w:val="none"/>
        </w:rPr>
      </w:pPr>
      <w:bookmarkStart w:id="962" w:name="_Toc32835789"/>
      <w:r>
        <w:rPr>
          <w:rFonts w:eastAsia="黑体"/>
          <w:color w:val="auto"/>
          <w:sz w:val="24"/>
          <w:szCs w:val="24"/>
          <w:highlight w:val="none"/>
        </w:rPr>
        <w:t>13.6 竣工退场</w:t>
      </w:r>
      <w:bookmarkEnd w:id="962"/>
    </w:p>
    <w:p w14:paraId="1FB7BABB">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13.6.1 竣工退场</w:t>
      </w:r>
    </w:p>
    <w:p w14:paraId="6BDB93F7">
      <w:pPr>
        <w:spacing w:line="360" w:lineRule="auto"/>
        <w:ind w:firstLine="480" w:firstLineChars="200"/>
        <w:jc w:val="left"/>
        <w:rPr>
          <w:rFonts w:hint="eastAsia" w:eastAsia="仿宋_GB2312"/>
          <w:color w:val="auto"/>
          <w:sz w:val="24"/>
          <w:szCs w:val="24"/>
          <w:highlight w:val="none"/>
        </w:rPr>
      </w:pPr>
      <w:r>
        <w:rPr>
          <w:rFonts w:eastAsia="仿宋_GB2312"/>
          <w:color w:val="auto"/>
          <w:kern w:val="0"/>
          <w:sz w:val="24"/>
          <w:szCs w:val="24"/>
          <w:highlight w:val="none"/>
        </w:rPr>
        <w:t>承包人完成竣工退场的期限：</w:t>
      </w:r>
      <w:r>
        <w:rPr>
          <w:rFonts w:hint="eastAsia" w:eastAsia="仿宋_GB2312"/>
          <w:color w:val="auto"/>
          <w:sz w:val="24"/>
          <w:szCs w:val="24"/>
          <w:highlight w:val="none"/>
        </w:rPr>
        <w:t>发包人颁发工程接收证书后15天内，承包人应按以下要求对施工现场进行清理：</w:t>
      </w:r>
    </w:p>
    <w:p w14:paraId="3509AC72">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(1)施工现场内残留的垃圾已全部清除出场;</w:t>
      </w:r>
    </w:p>
    <w:p w14:paraId="7275DACD">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(2)临时工程已拆除，场地已进行清理、平整或复原;</w:t>
      </w:r>
    </w:p>
    <w:p w14:paraId="1A3C8349">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(3)按合同约定应撤离的人员、承包人施工设备和剩余的材料，包括废弃的施工设备和材料，已按计划撤离施工现场;</w:t>
      </w:r>
    </w:p>
    <w:p w14:paraId="522B1CF3">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(4)施工现场周边及其附近道路、河道的施工堆积物，已全部清理;</w:t>
      </w:r>
    </w:p>
    <w:p w14:paraId="466C1384">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(5)施工现场其他场地清理工作已全部完成。</w:t>
      </w:r>
    </w:p>
    <w:p w14:paraId="2A0BAAEC">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施工现场竣工退场费用由承包人承担。承包人应在约定的期限内完成竣工退场，逾期未完成的，发包人有权出售或另行处理承包人遗留的物品，由此支出的费用由承包人承担，发包人出售承包人遗留物品所得款项在扣除必要费用后再返还承包人。</w:t>
      </w:r>
    </w:p>
    <w:p w14:paraId="429A4B17">
      <w:pPr>
        <w:pStyle w:val="6"/>
        <w:spacing w:before="120" w:after="120" w:line="360" w:lineRule="auto"/>
        <w:rPr>
          <w:rFonts w:ascii="Times New Roman" w:hAnsi="Times New Roman" w:eastAsia="黑体"/>
          <w:b w:val="0"/>
          <w:color w:val="auto"/>
          <w:sz w:val="24"/>
          <w:szCs w:val="24"/>
          <w:highlight w:val="none"/>
        </w:rPr>
      </w:pPr>
      <w:bookmarkStart w:id="963" w:name="_Toc32835790"/>
      <w:r>
        <w:rPr>
          <w:rFonts w:ascii="Times New Roman" w:hAnsi="Times New Roman" w:eastAsia="黑体"/>
          <w:b w:val="0"/>
          <w:color w:val="auto"/>
          <w:sz w:val="24"/>
          <w:szCs w:val="24"/>
          <w:highlight w:val="none"/>
        </w:rPr>
        <w:t>14. 竣工结算</w:t>
      </w:r>
      <w:bookmarkEnd w:id="963"/>
    </w:p>
    <w:p w14:paraId="7DB9DBB9">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14.1 竣工</w:t>
      </w:r>
      <w:r>
        <w:rPr>
          <w:rFonts w:hint="eastAsia" w:eastAsia="黑体"/>
          <w:color w:val="auto"/>
          <w:sz w:val="24"/>
          <w:szCs w:val="24"/>
          <w:highlight w:val="none"/>
        </w:rPr>
        <w:t>结算</w:t>
      </w:r>
      <w:r>
        <w:rPr>
          <w:rFonts w:eastAsia="黑体"/>
          <w:color w:val="auto"/>
          <w:sz w:val="24"/>
          <w:szCs w:val="24"/>
          <w:highlight w:val="none"/>
        </w:rPr>
        <w:t>申请</w:t>
      </w:r>
    </w:p>
    <w:p w14:paraId="353B8516">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承包人提交竣工</w:t>
      </w:r>
      <w:r>
        <w:rPr>
          <w:rFonts w:hint="eastAsia" w:eastAsia="仿宋_GB2312"/>
          <w:color w:val="auto"/>
          <w:sz w:val="24"/>
          <w:szCs w:val="24"/>
          <w:highlight w:val="none"/>
        </w:rPr>
        <w:t>结算</w:t>
      </w:r>
      <w:r>
        <w:rPr>
          <w:rFonts w:eastAsia="仿宋_GB2312"/>
          <w:color w:val="auto"/>
          <w:sz w:val="24"/>
          <w:szCs w:val="24"/>
          <w:highlight w:val="none"/>
        </w:rPr>
        <w:t>申请单的期限：</w:t>
      </w:r>
      <w:r>
        <w:rPr>
          <w:rFonts w:hint="eastAsia" w:eastAsia="仿宋_GB2312"/>
          <w:color w:val="auto"/>
          <w:sz w:val="24"/>
          <w:szCs w:val="24"/>
          <w:highlight w:val="none"/>
          <w:u w:val="single"/>
        </w:rPr>
        <w:t>验收合格后90天内</w:t>
      </w:r>
      <w:r>
        <w:rPr>
          <w:rFonts w:eastAsia="仿宋_GB2312"/>
          <w:color w:val="auto"/>
          <w:sz w:val="24"/>
          <w:szCs w:val="24"/>
          <w:highlight w:val="none"/>
          <w:u w:val="single"/>
        </w:rPr>
        <w:t>。</w:t>
      </w:r>
    </w:p>
    <w:p w14:paraId="1164072A">
      <w:pPr>
        <w:spacing w:line="360" w:lineRule="auto"/>
        <w:ind w:firstLine="360" w:firstLineChars="150"/>
        <w:rPr>
          <w:rFonts w:hint="eastAsia" w:eastAsia="仿宋_GB2312"/>
          <w:color w:val="auto"/>
          <w:sz w:val="24"/>
          <w:szCs w:val="24"/>
          <w:highlight w:val="none"/>
        </w:rPr>
      </w:pPr>
      <w:r>
        <w:rPr>
          <w:rFonts w:eastAsia="仿宋_GB2312"/>
          <w:color w:val="auto"/>
          <w:sz w:val="24"/>
          <w:szCs w:val="24"/>
          <w:highlight w:val="none"/>
        </w:rPr>
        <w:t>竣工</w:t>
      </w:r>
      <w:r>
        <w:rPr>
          <w:rFonts w:hint="eastAsia" w:eastAsia="仿宋_GB2312"/>
          <w:color w:val="auto"/>
          <w:sz w:val="24"/>
          <w:szCs w:val="24"/>
          <w:highlight w:val="none"/>
        </w:rPr>
        <w:t>结算</w:t>
      </w:r>
      <w:r>
        <w:rPr>
          <w:rFonts w:eastAsia="仿宋_GB2312"/>
          <w:color w:val="auto"/>
          <w:sz w:val="24"/>
          <w:szCs w:val="24"/>
          <w:highlight w:val="none"/>
        </w:rPr>
        <w:t>申请单应包括的内容：</w:t>
      </w:r>
    </w:p>
    <w:p w14:paraId="6B48BDCA">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（1）工程结算书〔含电子版（含软件版）〕；</w:t>
      </w:r>
    </w:p>
    <w:p w14:paraId="79080CEA">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（2）合同书；</w:t>
      </w:r>
    </w:p>
    <w:p w14:paraId="3A30C654">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（3）工程量计算书(即计算底稿，须按照发包人要求的格式和要求)；</w:t>
      </w:r>
    </w:p>
    <w:p w14:paraId="1447432A">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（4）钢筋抽料表(土建专业适用)；</w:t>
      </w:r>
    </w:p>
    <w:p w14:paraId="2C405A90">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（5）工程竣工图(含电子版)；</w:t>
      </w:r>
    </w:p>
    <w:p w14:paraId="3A72DE34">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（6）工程结算有关竣工资料(含电子版)；</w:t>
      </w:r>
    </w:p>
    <w:p w14:paraId="1F80E00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（7）招标文件；</w:t>
      </w:r>
    </w:p>
    <w:p w14:paraId="7FD618B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（8）投标文件（经济部分）；</w:t>
      </w:r>
    </w:p>
    <w:p w14:paraId="519F49F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（9）图纸会审记录；</w:t>
      </w:r>
    </w:p>
    <w:p w14:paraId="4F821722">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（10）设计变更通知单；</w:t>
      </w:r>
    </w:p>
    <w:p w14:paraId="364D9624">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（11）工程洽商记录；</w:t>
      </w:r>
    </w:p>
    <w:p w14:paraId="5921E4BD">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（12）监理工程师通知或发包人施工指令；</w:t>
      </w:r>
    </w:p>
    <w:p w14:paraId="2656F5C1">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（13）有关会议纪要；</w:t>
      </w:r>
    </w:p>
    <w:p w14:paraId="27879B1B">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（14）现场签证单；</w:t>
      </w:r>
    </w:p>
    <w:p w14:paraId="5340C37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（15）材料设备单价呈批审核单；</w:t>
      </w:r>
    </w:p>
    <w:p w14:paraId="7364B783">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（16）综合单价呈批审核单；</w:t>
      </w:r>
    </w:p>
    <w:p w14:paraId="2C338BB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（17）发包人供应材料收货验收签收单（如有）；</w:t>
      </w:r>
    </w:p>
    <w:p w14:paraId="78A3870E">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（18）开工令、竣工验收报告；</w:t>
      </w:r>
    </w:p>
    <w:p w14:paraId="3E85AD45">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（19）与结算有关的其他资料；</w:t>
      </w:r>
    </w:p>
    <w:p w14:paraId="0CCF616A">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（20）移交资料签收表。</w:t>
      </w:r>
    </w:p>
    <w:p w14:paraId="16600FB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发包人对送审结算资料的具体要求：</w:t>
      </w:r>
    </w:p>
    <w:p w14:paraId="355DE74B">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结算书：每项工程的结算书要求分两部分编制：第一部分是以竣工图为依据编制部分，要求以竣工图纸、投标中标价构成的内容为主要部分，包括合同价款、图纸会审记录、设计变更通知单、设计洽商记录、监理工程师通知或发包人施工指令等；第二部分以现场签证、工程洽商记录、索赔价款以及其它有关费用为依据编制部分。上述两部分不应有重复列项的内容。用电脑编制的结算书要求提供相应的电子文档。</w:t>
      </w:r>
    </w:p>
    <w:p w14:paraId="683F9553">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工程量计算书(即计算底稿)：工程量计算书应由工程量汇总表和详细的工程量计算式组成，工程量应有详细的计算表达式，施工图、图纸会审记录、设计变更、工程洽商记录、现场签证单、监理工程师通知或发包人施工指令等部分的内容应在工程量计算式中一次计算。用电脑编制的工程量计算书应提供相应的电子文档。</w:t>
      </w:r>
    </w:p>
    <w:p w14:paraId="5BD26BB8">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钢筋抽料表：用电脑抽料的钢筋用量表要求提供相应的电子文档光盘，用手工抽料的钢筋用量表要求提供详细的抽料表和明细汇总表，详细的抽料表应注明钢筋所在构件名称、施工部位、钢筋编号等。</w:t>
      </w:r>
    </w:p>
    <w:p w14:paraId="617CCB1F">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合同书：包括发包人与承包人签订的合同书、经发包人确认的承包人与第三方签订的分包合同、各类补充合同、合同附件等，要求将上述合同文件列出总目录按顺序整理装订成册。</w:t>
      </w:r>
    </w:p>
    <w:p w14:paraId="236655C4">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竣工图：用于结算的竣工图必须有承包人竣工图专用章及其相关人员签字，有监理单位审核人签字和单位盖章，有设计单位和发包人的盖章。经发包人、设计等单位确认的图纸会审记录、设计变更通知单、设计洽商记录、工程洽商记录或发包人施工指令等内容均应反映在相应的竣工图上。对未在竣工图上反映的图纸会审记录、设计变更、设计洽商记录和工程洽商记录等，其费用的增加，在结算审核中不予考虑。</w:t>
      </w:r>
    </w:p>
    <w:p w14:paraId="5FA48372">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工程结算竣工资料：指在与工程结算有关的工程竣工资料。具体包括开工报告、竣工报告、工程质量验收评定证书、经发包人批准的施工组织设计或施工方案等。工程结算竣工资料要求监理单位和发包人在确认表上盖章确认，以证明资料上的相关内容与该项目送审资料的实际内容相一致。整理装订成册的竣工资料需编制总目录，并在每一页的下方统一编号，以便于查找。</w:t>
      </w:r>
    </w:p>
    <w:p w14:paraId="060633D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招标文件：包括招标图纸、招标文件所附合同条款和技术规范、投标须知、招标答疑纪要、工程量清单等整套招标文件及其附件。</w:t>
      </w:r>
    </w:p>
    <w:p w14:paraId="40EE0FBF">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投标文件、中标通知书：包括技术标、经济标、投标承诺书、投标补充函等所有投标文件和中标通知书。</w:t>
      </w:r>
    </w:p>
    <w:p w14:paraId="22B4498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图纸会审记录：要求按图纸会审的时间先后整理装订成册，图纸会审记录须有各单位参加会审人员签字及会审单位盖章确认。</w:t>
      </w:r>
    </w:p>
    <w:p w14:paraId="24D3557A">
      <w:pPr>
        <w:spacing w:line="360" w:lineRule="auto"/>
        <w:ind w:firstLine="480" w:firstLineChars="200"/>
        <w:jc w:val="left"/>
        <w:rPr>
          <w:rFonts w:hint="eastAsia" w:eastAsia="仿宋_GB2312"/>
          <w:color w:val="auto"/>
          <w:sz w:val="24"/>
          <w:szCs w:val="24"/>
          <w:highlight w:val="none"/>
          <w:shd w:val="pct10" w:color="auto" w:fill="FFFFFF"/>
        </w:rPr>
      </w:pPr>
      <w:r>
        <w:rPr>
          <w:rFonts w:hint="eastAsia" w:eastAsia="仿宋_GB2312"/>
          <w:color w:val="auto"/>
          <w:sz w:val="24"/>
          <w:szCs w:val="24"/>
          <w:highlight w:val="none"/>
        </w:rPr>
        <w:t>设计变更通知单/设计洽商记录：要求分专业按设计变更编号先后整理装订成册。设计变更通知单要求有设计人员的签名及设计单位的盖章(设计洽商记录需有洽商各方的签名盖章)，同时要求有发包人同意按相关的设计变更通知单/设计洽商记录进行施工的签认意见和盖章确认。</w:t>
      </w:r>
    </w:p>
    <w:p w14:paraId="1F88CEA3">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工程洽商记录：要求根据工程洽商记录的时间先后整理装订成册，然后在每一页的下方统一编号，以便于查找。工程洽商记录要求有监理单位和发包人相关人员的签字和单位盖章确认。</w:t>
      </w:r>
    </w:p>
    <w:p w14:paraId="35AC46E7">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监理工程师通知或发包人施工指令：要求根据监理工程师通知或发包人施工指令的时间先后整理装订成册，然后在每一页的下方统一编号。监理工程师通知要求有监理单位和发包人相关人员的签字和单位盖章确认，发包人施工指令要求有发包人相关人员的签字和单位盖章确认。</w:t>
      </w:r>
    </w:p>
    <w:p w14:paraId="49758233">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会议纪要：指工程质量、安全、技术、经济等现场协调会会议纪要等。要求根据会议纪要的时间先后整理装订成册，然后在每一页的下方统一编号。会议纪要要求有参与会议的各方代表签字，并有监理单位盖章和发包人确认。</w:t>
      </w:r>
    </w:p>
    <w:p w14:paraId="3F87E3C1">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现场签证单：要求根据现场签证单的时间先后整理装订成册，然后在每一页的下方统一编号，现场签证单上应有工程数量的计算过程和施工简图，由承包人盖章确认，并有监理单位和发包人相关人员签字和单位盖章确认，并且有上述单位的造价工程师对工程造价进行审核的签字和盖章。</w:t>
      </w:r>
    </w:p>
    <w:p w14:paraId="68DB1EF5">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材料设备单价呈批审核单：凡在工程招标文件或合同中未明确的主要材料设备单价，要求根据材料设备单价呈批审核单的编号顺序整理装订成册。每份审核单手续必需完备，要求有监理单位和发包人相关人员的签字和单位盖章确认。</w:t>
      </w:r>
    </w:p>
    <w:p w14:paraId="701B448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综合单价呈批审核单：在作为合同附件之一的工程量清单中未列但在施工过程中发生的项目，应由承包人按合同规定的方式编制单价分析表，盖章确认后报监理单位和发包人审核综合单价。在结算资料送审时，要求按综合单价呈批审核单的编号顺序整理装订成册。每份综合单价呈批审核单手续必需完备，要求有监理单位和发包人相关人员的签字和单位盖章确认，并且有上述单位的造价工程师对综合单价进行审核的签字和盖章。</w:t>
      </w:r>
    </w:p>
    <w:p w14:paraId="79C71A0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发包人供应材料收货验收签收单：按发包人供应材料收货验收签收单的编号顺序及不同材料分类整理装订成册。要求发包人供应材料收货验收签收单上有承包人、材料供货单位、监理单位、发包人代表签字和单位盖章确认。</w:t>
      </w:r>
    </w:p>
    <w:p w14:paraId="32EE49B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其他结算资料：凡上述未提及而在结算审核中需要的资料均需提供，例如：施工日记、地质勘察报告、非常用的标准图集、应由承包人承担而由建设单位支付的费用证明如发包人代缴施工水电费票据、余泥排放费证明等。</w:t>
      </w:r>
    </w:p>
    <w:p w14:paraId="6100A3ED">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三方单位的印章。</w:t>
      </w:r>
    </w:p>
    <w:p w14:paraId="3B042E20">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承包人向发包人提交竣工结算申请单份数原则上为4份，同时发包人有权根据发包人的相关管理规定和结算实际需要，调整竣工结算申请单的内容和份数，承包人须无条件配合，由此产生的费用已包含在签约合同价款中。</w:t>
      </w:r>
    </w:p>
    <w:p w14:paraId="7F70BD12">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在未取得发包人书面同意延期的情况下，承包人未在本款规定的时间内递交竣工结算申请单（含结算资料）的，发包人可要求造价工程师或请第三方编制竣工结算文件，在报经发包人批准后视为各方确认的竣工结算和支付的依据，承包人不得据此提出任何异议，由此产生的一切相关费用由承包人承担。</w:t>
      </w:r>
    </w:p>
    <w:p w14:paraId="074295E0">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对于总承包合同结算，合同中专用条款10.7.1款中的暂估价专业工程由各专业工程承包人（指定分包人）分别报送（暂估价专业工程结算需由总承包单位确认），监理单位及造价咨询单位可以分别单独审核后报发包人审定，具体按暂估价专业工程合同执行。</w:t>
      </w:r>
    </w:p>
    <w:p w14:paraId="53612632">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w:t>
      </w:r>
      <w:r>
        <w:rPr>
          <w:rFonts w:hint="eastAsia" w:eastAsia="仿宋_GB2312"/>
          <w:color w:val="auto"/>
          <w:sz w:val="24"/>
          <w:szCs w:val="24"/>
          <w:highlight w:val="none"/>
        </w:rPr>
        <w:t>4.2不适用，替换为：</w:t>
      </w:r>
    </w:p>
    <w:p w14:paraId="2F9EFF20">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14.2 竣工结算审核：</w:t>
      </w:r>
    </w:p>
    <w:p w14:paraId="2BFC8343">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监理人应在收到承包人按本合同条款第14.1条款规定递交的文件和资料后 14天内完成核查并报送发包人，发包人应在收到监理人提交经审核的竣工结算申请单及文件资料后28天内进行资料符合性审查，并向承包人提出审查意见(包括需进一步补充的资料和修改结算文件)。承包人在收到审查意见后的 15 天内按发包人提出的合理要求补充资料，修改竣工结算文件，并再次按本合同条款第14.1条款规定递交竣工结算申请单（含竣工工程款额报告、竣工支付申请和竣工结算文件等）。发包人和监理人在上述规定时间内要求承包人补充资料的，发包人核实竣工结算时间相应顺延。</w:t>
      </w:r>
    </w:p>
    <w:p w14:paraId="753E6030">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承包人须自费负责一切结算的费用，发包人无需另行支付其他费用。</w:t>
      </w:r>
    </w:p>
    <w:p w14:paraId="4574E189">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关于竣工付款证书异议部分复核的方式和程序：</w:t>
      </w:r>
      <w:r>
        <w:rPr>
          <w:rFonts w:eastAsia="仿宋_GB2312"/>
          <w:color w:val="auto"/>
          <w:sz w:val="24"/>
          <w:szCs w:val="24"/>
          <w:highlight w:val="none"/>
        </w:rPr>
        <w:t>承包人对发包人签认的竣工付款证书有异议的，对于有异议部分应在收到发包人签认的竣工付款证书后7天内提出异议，并由合同当事人进行复核</w:t>
      </w:r>
      <w:r>
        <w:rPr>
          <w:rFonts w:hint="eastAsia" w:eastAsia="仿宋_GB2312"/>
          <w:color w:val="auto"/>
          <w:sz w:val="24"/>
          <w:szCs w:val="24"/>
          <w:highlight w:val="none"/>
        </w:rPr>
        <w:t>并协商</w:t>
      </w:r>
      <w:r>
        <w:rPr>
          <w:rFonts w:eastAsia="仿宋_GB2312"/>
          <w:color w:val="auto"/>
          <w:sz w:val="24"/>
          <w:szCs w:val="24"/>
          <w:highlight w:val="none"/>
        </w:rPr>
        <w:t>，</w:t>
      </w:r>
      <w:r>
        <w:rPr>
          <w:rFonts w:hint="eastAsia" w:eastAsia="仿宋_GB2312"/>
          <w:color w:val="auto"/>
          <w:sz w:val="24"/>
          <w:szCs w:val="24"/>
          <w:highlight w:val="none"/>
        </w:rPr>
        <w:t>不能协商一致的，</w:t>
      </w:r>
      <w:r>
        <w:rPr>
          <w:rFonts w:eastAsia="仿宋_GB2312"/>
          <w:color w:val="auto"/>
          <w:sz w:val="24"/>
          <w:szCs w:val="24"/>
          <w:highlight w:val="none"/>
        </w:rPr>
        <w:t>按照第20条</w:t>
      </w:r>
      <w:r>
        <w:rPr>
          <w:rFonts w:hint="eastAsia" w:eastAsia="仿宋_GB2312"/>
          <w:color w:val="auto"/>
          <w:sz w:val="24"/>
          <w:szCs w:val="24"/>
          <w:highlight w:val="none"/>
        </w:rPr>
        <w:t>〔</w:t>
      </w:r>
      <w:r>
        <w:rPr>
          <w:rFonts w:eastAsia="仿宋_GB2312"/>
          <w:color w:val="auto"/>
          <w:sz w:val="24"/>
          <w:szCs w:val="24"/>
          <w:highlight w:val="none"/>
        </w:rPr>
        <w:t>争议解决</w:t>
      </w:r>
      <w:r>
        <w:rPr>
          <w:rFonts w:hint="eastAsia" w:eastAsia="仿宋_GB2312"/>
          <w:color w:val="auto"/>
          <w:sz w:val="24"/>
          <w:szCs w:val="24"/>
          <w:highlight w:val="none"/>
        </w:rPr>
        <w:t>〕</w:t>
      </w:r>
      <w:r>
        <w:rPr>
          <w:rFonts w:eastAsia="仿宋_GB2312"/>
          <w:color w:val="auto"/>
          <w:sz w:val="24"/>
          <w:szCs w:val="24"/>
          <w:highlight w:val="none"/>
        </w:rPr>
        <w:t>约定处理。承包人逾期未提出异议的，视为认可发包人的</w:t>
      </w:r>
      <w:r>
        <w:rPr>
          <w:rFonts w:hint="eastAsia" w:eastAsia="仿宋_GB2312"/>
          <w:color w:val="auto"/>
          <w:sz w:val="24"/>
          <w:szCs w:val="24"/>
          <w:highlight w:val="none"/>
        </w:rPr>
        <w:t>审批</w:t>
      </w:r>
      <w:r>
        <w:rPr>
          <w:rFonts w:eastAsia="仿宋_GB2312"/>
          <w:color w:val="auto"/>
          <w:sz w:val="24"/>
          <w:szCs w:val="24"/>
          <w:highlight w:val="none"/>
        </w:rPr>
        <w:t>结果。</w:t>
      </w:r>
    </w:p>
    <w:p w14:paraId="7F742126">
      <w:pPr>
        <w:spacing w:line="360" w:lineRule="auto"/>
        <w:ind w:firstLine="480" w:firstLineChars="200"/>
        <w:jc w:val="left"/>
        <w:rPr>
          <w:rFonts w:eastAsia="黑体"/>
          <w:color w:val="auto"/>
          <w:sz w:val="24"/>
          <w:szCs w:val="24"/>
          <w:highlight w:val="none"/>
        </w:rPr>
      </w:pPr>
      <w:r>
        <w:rPr>
          <w:rFonts w:eastAsia="黑体"/>
          <w:color w:val="auto"/>
          <w:sz w:val="24"/>
          <w:szCs w:val="24"/>
          <w:highlight w:val="none"/>
        </w:rPr>
        <w:t>14.4 最终结清</w:t>
      </w:r>
    </w:p>
    <w:p w14:paraId="47718692">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14.4.1 最终结清申请单</w:t>
      </w:r>
    </w:p>
    <w:p w14:paraId="4A0B9658">
      <w:pPr>
        <w:spacing w:line="360" w:lineRule="auto"/>
        <w:ind w:firstLine="480" w:firstLineChars="200"/>
        <w:jc w:val="left"/>
        <w:rPr>
          <w:rFonts w:eastAsia="仿宋_GB2312"/>
          <w:color w:val="auto"/>
          <w:kern w:val="0"/>
          <w:sz w:val="24"/>
          <w:szCs w:val="24"/>
          <w:highlight w:val="none"/>
        </w:rPr>
      </w:pPr>
      <w:r>
        <w:rPr>
          <w:rFonts w:eastAsia="仿宋_GB2312"/>
          <w:color w:val="auto"/>
          <w:kern w:val="0"/>
          <w:sz w:val="24"/>
          <w:szCs w:val="24"/>
          <w:highlight w:val="none"/>
        </w:rPr>
        <w:t>承包人提交最终结清申请单的份数：</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4份</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w:t>
      </w:r>
    </w:p>
    <w:p w14:paraId="0118FEA4">
      <w:pPr>
        <w:spacing w:line="360" w:lineRule="auto"/>
        <w:ind w:firstLine="480" w:firstLineChars="200"/>
        <w:jc w:val="left"/>
        <w:rPr>
          <w:rFonts w:eastAsia="仿宋_GB2312"/>
          <w:color w:val="auto"/>
          <w:sz w:val="24"/>
          <w:szCs w:val="24"/>
          <w:highlight w:val="none"/>
          <w:u w:val="single"/>
        </w:rPr>
      </w:pPr>
      <w:r>
        <w:rPr>
          <w:rFonts w:eastAsia="仿宋_GB2312"/>
          <w:color w:val="auto"/>
          <w:kern w:val="0"/>
          <w:sz w:val="24"/>
          <w:szCs w:val="24"/>
          <w:highlight w:val="none"/>
        </w:rPr>
        <w:t>承包人提交最终结算申请单的期限：</w:t>
      </w:r>
      <w:r>
        <w:rPr>
          <w:rFonts w:hint="eastAsia" w:eastAsia="仿宋_GB2312"/>
          <w:color w:val="auto"/>
          <w:sz w:val="24"/>
          <w:szCs w:val="24"/>
          <w:highlight w:val="none"/>
          <w:u w:val="single"/>
        </w:rPr>
        <w:t>缺陷责任期终止证书颁发后7天内</w:t>
      </w:r>
      <w:r>
        <w:rPr>
          <w:rFonts w:eastAsia="仿宋_GB2312"/>
          <w:color w:val="auto"/>
          <w:sz w:val="24"/>
          <w:szCs w:val="24"/>
          <w:highlight w:val="none"/>
          <w:u w:val="single"/>
        </w:rPr>
        <w:t xml:space="preserve">。 </w:t>
      </w:r>
    </w:p>
    <w:bookmarkEnd w:id="949"/>
    <w:bookmarkEnd w:id="950"/>
    <w:bookmarkEnd w:id="951"/>
    <w:bookmarkEnd w:id="952"/>
    <w:bookmarkEnd w:id="953"/>
    <w:bookmarkEnd w:id="954"/>
    <w:bookmarkEnd w:id="955"/>
    <w:bookmarkEnd w:id="961"/>
    <w:p w14:paraId="6807BD2A">
      <w:pPr>
        <w:spacing w:line="360" w:lineRule="auto"/>
        <w:ind w:firstLine="480" w:firstLineChars="200"/>
        <w:jc w:val="left"/>
        <w:rPr>
          <w:rFonts w:hint="eastAsia" w:eastAsia="仿宋_GB2312"/>
          <w:color w:val="auto"/>
          <w:kern w:val="0"/>
          <w:sz w:val="24"/>
          <w:szCs w:val="24"/>
          <w:highlight w:val="none"/>
        </w:rPr>
      </w:pPr>
      <w:bookmarkStart w:id="964" w:name="_Toc267251483"/>
      <w:bookmarkStart w:id="965" w:name="_Toc267251484"/>
      <w:bookmarkStart w:id="966" w:name="_Toc267251482"/>
      <w:bookmarkStart w:id="967" w:name="_Toc267251485"/>
      <w:bookmarkStart w:id="968" w:name="_Toc267251488"/>
      <w:bookmarkStart w:id="969" w:name="_Toc267251486"/>
      <w:bookmarkStart w:id="970" w:name="_Toc267251489"/>
      <w:bookmarkStart w:id="971" w:name="_Toc267251490"/>
      <w:bookmarkStart w:id="972" w:name="_Toc267251495"/>
      <w:bookmarkStart w:id="973" w:name="_Toc267251492"/>
      <w:bookmarkStart w:id="974" w:name="_Toc267251503"/>
      <w:bookmarkStart w:id="975" w:name="_Toc267251498"/>
      <w:bookmarkStart w:id="976" w:name="_Toc267251502"/>
      <w:bookmarkStart w:id="977" w:name="_Toc267251501"/>
      <w:bookmarkStart w:id="978" w:name="_Toc267251491"/>
      <w:bookmarkStart w:id="979" w:name="_Toc267251494"/>
      <w:bookmarkStart w:id="980" w:name="_Toc267251499"/>
      <w:bookmarkStart w:id="981" w:name="_Toc267251493"/>
      <w:bookmarkStart w:id="982" w:name="_Toc267251497"/>
      <w:bookmarkStart w:id="983" w:name="_Toc267251496"/>
      <w:bookmarkStart w:id="984" w:name="_Toc267251504"/>
      <w:bookmarkStart w:id="985" w:name="_Toc267251507"/>
      <w:bookmarkStart w:id="986" w:name="_Toc267251506"/>
      <w:bookmarkStart w:id="987" w:name="_Toc267251508"/>
      <w:bookmarkStart w:id="988" w:name="_Toc267251515"/>
      <w:bookmarkStart w:id="989" w:name="_Toc267251509"/>
      <w:bookmarkStart w:id="990" w:name="_Toc267251511"/>
      <w:bookmarkStart w:id="991" w:name="_Toc267251513"/>
      <w:bookmarkStart w:id="992" w:name="_Toc267251510"/>
      <w:bookmarkStart w:id="993" w:name="_Toc267251514"/>
      <w:r>
        <w:rPr>
          <w:rFonts w:hint="eastAsia" w:eastAsia="仿宋_GB2312"/>
          <w:color w:val="auto"/>
          <w:kern w:val="0"/>
          <w:sz w:val="24"/>
          <w:szCs w:val="24"/>
          <w:highlight w:val="none"/>
        </w:rPr>
        <w:t>通用条款</w:t>
      </w:r>
      <w:r>
        <w:rPr>
          <w:rFonts w:eastAsia="仿宋_GB2312"/>
          <w:color w:val="auto"/>
          <w:kern w:val="0"/>
          <w:sz w:val="24"/>
          <w:szCs w:val="24"/>
          <w:highlight w:val="none"/>
        </w:rPr>
        <w:t>1</w:t>
      </w:r>
      <w:r>
        <w:rPr>
          <w:rFonts w:hint="eastAsia" w:eastAsia="仿宋_GB2312"/>
          <w:color w:val="auto"/>
          <w:kern w:val="0"/>
          <w:sz w:val="24"/>
          <w:szCs w:val="24"/>
          <w:highlight w:val="none"/>
        </w:rPr>
        <w:t>4.4.2不适用，替换为：</w:t>
      </w:r>
    </w:p>
    <w:p w14:paraId="497255EA">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 xml:space="preserve">14.4.2 </w:t>
      </w:r>
      <w:r>
        <w:rPr>
          <w:rFonts w:hint="eastAsia" w:eastAsia="仿宋_GB2312"/>
          <w:color w:val="auto"/>
          <w:sz w:val="24"/>
          <w:szCs w:val="24"/>
          <w:highlight w:val="none"/>
        </w:rPr>
        <w:t>最终结清证书和支付</w:t>
      </w:r>
    </w:p>
    <w:p w14:paraId="6AD023A3">
      <w:pPr>
        <w:spacing w:line="360" w:lineRule="auto"/>
        <w:ind w:firstLine="480" w:firstLineChars="200"/>
        <w:jc w:val="left"/>
        <w:rPr>
          <w:rFonts w:hint="eastAsia" w:eastAsia="仿宋_GB2312"/>
          <w:color w:val="auto"/>
          <w:sz w:val="24"/>
          <w:szCs w:val="24"/>
          <w:highlight w:val="none"/>
          <w:u w:val="single"/>
        </w:rPr>
      </w:pPr>
      <w:r>
        <w:rPr>
          <w:rFonts w:hint="eastAsia" w:eastAsia="仿宋_GB2312"/>
          <w:color w:val="auto"/>
          <w:sz w:val="24"/>
          <w:szCs w:val="24"/>
          <w:highlight w:val="none"/>
        </w:rPr>
        <w:t>（1）发包人应在收到最终清算支付申请后的14天内予以审核，并将核实的结果通知承包人。核实的结果须说明发包人已支付的款项和结算价款。若前述两个价款有差额，还须相应地列明是发包人欠承包人的，还是承包人欠发包人的。合同双方当事人应在收到核实结果后的7天内在最终清算文件上签字确认。</w:t>
      </w:r>
    </w:p>
    <w:p w14:paraId="69D2F19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增加14.5条款，具体如下：</w:t>
      </w:r>
    </w:p>
    <w:p w14:paraId="10B749C3">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14.5 承包人工程结算款承诺：</w:t>
      </w:r>
    </w:p>
    <w:p w14:paraId="1FA4143F">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承包人保证提交监理工程师、造价工程师、发包人的工程结算书中的工程结算款具备相当的准确度，即承包人提交监理工程师、造价工程师、发包人的工程结算款与本工程结算发包人的终审部门的审核价相比，差值必须控制在承包人提交监理工程师、造价工程师、发包人的工程结算款的10％范围内；如超出该范围，承包人无条件同意发包人按超出终审价10%范围以外部分的20％金额作为违约金直接从承包人工程结算款中予以扣减，即超出结算款违约金=（承包人申报结算金额-发包人结算审定金额*1.1）*20%，但发包人确认为非承包人所造成原因的除外。</w:t>
      </w:r>
    </w:p>
    <w:p w14:paraId="0896CBEA">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施工过程中类似造价申报及审核参照上述执行。</w:t>
      </w:r>
    </w:p>
    <w:p w14:paraId="0E3D04C9">
      <w:pPr>
        <w:pStyle w:val="6"/>
        <w:spacing w:before="120" w:after="120" w:line="360" w:lineRule="auto"/>
        <w:rPr>
          <w:rFonts w:hint="eastAsia" w:ascii="Times New Roman" w:hAnsi="Times New Roman" w:eastAsia="黑体"/>
          <w:b w:val="0"/>
          <w:color w:val="auto"/>
          <w:sz w:val="24"/>
          <w:szCs w:val="24"/>
          <w:highlight w:val="none"/>
        </w:rPr>
      </w:pPr>
      <w:bookmarkStart w:id="994" w:name="_Toc32835791"/>
      <w:r>
        <w:rPr>
          <w:rFonts w:ascii="Times New Roman" w:hAnsi="Times New Roman" w:eastAsia="黑体"/>
          <w:b w:val="0"/>
          <w:color w:val="auto"/>
          <w:sz w:val="24"/>
          <w:szCs w:val="24"/>
          <w:highlight w:val="none"/>
        </w:rPr>
        <w:t>15. 缺陷责任期与保修</w:t>
      </w:r>
      <w:bookmarkEnd w:id="994"/>
    </w:p>
    <w:p w14:paraId="0A3E309A">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15.</w:t>
      </w:r>
      <w:r>
        <w:rPr>
          <w:rFonts w:hint="eastAsia" w:eastAsia="仿宋_GB2312"/>
          <w:color w:val="auto"/>
          <w:sz w:val="24"/>
          <w:szCs w:val="24"/>
          <w:highlight w:val="none"/>
        </w:rPr>
        <w:t xml:space="preserve"> 1不适用，替换为：</w:t>
      </w:r>
    </w:p>
    <w:p w14:paraId="09F7F91D">
      <w:pPr>
        <w:spacing w:line="360" w:lineRule="auto"/>
        <w:ind w:firstLine="480" w:firstLineChars="200"/>
        <w:jc w:val="left"/>
        <w:rPr>
          <w:rFonts w:eastAsia="仿宋_GB2312"/>
          <w:color w:val="auto"/>
          <w:sz w:val="24"/>
          <w:szCs w:val="24"/>
          <w:highlight w:val="none"/>
          <w:u w:val="single"/>
        </w:rPr>
      </w:pPr>
      <w:r>
        <w:rPr>
          <w:rFonts w:eastAsia="仿宋_GB2312"/>
          <w:color w:val="auto"/>
          <w:sz w:val="24"/>
          <w:szCs w:val="24"/>
          <w:highlight w:val="none"/>
          <w:u w:val="single"/>
        </w:rPr>
        <w:t>在工程移交发包人后，承包人应承担质量缺陷责任和保修义务。缺陷责任期届满，承包人仍应按合同约定的工程各部位保修年限承担保修义务。</w:t>
      </w:r>
    </w:p>
    <w:p w14:paraId="20A50143">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15.2缺陷责任期</w:t>
      </w:r>
      <w:bookmarkEnd w:id="964"/>
    </w:p>
    <w:p w14:paraId="0448EC2F">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15.2.1</w:t>
      </w:r>
      <w:r>
        <w:rPr>
          <w:rFonts w:eastAsia="仿宋_GB2312"/>
          <w:color w:val="auto"/>
          <w:sz w:val="24"/>
          <w:szCs w:val="24"/>
          <w:highlight w:val="none"/>
        </w:rPr>
        <w:t>缺陷责任期的具体期限：</w:t>
      </w:r>
      <w:r>
        <w:rPr>
          <w:rFonts w:hint="eastAsia" w:eastAsia="仿宋_GB2312"/>
          <w:color w:val="auto"/>
          <w:sz w:val="24"/>
          <w:szCs w:val="24"/>
          <w:highlight w:val="none"/>
          <w:u w:val="single"/>
        </w:rPr>
        <w:t>24个月</w:t>
      </w:r>
      <w:r>
        <w:rPr>
          <w:rFonts w:eastAsia="仿宋_GB2312"/>
          <w:color w:val="auto"/>
          <w:sz w:val="24"/>
          <w:szCs w:val="24"/>
          <w:highlight w:val="none"/>
        </w:rPr>
        <w:t>。</w:t>
      </w:r>
    </w:p>
    <w:p w14:paraId="52E1CA2D">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15.2.</w:t>
      </w:r>
      <w:r>
        <w:rPr>
          <w:rFonts w:hint="eastAsia" w:eastAsia="仿宋_GB2312"/>
          <w:color w:val="auto"/>
          <w:sz w:val="24"/>
          <w:szCs w:val="24"/>
          <w:highlight w:val="none"/>
        </w:rPr>
        <w:t>2不适用，替换为：</w:t>
      </w:r>
    </w:p>
    <w:p w14:paraId="0412BBA9">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5.2.2 工程竣工验收合格后，因缺陷或损坏致使工程、单位工程或某项主要设备不能按原定目的使用的，则发包人有权要求承包人延长缺陷责任期，并应在原缺陷责任期届满前发出延长通知，但</w:t>
      </w:r>
      <w:r>
        <w:rPr>
          <w:rFonts w:hint="eastAsia" w:eastAsia="仿宋_GB2312"/>
          <w:color w:val="auto"/>
          <w:sz w:val="24"/>
          <w:szCs w:val="24"/>
          <w:highlight w:val="none"/>
        </w:rPr>
        <w:t>工程</w:t>
      </w:r>
      <w:r>
        <w:rPr>
          <w:rFonts w:eastAsia="仿宋_GB2312"/>
          <w:color w:val="auto"/>
          <w:sz w:val="24"/>
          <w:szCs w:val="24"/>
          <w:highlight w:val="none"/>
        </w:rPr>
        <w:t>缺陷责任期</w:t>
      </w:r>
      <w:r>
        <w:rPr>
          <w:rFonts w:hint="eastAsia" w:eastAsia="仿宋_GB2312"/>
          <w:color w:val="auto"/>
          <w:sz w:val="24"/>
          <w:szCs w:val="24"/>
          <w:highlight w:val="none"/>
        </w:rPr>
        <w:t>延长</w:t>
      </w:r>
      <w:r>
        <w:rPr>
          <w:rFonts w:eastAsia="仿宋_GB2312"/>
          <w:color w:val="auto"/>
          <w:sz w:val="24"/>
          <w:szCs w:val="24"/>
          <w:highlight w:val="none"/>
        </w:rPr>
        <w:t>最长不能超过</w:t>
      </w:r>
      <w:r>
        <w:rPr>
          <w:rFonts w:hint="eastAsia" w:eastAsia="仿宋_GB2312"/>
          <w:color w:val="auto"/>
          <w:sz w:val="24"/>
          <w:szCs w:val="24"/>
          <w:highlight w:val="none"/>
        </w:rPr>
        <w:t>24</w:t>
      </w:r>
      <w:r>
        <w:rPr>
          <w:rFonts w:eastAsia="仿宋_GB2312"/>
          <w:color w:val="auto"/>
          <w:sz w:val="24"/>
          <w:szCs w:val="24"/>
          <w:highlight w:val="none"/>
        </w:rPr>
        <w:t>个月。</w:t>
      </w:r>
    </w:p>
    <w:p w14:paraId="54A6BAEC">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w:t>
      </w:r>
      <w:r>
        <w:rPr>
          <w:rFonts w:hint="eastAsia" w:eastAsia="仿宋_GB2312"/>
          <w:color w:val="auto"/>
          <w:sz w:val="24"/>
          <w:szCs w:val="24"/>
          <w:highlight w:val="none"/>
        </w:rPr>
        <w:t>5.2.4不适用，替换为：</w:t>
      </w:r>
    </w:p>
    <w:p w14:paraId="3C2FA758">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15.2.4</w:t>
      </w:r>
      <w:r>
        <w:rPr>
          <w:rFonts w:hint="eastAsia" w:eastAsia="仿宋_GB2312"/>
          <w:color w:val="auto"/>
          <w:sz w:val="24"/>
          <w:szCs w:val="24"/>
          <w:highlight w:val="none"/>
        </w:rPr>
        <w:t xml:space="preserve"> </w:t>
      </w:r>
      <w:r>
        <w:rPr>
          <w:rFonts w:eastAsia="仿宋_GB2312"/>
          <w:color w:val="auto"/>
          <w:sz w:val="24"/>
          <w:szCs w:val="24"/>
          <w:highlight w:val="none"/>
        </w:rPr>
        <w:t>承包人应于缺陷责任期届满后7天内向发包人发出缺陷责任期</w:t>
      </w:r>
      <w:r>
        <w:rPr>
          <w:rFonts w:hint="eastAsia" w:eastAsia="仿宋_GB2312"/>
          <w:color w:val="auto"/>
          <w:sz w:val="24"/>
          <w:szCs w:val="24"/>
          <w:highlight w:val="none"/>
        </w:rPr>
        <w:t>届</w:t>
      </w:r>
      <w:r>
        <w:rPr>
          <w:rFonts w:eastAsia="仿宋_GB2312"/>
          <w:color w:val="auto"/>
          <w:sz w:val="24"/>
          <w:szCs w:val="24"/>
          <w:highlight w:val="none"/>
        </w:rPr>
        <w:t>满通知，发包人应在</w:t>
      </w:r>
      <w:r>
        <w:rPr>
          <w:rFonts w:hint="eastAsia" w:eastAsia="仿宋_GB2312"/>
          <w:color w:val="auto"/>
          <w:sz w:val="24"/>
          <w:szCs w:val="24"/>
          <w:highlight w:val="none"/>
        </w:rPr>
        <w:t>收</w:t>
      </w:r>
      <w:r>
        <w:rPr>
          <w:rFonts w:eastAsia="仿宋_GB2312"/>
          <w:color w:val="auto"/>
          <w:sz w:val="24"/>
          <w:szCs w:val="24"/>
          <w:highlight w:val="none"/>
        </w:rPr>
        <w:t>到缺陷责任期满通知后</w:t>
      </w:r>
      <w:r>
        <w:rPr>
          <w:rFonts w:hint="eastAsia" w:eastAsia="仿宋_GB2312"/>
          <w:color w:val="auto"/>
          <w:sz w:val="24"/>
          <w:szCs w:val="24"/>
          <w:highlight w:val="none"/>
        </w:rPr>
        <w:t>28</w:t>
      </w:r>
      <w:r>
        <w:rPr>
          <w:rFonts w:eastAsia="仿宋_GB2312"/>
          <w:color w:val="auto"/>
          <w:sz w:val="24"/>
          <w:szCs w:val="24"/>
          <w:highlight w:val="none"/>
        </w:rPr>
        <w:t>天内核实承包人是否履行缺陷</w:t>
      </w:r>
      <w:r>
        <w:rPr>
          <w:rFonts w:hint="eastAsia" w:eastAsia="仿宋_GB2312"/>
          <w:color w:val="auto"/>
          <w:sz w:val="24"/>
          <w:szCs w:val="24"/>
          <w:highlight w:val="none"/>
        </w:rPr>
        <w:t>修复</w:t>
      </w:r>
      <w:r>
        <w:rPr>
          <w:rFonts w:eastAsia="仿宋_GB2312"/>
          <w:color w:val="auto"/>
          <w:sz w:val="24"/>
          <w:szCs w:val="24"/>
          <w:highlight w:val="none"/>
        </w:rPr>
        <w:t>义务，承包人未能履行缺陷</w:t>
      </w:r>
      <w:r>
        <w:rPr>
          <w:rFonts w:hint="eastAsia" w:eastAsia="仿宋_GB2312"/>
          <w:color w:val="auto"/>
          <w:sz w:val="24"/>
          <w:szCs w:val="24"/>
          <w:highlight w:val="none"/>
        </w:rPr>
        <w:t>修复</w:t>
      </w:r>
      <w:r>
        <w:rPr>
          <w:rFonts w:eastAsia="仿宋_GB2312"/>
          <w:color w:val="auto"/>
          <w:sz w:val="24"/>
          <w:szCs w:val="24"/>
          <w:highlight w:val="none"/>
        </w:rPr>
        <w:t>义务的，发包人有权扣除相应金额的维修费用。发包人应在</w:t>
      </w:r>
      <w:r>
        <w:rPr>
          <w:rFonts w:hint="eastAsia" w:eastAsia="仿宋_GB2312"/>
          <w:color w:val="auto"/>
          <w:sz w:val="24"/>
          <w:szCs w:val="24"/>
          <w:highlight w:val="none"/>
        </w:rPr>
        <w:t>收到</w:t>
      </w:r>
      <w:r>
        <w:rPr>
          <w:rFonts w:eastAsia="仿宋_GB2312"/>
          <w:color w:val="auto"/>
          <w:sz w:val="24"/>
          <w:szCs w:val="24"/>
          <w:highlight w:val="none"/>
        </w:rPr>
        <w:t>缺陷责任期</w:t>
      </w:r>
      <w:r>
        <w:rPr>
          <w:rFonts w:hint="eastAsia" w:eastAsia="仿宋_GB2312"/>
          <w:color w:val="auto"/>
          <w:sz w:val="24"/>
          <w:szCs w:val="24"/>
          <w:highlight w:val="none"/>
        </w:rPr>
        <w:t>届</w:t>
      </w:r>
      <w:r>
        <w:rPr>
          <w:rFonts w:eastAsia="仿宋_GB2312"/>
          <w:color w:val="auto"/>
          <w:sz w:val="24"/>
          <w:szCs w:val="24"/>
          <w:highlight w:val="none"/>
        </w:rPr>
        <w:t>满</w:t>
      </w:r>
      <w:r>
        <w:rPr>
          <w:rFonts w:hint="eastAsia" w:eastAsia="仿宋_GB2312"/>
          <w:color w:val="auto"/>
          <w:sz w:val="24"/>
          <w:szCs w:val="24"/>
          <w:highlight w:val="none"/>
        </w:rPr>
        <w:t>通知后28</w:t>
      </w:r>
      <w:r>
        <w:rPr>
          <w:rFonts w:eastAsia="仿宋_GB2312"/>
          <w:color w:val="auto"/>
          <w:sz w:val="24"/>
          <w:szCs w:val="24"/>
          <w:highlight w:val="none"/>
        </w:rPr>
        <w:t>天内，向承包人颁发缺陷责任期终止证</w:t>
      </w:r>
      <w:r>
        <w:rPr>
          <w:rFonts w:hint="eastAsia" w:eastAsia="仿宋_GB2312"/>
          <w:color w:val="auto"/>
          <w:sz w:val="24"/>
          <w:szCs w:val="24"/>
          <w:highlight w:val="none"/>
        </w:rPr>
        <w:t>书</w:t>
      </w:r>
      <w:r>
        <w:rPr>
          <w:rFonts w:eastAsia="仿宋_GB2312"/>
          <w:color w:val="auto"/>
          <w:sz w:val="24"/>
          <w:szCs w:val="24"/>
          <w:highlight w:val="none"/>
        </w:rPr>
        <w:t>。</w:t>
      </w:r>
    </w:p>
    <w:p w14:paraId="284AD271">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w:t>
      </w:r>
      <w:r>
        <w:rPr>
          <w:rFonts w:hint="eastAsia" w:eastAsia="仿宋_GB2312"/>
          <w:color w:val="auto"/>
          <w:sz w:val="24"/>
          <w:szCs w:val="24"/>
          <w:highlight w:val="none"/>
        </w:rPr>
        <w:t>5.3不适用，替换为：</w:t>
      </w:r>
    </w:p>
    <w:p w14:paraId="3D9C920E">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15.3 质量保证金</w:t>
      </w:r>
    </w:p>
    <w:p w14:paraId="02CD3CCA">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15.3.1</w:t>
      </w:r>
      <w:r>
        <w:rPr>
          <w:rFonts w:hint="eastAsia" w:eastAsia="仿宋_GB2312"/>
          <w:color w:val="auto"/>
          <w:sz w:val="24"/>
          <w:szCs w:val="24"/>
          <w:highlight w:val="none"/>
        </w:rPr>
        <w:t>承包人提供</w:t>
      </w:r>
      <w:r>
        <w:rPr>
          <w:rFonts w:eastAsia="仿宋_GB2312"/>
          <w:color w:val="auto"/>
          <w:sz w:val="24"/>
          <w:szCs w:val="24"/>
          <w:highlight w:val="none"/>
        </w:rPr>
        <w:t>质量保证金的</w:t>
      </w:r>
      <w:r>
        <w:rPr>
          <w:rFonts w:hint="eastAsia" w:eastAsia="仿宋_GB2312"/>
          <w:color w:val="auto"/>
          <w:sz w:val="24"/>
          <w:szCs w:val="24"/>
          <w:highlight w:val="none"/>
        </w:rPr>
        <w:t>方</w:t>
      </w:r>
      <w:r>
        <w:rPr>
          <w:rFonts w:eastAsia="仿宋_GB2312"/>
          <w:color w:val="auto"/>
          <w:sz w:val="24"/>
          <w:szCs w:val="24"/>
          <w:highlight w:val="none"/>
        </w:rPr>
        <w:t>式</w:t>
      </w:r>
    </w:p>
    <w:p w14:paraId="0D00129B">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本工程须扣留最终结算价的3%作为质量保证金。</w:t>
      </w:r>
    </w:p>
    <w:p w14:paraId="46D79C9A">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 xml:space="preserve">15.3.2 质量保证金的扣留 </w:t>
      </w:r>
    </w:p>
    <w:p w14:paraId="0BB74845">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发包人从</w:t>
      </w:r>
      <w:r>
        <w:rPr>
          <w:rFonts w:eastAsia="仿宋_GB2312"/>
          <w:color w:val="auto"/>
          <w:sz w:val="24"/>
          <w:szCs w:val="24"/>
          <w:highlight w:val="none"/>
        </w:rPr>
        <w:t>工程竣工结算</w:t>
      </w:r>
      <w:r>
        <w:rPr>
          <w:rFonts w:hint="eastAsia" w:eastAsia="仿宋_GB2312"/>
          <w:color w:val="auto"/>
          <w:sz w:val="24"/>
          <w:szCs w:val="24"/>
          <w:highlight w:val="none"/>
        </w:rPr>
        <w:t>款中</w:t>
      </w:r>
      <w:r>
        <w:rPr>
          <w:rFonts w:eastAsia="仿宋_GB2312"/>
          <w:color w:val="auto"/>
          <w:sz w:val="24"/>
          <w:szCs w:val="24"/>
          <w:highlight w:val="none"/>
        </w:rPr>
        <w:t>一次性扣留质量保证金</w:t>
      </w:r>
      <w:r>
        <w:rPr>
          <w:rFonts w:hint="eastAsia" w:eastAsia="仿宋_GB2312"/>
          <w:color w:val="auto"/>
          <w:sz w:val="24"/>
          <w:szCs w:val="24"/>
          <w:highlight w:val="none"/>
        </w:rPr>
        <w:t>。</w:t>
      </w:r>
    </w:p>
    <w:p w14:paraId="749F1431">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15.3.</w:t>
      </w:r>
      <w:r>
        <w:rPr>
          <w:rFonts w:hint="eastAsia" w:eastAsia="仿宋_GB2312"/>
          <w:color w:val="auto"/>
          <w:sz w:val="24"/>
          <w:szCs w:val="24"/>
          <w:highlight w:val="none"/>
        </w:rPr>
        <w:t>3</w:t>
      </w:r>
      <w:r>
        <w:rPr>
          <w:rFonts w:eastAsia="仿宋_GB2312"/>
          <w:color w:val="auto"/>
          <w:sz w:val="24"/>
          <w:szCs w:val="24"/>
          <w:highlight w:val="none"/>
        </w:rPr>
        <w:t xml:space="preserve"> 质量保证金的</w:t>
      </w:r>
      <w:r>
        <w:rPr>
          <w:rFonts w:hint="eastAsia" w:eastAsia="仿宋_GB2312"/>
          <w:color w:val="auto"/>
          <w:sz w:val="24"/>
          <w:szCs w:val="24"/>
          <w:highlight w:val="none"/>
        </w:rPr>
        <w:t>退还</w:t>
      </w:r>
    </w:p>
    <w:p w14:paraId="1BFB02B0">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工程竣工验收合格缺陷期满后28天内返还给承包人。质量保证金的返还，并不能解除承包人按合同约定应负的质量保修义务。专用条款12</w:t>
      </w:r>
      <w:r>
        <w:rPr>
          <w:rFonts w:eastAsia="仿宋_GB2312"/>
          <w:color w:val="auto"/>
          <w:sz w:val="24"/>
          <w:szCs w:val="24"/>
          <w:highlight w:val="none"/>
        </w:rPr>
        <w:t>.4.</w:t>
      </w:r>
      <w:r>
        <w:rPr>
          <w:rFonts w:hint="eastAsia" w:eastAsia="仿宋_GB2312"/>
          <w:color w:val="auto"/>
          <w:sz w:val="24"/>
          <w:szCs w:val="24"/>
          <w:highlight w:val="none"/>
        </w:rPr>
        <w:t>4条另有约定的从其约定。</w:t>
      </w:r>
    </w:p>
    <w:bookmarkEnd w:id="965"/>
    <w:bookmarkEnd w:id="966"/>
    <w:p w14:paraId="70B0CE85">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15.4保修</w:t>
      </w:r>
    </w:p>
    <w:bookmarkEnd w:id="967"/>
    <w:p w14:paraId="7BFDF373">
      <w:pPr>
        <w:spacing w:line="360" w:lineRule="auto"/>
        <w:ind w:firstLine="468" w:firstLineChars="195"/>
        <w:jc w:val="left"/>
        <w:rPr>
          <w:rFonts w:eastAsia="仿宋_GB2312"/>
          <w:color w:val="auto"/>
          <w:sz w:val="24"/>
          <w:szCs w:val="24"/>
          <w:highlight w:val="none"/>
        </w:rPr>
      </w:pPr>
      <w:r>
        <w:rPr>
          <w:rFonts w:eastAsia="仿宋_GB2312"/>
          <w:color w:val="auto"/>
          <w:sz w:val="24"/>
          <w:szCs w:val="24"/>
          <w:highlight w:val="none"/>
        </w:rPr>
        <w:t>15.4.1 保修责任</w:t>
      </w:r>
    </w:p>
    <w:p w14:paraId="5553D44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合同主体双方一致同意本合同承包范围内所述保修义务均为承包人保修义务。</w:t>
      </w:r>
    </w:p>
    <w:p w14:paraId="0B897B23">
      <w:pPr>
        <w:spacing w:line="360" w:lineRule="auto"/>
        <w:ind w:firstLine="468" w:firstLineChars="195"/>
        <w:jc w:val="left"/>
        <w:rPr>
          <w:rFonts w:hint="eastAsia" w:eastAsia="仿宋_GB2312"/>
          <w:color w:val="auto"/>
          <w:sz w:val="24"/>
          <w:szCs w:val="24"/>
          <w:highlight w:val="none"/>
        </w:rPr>
      </w:pPr>
      <w:r>
        <w:rPr>
          <w:rFonts w:eastAsia="仿宋_GB2312"/>
          <w:color w:val="auto"/>
          <w:sz w:val="24"/>
          <w:szCs w:val="24"/>
          <w:highlight w:val="none"/>
        </w:rPr>
        <w:t>工程保修期为：</w:t>
      </w:r>
      <w:r>
        <w:rPr>
          <w:rFonts w:hint="eastAsia" w:eastAsia="仿宋_GB2312"/>
          <w:color w:val="auto"/>
          <w:sz w:val="24"/>
          <w:szCs w:val="24"/>
          <w:highlight w:val="none"/>
        </w:rPr>
        <w:t>发包人、承包人根据《建设工程质量管理条例》及有关规定约定工程保修期，详见《工程质量保修书》。</w:t>
      </w:r>
    </w:p>
    <w:p w14:paraId="40E65CBB">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w:t>
      </w:r>
      <w:r>
        <w:rPr>
          <w:rFonts w:hint="eastAsia" w:eastAsia="仿宋_GB2312"/>
          <w:color w:val="auto"/>
          <w:sz w:val="24"/>
          <w:szCs w:val="24"/>
          <w:highlight w:val="none"/>
        </w:rPr>
        <w:t>5.4.2不适用，替换为：</w:t>
      </w:r>
    </w:p>
    <w:p w14:paraId="196C3CA8">
      <w:pPr>
        <w:spacing w:line="360" w:lineRule="auto"/>
        <w:ind w:firstLine="468" w:firstLineChars="195"/>
        <w:jc w:val="left"/>
        <w:rPr>
          <w:rFonts w:eastAsia="仿宋_GB2312"/>
          <w:color w:val="auto"/>
          <w:sz w:val="24"/>
          <w:szCs w:val="24"/>
          <w:highlight w:val="none"/>
        </w:rPr>
      </w:pPr>
      <w:r>
        <w:rPr>
          <w:rFonts w:eastAsia="仿宋_GB2312"/>
          <w:color w:val="auto"/>
          <w:sz w:val="24"/>
          <w:szCs w:val="24"/>
          <w:highlight w:val="none"/>
        </w:rPr>
        <w:t>15.4.2 修复费用</w:t>
      </w:r>
    </w:p>
    <w:p w14:paraId="52A9BD9A">
      <w:pPr>
        <w:spacing w:line="360" w:lineRule="auto"/>
        <w:ind w:firstLine="468" w:firstLineChars="195"/>
        <w:jc w:val="left"/>
        <w:rPr>
          <w:rFonts w:eastAsia="仿宋_GB2312"/>
          <w:color w:val="auto"/>
          <w:sz w:val="24"/>
          <w:szCs w:val="24"/>
          <w:highlight w:val="none"/>
        </w:rPr>
      </w:pPr>
      <w:r>
        <w:rPr>
          <w:rFonts w:eastAsia="仿宋_GB2312"/>
          <w:color w:val="auto"/>
          <w:sz w:val="24"/>
          <w:szCs w:val="24"/>
          <w:highlight w:val="none"/>
        </w:rPr>
        <w:t>修复的费用按照以下约定处理：</w:t>
      </w:r>
    </w:p>
    <w:p w14:paraId="6C4B5226">
      <w:pPr>
        <w:spacing w:line="360" w:lineRule="auto"/>
        <w:ind w:firstLine="468" w:firstLineChars="195"/>
        <w:jc w:val="left"/>
        <w:rPr>
          <w:rFonts w:eastAsia="仿宋_GB2312"/>
          <w:color w:val="auto"/>
          <w:sz w:val="24"/>
          <w:szCs w:val="24"/>
          <w:highlight w:val="none"/>
        </w:rPr>
      </w:pPr>
      <w:r>
        <w:rPr>
          <w:rFonts w:eastAsia="仿宋_GB2312"/>
          <w:color w:val="auto"/>
          <w:sz w:val="24"/>
          <w:szCs w:val="24"/>
          <w:highlight w:val="none"/>
        </w:rPr>
        <w:t>（1）保修期内，工程的缺陷、损坏，承包人应负责修复，并承担修复的费用以及因工程的缺陷、损坏造成的人身伤害和财产损失；</w:t>
      </w:r>
    </w:p>
    <w:p w14:paraId="577522AC">
      <w:pPr>
        <w:spacing w:line="360" w:lineRule="auto"/>
        <w:ind w:firstLine="468" w:firstLineChars="195"/>
        <w:jc w:val="left"/>
        <w:rPr>
          <w:rFonts w:eastAsia="仿宋_GB2312"/>
          <w:color w:val="auto"/>
          <w:sz w:val="24"/>
          <w:szCs w:val="24"/>
          <w:highlight w:val="none"/>
        </w:rPr>
      </w:pPr>
      <w:r>
        <w:rPr>
          <w:rFonts w:eastAsia="仿宋_GB2312"/>
          <w:color w:val="auto"/>
          <w:sz w:val="24"/>
          <w:szCs w:val="24"/>
          <w:highlight w:val="none"/>
        </w:rPr>
        <w:t>（2）因发包人使用不当造成工程的缺陷、损坏，</w:t>
      </w:r>
      <w:r>
        <w:rPr>
          <w:rFonts w:hint="eastAsia" w:eastAsia="仿宋_GB2312"/>
          <w:color w:val="auto"/>
          <w:sz w:val="24"/>
          <w:szCs w:val="24"/>
          <w:highlight w:val="none"/>
        </w:rPr>
        <w:t>发包人有权要求</w:t>
      </w:r>
      <w:r>
        <w:rPr>
          <w:rFonts w:eastAsia="仿宋_GB2312"/>
          <w:color w:val="auto"/>
          <w:sz w:val="24"/>
          <w:szCs w:val="24"/>
          <w:highlight w:val="none"/>
        </w:rPr>
        <w:t>承包人修复，但发包人应承担修复的费用；</w:t>
      </w:r>
    </w:p>
    <w:p w14:paraId="2E06C540">
      <w:pPr>
        <w:spacing w:line="360" w:lineRule="auto"/>
        <w:ind w:firstLine="468" w:firstLineChars="195"/>
        <w:jc w:val="left"/>
        <w:rPr>
          <w:rFonts w:hint="eastAsia" w:eastAsia="仿宋_GB2312"/>
          <w:color w:val="auto"/>
          <w:sz w:val="24"/>
          <w:szCs w:val="24"/>
          <w:highlight w:val="none"/>
        </w:rPr>
      </w:pPr>
      <w:r>
        <w:rPr>
          <w:rFonts w:eastAsia="仿宋_GB2312"/>
          <w:color w:val="auto"/>
          <w:sz w:val="24"/>
          <w:szCs w:val="24"/>
          <w:highlight w:val="none"/>
        </w:rPr>
        <w:t xml:space="preserve">（3）因其他原因造成工程的缺陷、损坏，可以委托承包人修复，发包人应承担修复的费用，因工程的缺陷、损坏造成的人身伤害和财产损失由责任方承担。 </w:t>
      </w:r>
    </w:p>
    <w:p w14:paraId="4AD588CD">
      <w:pPr>
        <w:spacing w:line="360" w:lineRule="auto"/>
        <w:ind w:firstLine="468" w:firstLineChars="195"/>
        <w:jc w:val="left"/>
        <w:rPr>
          <w:rFonts w:eastAsia="仿宋_GB2312"/>
          <w:color w:val="auto"/>
          <w:sz w:val="24"/>
          <w:szCs w:val="24"/>
          <w:highlight w:val="none"/>
        </w:rPr>
      </w:pPr>
      <w:r>
        <w:rPr>
          <w:rFonts w:eastAsia="仿宋_GB2312"/>
          <w:color w:val="auto"/>
          <w:sz w:val="24"/>
          <w:szCs w:val="24"/>
          <w:highlight w:val="none"/>
        </w:rPr>
        <w:t>15.4.3 修复通知</w:t>
      </w:r>
    </w:p>
    <w:p w14:paraId="64A1F2A2">
      <w:pPr>
        <w:spacing w:line="360" w:lineRule="auto"/>
        <w:ind w:firstLine="468" w:firstLineChars="195"/>
        <w:jc w:val="left"/>
        <w:rPr>
          <w:rFonts w:hint="eastAsia" w:eastAsia="仿宋_GB2312"/>
          <w:color w:val="auto"/>
          <w:sz w:val="24"/>
          <w:szCs w:val="24"/>
          <w:highlight w:val="none"/>
        </w:rPr>
      </w:pPr>
      <w:r>
        <w:rPr>
          <w:rFonts w:eastAsia="仿宋_GB2312"/>
          <w:color w:val="auto"/>
          <w:kern w:val="0"/>
          <w:sz w:val="24"/>
          <w:szCs w:val="24"/>
          <w:highlight w:val="none"/>
        </w:rPr>
        <w:t>承包人收到保修通知并到达工程现场的合理时间：</w:t>
      </w:r>
      <w:bookmarkEnd w:id="968"/>
      <w:bookmarkEnd w:id="969"/>
      <w:bookmarkEnd w:id="970"/>
      <w:bookmarkEnd w:id="971"/>
      <w:bookmarkStart w:id="995" w:name="_Toc280868717"/>
      <w:bookmarkStart w:id="996" w:name="_Toc280868718"/>
      <w:r>
        <w:rPr>
          <w:rFonts w:eastAsia="仿宋_GB2312"/>
          <w:color w:val="auto"/>
          <w:sz w:val="24"/>
          <w:szCs w:val="24"/>
          <w:highlight w:val="none"/>
        </w:rPr>
        <w:t>包人收到保修通知</w:t>
      </w:r>
      <w:r>
        <w:rPr>
          <w:rFonts w:hint="eastAsia" w:eastAsia="仿宋_GB2312"/>
          <w:color w:val="auto"/>
          <w:sz w:val="24"/>
          <w:szCs w:val="24"/>
          <w:highlight w:val="none"/>
        </w:rPr>
        <w:t>12小时内</w:t>
      </w:r>
      <w:r>
        <w:rPr>
          <w:rFonts w:eastAsia="仿宋_GB2312"/>
          <w:color w:val="auto"/>
          <w:sz w:val="24"/>
          <w:szCs w:val="24"/>
          <w:highlight w:val="none"/>
        </w:rPr>
        <w:t>到达工程现场</w:t>
      </w:r>
      <w:r>
        <w:rPr>
          <w:rFonts w:hint="eastAsia" w:eastAsia="仿宋_GB2312"/>
          <w:color w:val="auto"/>
          <w:sz w:val="24"/>
          <w:szCs w:val="24"/>
          <w:highlight w:val="none"/>
        </w:rPr>
        <w:t>。</w:t>
      </w:r>
    </w:p>
    <w:p w14:paraId="6CDBBACD">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增加</w:t>
      </w:r>
      <w:r>
        <w:rPr>
          <w:rFonts w:eastAsia="仿宋_GB2312"/>
          <w:color w:val="auto"/>
          <w:sz w:val="24"/>
          <w:szCs w:val="24"/>
          <w:highlight w:val="none"/>
        </w:rPr>
        <w:t>15.4.3.1</w:t>
      </w:r>
      <w:r>
        <w:rPr>
          <w:rFonts w:hint="eastAsia" w:eastAsia="仿宋_GB2312"/>
          <w:color w:val="auto"/>
          <w:sz w:val="24"/>
          <w:szCs w:val="24"/>
          <w:highlight w:val="none"/>
        </w:rPr>
        <w:t>条款，具体如下：</w:t>
      </w:r>
    </w:p>
    <w:p w14:paraId="3ABAE4B6">
      <w:pPr>
        <w:spacing w:line="360" w:lineRule="auto"/>
        <w:ind w:firstLine="468" w:firstLineChars="195"/>
        <w:jc w:val="left"/>
        <w:rPr>
          <w:rFonts w:hint="eastAsia" w:eastAsia="仿宋_GB2312"/>
          <w:color w:val="auto"/>
          <w:sz w:val="24"/>
          <w:szCs w:val="24"/>
          <w:highlight w:val="none"/>
        </w:rPr>
      </w:pPr>
      <w:r>
        <w:rPr>
          <w:rFonts w:eastAsia="仿宋_GB2312"/>
          <w:color w:val="auto"/>
          <w:sz w:val="24"/>
          <w:szCs w:val="24"/>
          <w:highlight w:val="none"/>
        </w:rPr>
        <w:t>15.4.3.1</w:t>
      </w:r>
      <w:r>
        <w:rPr>
          <w:rFonts w:hint="eastAsia" w:eastAsia="仿宋_GB2312"/>
          <w:color w:val="auto"/>
          <w:sz w:val="24"/>
          <w:szCs w:val="24"/>
          <w:highlight w:val="none"/>
        </w:rPr>
        <w:t>如果承包人未能在规定时间内修正某项质量缺陷，则发包人有权按下列其中的任一种方法处理：</w:t>
      </w:r>
    </w:p>
    <w:p w14:paraId="141A26C8">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(1)在合同价款（含保留金）中对此项工作所需的费用做相应的扣除；</w:t>
      </w:r>
    </w:p>
    <w:p w14:paraId="62A7887C">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(2)可自行或指派第三方（含承包人的分包单位）修正缺陷，因此产生的费用由承包人承担。</w:t>
      </w:r>
    </w:p>
    <w:p w14:paraId="1A3825ED">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w:t>
      </w:r>
      <w:r>
        <w:rPr>
          <w:rFonts w:hint="eastAsia" w:eastAsia="仿宋_GB2312"/>
          <w:color w:val="auto"/>
          <w:sz w:val="24"/>
          <w:szCs w:val="24"/>
          <w:highlight w:val="none"/>
        </w:rPr>
        <w:t>5.4.4不适用，替换为：</w:t>
      </w:r>
    </w:p>
    <w:p w14:paraId="65AC8739">
      <w:pPr>
        <w:spacing w:line="360" w:lineRule="auto"/>
        <w:ind w:firstLine="468" w:firstLineChars="195"/>
        <w:jc w:val="left"/>
        <w:rPr>
          <w:rFonts w:eastAsia="仿宋_GB2312"/>
          <w:color w:val="auto"/>
          <w:sz w:val="24"/>
          <w:szCs w:val="24"/>
          <w:highlight w:val="none"/>
        </w:rPr>
      </w:pPr>
      <w:r>
        <w:rPr>
          <w:rFonts w:eastAsia="仿宋_GB2312"/>
          <w:color w:val="auto"/>
          <w:sz w:val="24"/>
          <w:szCs w:val="24"/>
          <w:highlight w:val="none"/>
        </w:rPr>
        <w:t>15.4.4 未能修复</w:t>
      </w:r>
    </w:p>
    <w:p w14:paraId="17DEFE8A">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如</w:t>
      </w:r>
      <w:r>
        <w:rPr>
          <w:rFonts w:eastAsia="仿宋_GB2312"/>
          <w:color w:val="auto"/>
          <w:sz w:val="24"/>
          <w:szCs w:val="24"/>
          <w:highlight w:val="none"/>
        </w:rPr>
        <w:t>承包人拒绝维修或未能在合理期限内修复缺陷或损坏，且经发包人书面催告后仍未修复的，发包人有权自行修复或委托第三方修复，</w:t>
      </w:r>
      <w:r>
        <w:rPr>
          <w:rFonts w:hint="eastAsia" w:eastAsia="仿宋_GB2312"/>
          <w:color w:val="auto"/>
          <w:sz w:val="24"/>
          <w:szCs w:val="24"/>
          <w:highlight w:val="none"/>
        </w:rPr>
        <w:t>修复费用由</w:t>
      </w:r>
      <w:r>
        <w:rPr>
          <w:rFonts w:eastAsia="仿宋_GB2312"/>
          <w:color w:val="auto"/>
          <w:sz w:val="24"/>
          <w:szCs w:val="24"/>
          <w:highlight w:val="none"/>
        </w:rPr>
        <w:t>承包人</w:t>
      </w:r>
      <w:r>
        <w:rPr>
          <w:rFonts w:hint="eastAsia" w:eastAsia="仿宋_GB2312"/>
          <w:color w:val="auto"/>
          <w:sz w:val="24"/>
          <w:szCs w:val="24"/>
          <w:highlight w:val="none"/>
        </w:rPr>
        <w:t>须</w:t>
      </w:r>
      <w:r>
        <w:rPr>
          <w:rFonts w:eastAsia="仿宋_GB2312"/>
          <w:color w:val="auto"/>
          <w:sz w:val="24"/>
          <w:szCs w:val="24"/>
          <w:highlight w:val="none"/>
        </w:rPr>
        <w:t>承担</w:t>
      </w:r>
      <w:r>
        <w:rPr>
          <w:rFonts w:hint="eastAsia" w:eastAsia="仿宋_GB2312"/>
          <w:color w:val="auto"/>
          <w:sz w:val="24"/>
          <w:szCs w:val="24"/>
          <w:highlight w:val="none"/>
        </w:rPr>
        <w:t>，同时，须按发包人要求向发包人支付现场垃圾清理费、修复管理费、利润、税金等相关费用</w:t>
      </w:r>
      <w:r>
        <w:rPr>
          <w:rFonts w:eastAsia="仿宋_GB2312"/>
          <w:color w:val="auto"/>
          <w:sz w:val="24"/>
          <w:szCs w:val="24"/>
          <w:highlight w:val="none"/>
        </w:rPr>
        <w:t>。</w:t>
      </w:r>
      <w:r>
        <w:rPr>
          <w:rFonts w:hint="eastAsia" w:eastAsia="仿宋_GB2312"/>
          <w:color w:val="auto"/>
          <w:sz w:val="24"/>
          <w:szCs w:val="24"/>
          <w:highlight w:val="none"/>
        </w:rPr>
        <w:t>因延期修复导致发包人损失的，承包人须向发包人赔偿损失。修复范围超出缺陷或损坏范围的，超出范围部分的修复费用由发包人承担。</w:t>
      </w:r>
    </w:p>
    <w:p w14:paraId="11031703">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增加</w:t>
      </w:r>
      <w:r>
        <w:rPr>
          <w:rFonts w:eastAsia="仿宋_GB2312"/>
          <w:color w:val="auto"/>
          <w:sz w:val="24"/>
          <w:szCs w:val="24"/>
          <w:highlight w:val="none"/>
        </w:rPr>
        <w:t>15.4.6</w:t>
      </w:r>
      <w:r>
        <w:rPr>
          <w:rFonts w:hint="eastAsia" w:eastAsia="仿宋_GB2312"/>
          <w:color w:val="auto"/>
          <w:sz w:val="24"/>
          <w:szCs w:val="24"/>
          <w:highlight w:val="none"/>
        </w:rPr>
        <w:t>~</w:t>
      </w:r>
      <w:r>
        <w:rPr>
          <w:rFonts w:eastAsia="仿宋_GB2312"/>
          <w:color w:val="auto"/>
          <w:sz w:val="24"/>
          <w:szCs w:val="24"/>
          <w:highlight w:val="none"/>
        </w:rPr>
        <w:t>15.4.</w:t>
      </w:r>
      <w:r>
        <w:rPr>
          <w:rFonts w:hint="eastAsia" w:eastAsia="仿宋_GB2312"/>
          <w:color w:val="auto"/>
          <w:sz w:val="24"/>
          <w:szCs w:val="24"/>
          <w:highlight w:val="none"/>
        </w:rPr>
        <w:t>7条款，具体如下：</w:t>
      </w:r>
    </w:p>
    <w:p w14:paraId="163E2CCB">
      <w:pPr>
        <w:spacing w:line="360" w:lineRule="auto"/>
        <w:ind w:firstLine="468" w:firstLineChars="195"/>
        <w:jc w:val="left"/>
        <w:rPr>
          <w:rFonts w:hint="eastAsia" w:eastAsia="仿宋_GB2312"/>
          <w:color w:val="auto"/>
          <w:sz w:val="24"/>
          <w:szCs w:val="24"/>
          <w:highlight w:val="none"/>
        </w:rPr>
      </w:pPr>
      <w:r>
        <w:rPr>
          <w:rFonts w:eastAsia="仿宋_GB2312"/>
          <w:color w:val="auto"/>
          <w:sz w:val="24"/>
          <w:szCs w:val="24"/>
          <w:highlight w:val="none"/>
        </w:rPr>
        <w:t>15.4.6</w:t>
      </w:r>
      <w:r>
        <w:rPr>
          <w:rFonts w:hint="eastAsia" w:eastAsia="仿宋_GB2312"/>
          <w:color w:val="auto"/>
          <w:sz w:val="24"/>
          <w:szCs w:val="24"/>
          <w:highlight w:val="none"/>
        </w:rPr>
        <w:t>承包人应该完成在质量保修期内或结束后14天内发包人通知其修正的质量缺陷，如果发包人认为前段中所述之工作的必要性是由于下述方面引起的，则全部费用均由承包人承担：</w:t>
      </w:r>
    </w:p>
    <w:p w14:paraId="7E3A0705">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(1)使用不符合合同规定的材料、设备装置或工艺；</w:t>
      </w:r>
    </w:p>
    <w:p w14:paraId="3A3C0A59">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(2)承包人负责设计部分永久工程时设计中出现了错误；</w:t>
      </w:r>
    </w:p>
    <w:p w14:paraId="7DA14F76">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(3)承包人未能执行或忽略了合同中规定或暗含的义务。</w:t>
      </w:r>
    </w:p>
    <w:p w14:paraId="1E66E0AC">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如果在合理时间内承包人未能执行上述指示时，发包人可自行或指派第三方修正缺陷，因此产生的费用由承包人承担。该缺陷的修正费用由造价工程师核实，承包人应支付这笔款项。</w:t>
      </w:r>
    </w:p>
    <w:p w14:paraId="6CEAB895">
      <w:pPr>
        <w:spacing w:line="360" w:lineRule="auto"/>
        <w:ind w:firstLine="468" w:firstLineChars="195"/>
        <w:jc w:val="left"/>
        <w:rPr>
          <w:rFonts w:hint="eastAsia" w:eastAsia="仿宋_GB2312"/>
          <w:color w:val="auto"/>
          <w:sz w:val="24"/>
          <w:szCs w:val="24"/>
          <w:highlight w:val="none"/>
        </w:rPr>
      </w:pPr>
      <w:r>
        <w:rPr>
          <w:rFonts w:eastAsia="仿宋_GB2312"/>
          <w:color w:val="auto"/>
          <w:sz w:val="24"/>
          <w:szCs w:val="24"/>
          <w:highlight w:val="none"/>
        </w:rPr>
        <w:t>15.4.</w:t>
      </w:r>
      <w:r>
        <w:rPr>
          <w:rFonts w:hint="eastAsia" w:eastAsia="仿宋_GB2312"/>
          <w:color w:val="auto"/>
          <w:sz w:val="24"/>
          <w:szCs w:val="24"/>
          <w:highlight w:val="none"/>
        </w:rPr>
        <w:t>7工程保修期内发现重大质量不合格问题，承包人按第</w:t>
      </w:r>
      <w:r>
        <w:rPr>
          <w:rFonts w:eastAsia="仿宋_GB2312"/>
          <w:color w:val="auto"/>
          <w:sz w:val="24"/>
          <w:szCs w:val="24"/>
          <w:highlight w:val="none"/>
        </w:rPr>
        <w:t>16.2</w:t>
      </w:r>
      <w:r>
        <w:rPr>
          <w:rFonts w:hint="eastAsia" w:eastAsia="仿宋_GB2312"/>
          <w:color w:val="auto"/>
          <w:sz w:val="24"/>
          <w:szCs w:val="24"/>
          <w:highlight w:val="none"/>
        </w:rPr>
        <w:t>条规定承担相应违约责任。</w:t>
      </w:r>
    </w:p>
    <w:p w14:paraId="62C97F0B">
      <w:pPr>
        <w:spacing w:after="120" w:line="360" w:lineRule="auto"/>
        <w:ind w:firstLine="480" w:firstLineChars="200"/>
        <w:outlineLvl w:val="0"/>
        <w:rPr>
          <w:rFonts w:eastAsia="黑体"/>
          <w:color w:val="auto"/>
          <w:sz w:val="24"/>
          <w:szCs w:val="24"/>
          <w:highlight w:val="none"/>
        </w:rPr>
      </w:pPr>
      <w:bookmarkStart w:id="997" w:name="_Toc32835792"/>
      <w:r>
        <w:rPr>
          <w:rFonts w:eastAsia="黑体"/>
          <w:color w:val="auto"/>
          <w:sz w:val="24"/>
          <w:szCs w:val="24"/>
          <w:highlight w:val="none"/>
        </w:rPr>
        <w:t>16. 违约</w:t>
      </w:r>
      <w:bookmarkEnd w:id="997"/>
    </w:p>
    <w:p w14:paraId="466068A4">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w:t>
      </w:r>
      <w:r>
        <w:rPr>
          <w:rFonts w:hint="eastAsia" w:eastAsia="仿宋_GB2312"/>
          <w:color w:val="auto"/>
          <w:sz w:val="24"/>
          <w:szCs w:val="24"/>
          <w:highlight w:val="none"/>
        </w:rPr>
        <w:t>6.1不适用，替换为：</w:t>
      </w:r>
    </w:p>
    <w:p w14:paraId="18A297C3">
      <w:pPr>
        <w:spacing w:line="360" w:lineRule="auto"/>
        <w:ind w:firstLine="468" w:firstLineChars="195"/>
        <w:jc w:val="left"/>
        <w:rPr>
          <w:rFonts w:eastAsia="仿宋_GB2312"/>
          <w:color w:val="auto"/>
          <w:sz w:val="24"/>
          <w:szCs w:val="24"/>
          <w:highlight w:val="none"/>
        </w:rPr>
      </w:pPr>
      <w:r>
        <w:rPr>
          <w:rFonts w:eastAsia="仿宋_GB2312"/>
          <w:color w:val="auto"/>
          <w:sz w:val="24"/>
          <w:szCs w:val="24"/>
          <w:highlight w:val="none"/>
        </w:rPr>
        <w:t>16.1 发包人违约</w:t>
      </w:r>
    </w:p>
    <w:p w14:paraId="35A370DD">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发包人违约责任：</w:t>
      </w:r>
    </w:p>
    <w:p w14:paraId="1CE6C1F9">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（1）违反合同专用条款12.2.1 条约定而应承担的违约责任：工程开工后，发包人不按时支付工程预付款的，承包人应催促发包人付款；造成承包人停工的，工期顺延。</w:t>
      </w:r>
    </w:p>
    <w:p w14:paraId="2183BDE4">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 xml:space="preserve">（2）违反合同专用条款12.4 条约定而应承担的违约责任：发包人不按合同约定支付工程进度款的，承包人应催促发包人付款；造成承包人停工的，工期顺延。 </w:t>
      </w:r>
    </w:p>
    <w:p w14:paraId="0B38D624">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（3）违反合同专用条款14 条约定而应承担的违约责任：发包人无正当理由不支付给承包人工程竣工结算款的，承包人应催促发包人尽快付款。</w:t>
      </w:r>
    </w:p>
    <w:p w14:paraId="091F463B">
      <w:pPr>
        <w:spacing w:line="360" w:lineRule="auto"/>
        <w:ind w:firstLine="468" w:firstLineChars="195"/>
        <w:jc w:val="left"/>
        <w:rPr>
          <w:rFonts w:eastAsia="仿宋_GB2312"/>
          <w:color w:val="auto"/>
          <w:sz w:val="24"/>
          <w:szCs w:val="24"/>
          <w:highlight w:val="none"/>
        </w:rPr>
      </w:pPr>
      <w:r>
        <w:rPr>
          <w:rFonts w:eastAsia="仿宋_GB2312"/>
          <w:color w:val="auto"/>
          <w:sz w:val="24"/>
          <w:szCs w:val="24"/>
          <w:highlight w:val="none"/>
        </w:rPr>
        <w:t>16.2 承包人违约</w:t>
      </w:r>
    </w:p>
    <w:p w14:paraId="24E32FF5">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16.2.1 承包人违约及承担责任方式的情形包括但不限于：</w:t>
      </w:r>
    </w:p>
    <w:p w14:paraId="113313ED">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（1）书面警告：承包人未履行或未按时履行或未按质履行义务及监理人或发包人（含主管人员）的指示时，监理人或发包人有权向承包人发出书面警告。</w:t>
      </w:r>
    </w:p>
    <w:p w14:paraId="38364033">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2）限期改正：监理人或发包人在日常工作检查中发现承包人有违约行为，有权向承包人发出违约通知，要求承包人必须在监理人或发包人限定的时间内履行整改义务。同时，承包人应当向发包人支付违约金人民币3000元/次。</w:t>
      </w:r>
    </w:p>
    <w:p w14:paraId="0B4BFE6E">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（3）一般违约责任：承包人违反本合同的约定须承担一般违约责任时，必须主动向发包人交纳违约金人民币5000元/次；若承包人再犯性质类似的违约行为，第2次10000元/次，2次以上（不含本数）20000元/次。</w:t>
      </w:r>
    </w:p>
    <w:p w14:paraId="38DB4BF1">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（4）严重违约责任：承包人违反本合同的约定须承担严重违约责任时，必须向发包人交纳违约金人民币50000元/次。</w:t>
      </w:r>
    </w:p>
    <w:p w14:paraId="0B21C17B">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5）部分解除合同：当承包人违反本合同的约定符合解除部分合同的条件时，发包人有权向承包人发出书面解除部分合同的通知，该通知在送达承包人时部分解除合同即生效，并按本合同专用条款约定的部分解除合同的约定处理。</w:t>
      </w:r>
    </w:p>
    <w:p w14:paraId="276B2415">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6）解除合同：当承包人违反本合同的约定符合解除全部合同的条件时，发包人有权向承包人发出书面解除全部合同的通知，该通知在送达承包人时解除合同即生效，并按本合同专用条款约定的解除全部合同的约定处理。</w:t>
      </w:r>
    </w:p>
    <w:p w14:paraId="2B26F38B">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（7）赔偿损失：因承包人原因造成发包人经济损失的，承包人应向发包人赔偿全部损失，包括直接损失和间接损失。</w:t>
      </w:r>
    </w:p>
    <w:p w14:paraId="0DDBCAA8">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（8）违约金基数：签约合同价（扣除含税专业工程暂估价）</w:t>
      </w:r>
    </w:p>
    <w:p w14:paraId="0A08AA20">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（9）三次限期改正责任相当于一次一般违约责任；三次一般违约责任相当于一次严重违约责任；累计三次严重违约责任，发包人有权单方部分或全部解除合同。</w:t>
      </w:r>
    </w:p>
    <w:p w14:paraId="5EC3E0F7">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10）承包人违约须向发包人支付违约金或赔偿金时，承包人须在每月20日前将当月发生的违约金向发包人缴纳完毕；否则发包人有权延迟该月工程进度款的拨付时间，直至承包人缴纳违约金等，或者发包人有权从应支付给承包人的工程款中直接抵扣，承包人不得有异议。如在当期工程款无法扣付，或扣除当期工程款会影响工程正常施工时，发包人可选择在下期工程款中抵扣或在履约保证金中扣除。</w:t>
      </w:r>
    </w:p>
    <w:p w14:paraId="74D47FF8">
      <w:pPr>
        <w:spacing w:line="360" w:lineRule="auto"/>
        <w:ind w:firstLine="468" w:firstLineChars="195"/>
        <w:jc w:val="left"/>
        <w:rPr>
          <w:rFonts w:eastAsia="仿宋_GB2312"/>
          <w:color w:val="auto"/>
          <w:sz w:val="24"/>
          <w:szCs w:val="24"/>
          <w:highlight w:val="none"/>
        </w:rPr>
      </w:pPr>
      <w:r>
        <w:rPr>
          <w:rFonts w:eastAsia="仿宋_GB2312"/>
          <w:color w:val="auto"/>
          <w:sz w:val="24"/>
          <w:szCs w:val="24"/>
          <w:highlight w:val="none"/>
        </w:rPr>
        <w:t>16.2.2承包人违约的责任</w:t>
      </w:r>
    </w:p>
    <w:p w14:paraId="3554EC7D">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（1）工程质量方面的违约责任</w:t>
      </w:r>
    </w:p>
    <w:p w14:paraId="16307187">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① 发包人和监理工程师按照专用条款第9条的约定抽查承包人的工程材料时，发现所检查的材料与该条款约定的标准的任何一项不符合时，承包人除必须全部退货、返工，并赔偿由此造成的损失外，承包人应当按照该批次材料的价值，承包人按照如下方式承担违约责任：</w:t>
      </w:r>
    </w:p>
    <w:p w14:paraId="5E9510F5">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A、单宗或批次材料价值在10万元以上100万元以下（含100万元），承包人承担1次一般违约责任，同时，承包人必须全部退货、返工，并赔偿由此造成发包人的损失。</w:t>
      </w:r>
    </w:p>
    <w:p w14:paraId="32857F1C">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B、单宗或批次材料价值100-200万元（含200万元），承包人承担1次严重违约责任，同时，承包人必须全部退货、返工，并赔偿由此造成发包人的损失。</w:t>
      </w:r>
    </w:p>
    <w:p w14:paraId="3A192440">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C、单宗或批次材料价值在200万元以上的，发包人有权部分解除合同或解除合同，并要求承包人赔偿发包人由此遭受的实际损失。</w:t>
      </w:r>
    </w:p>
    <w:p w14:paraId="4534F3EB">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 xml:space="preserve">D、对于单宗或批次材料价值不高于10万元的（含10万元），但累计抽检不合格达3次，承包人承担1次一般违约责任，同时，承包人必须全部退货、返工，并赔偿由此造成承包人的损失。  </w:t>
      </w:r>
    </w:p>
    <w:p w14:paraId="79039BF5">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② 承包人按专用条款第5条的约定，对各工序必须报验核查质量控制点。如承包人申请报验后，经监理工程师或发包人检查发现存在较大质量问题，则该工序质量为不合格，承包人必须对不合格部分进行返工，返工后经检查合格才准进入下一工序，工期不予顺延。复检的结果，总计发现3次或连续发现2次质量控制点不合格的，承包人承担一次一般违约责任；总计发现3次以上（不含本数）或连续发现2次以上（不含本数）质量控制点不合格的，承包人承担严重违约责任一次；承包人采取整改措施后效果仍不合格或仍不符合发包人要求的，发包人有权部分解除合同，将部分工程另行发包，解除合同并不能免除承包人应承担的违约赔偿责任。</w:t>
      </w:r>
    </w:p>
    <w:p w14:paraId="2E4D2B3C">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③ 承包人违反专用条款第5条的约定，工程竣工验收达不到合格质量标准的，承包人除限期返工或修补缺陷达到合同约定的质量标准外，承包人还应向发包人缴纳合同审定结算价2％的违约金。</w:t>
      </w:r>
    </w:p>
    <w:p w14:paraId="689191FB">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④ 承包人违反专用条款第5条的约定，未一次性验收合格而因此造成工期延误的，承包人承担工期方面的违约责任。</w:t>
      </w:r>
    </w:p>
    <w:p w14:paraId="105B61F6">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⑤ 根据专用条款第</w:t>
      </w:r>
      <w:r>
        <w:rPr>
          <w:rFonts w:eastAsia="仿宋_GB2312"/>
          <w:color w:val="auto"/>
          <w:sz w:val="24"/>
          <w:szCs w:val="24"/>
          <w:highlight w:val="none"/>
        </w:rPr>
        <w:t>15.4</w:t>
      </w:r>
      <w:r>
        <w:rPr>
          <w:rFonts w:hint="eastAsia" w:eastAsia="仿宋_GB2312"/>
          <w:color w:val="auto"/>
          <w:sz w:val="24"/>
          <w:szCs w:val="24"/>
          <w:highlight w:val="none"/>
        </w:rPr>
        <w:t>条的约定，工程保修期内发现重大质量不合格问题（该重大质量问题应界定为达不到要求的质量标准，属质量保修的问题除外），承包人必须在规定的期限返工并达到合同约定的质量等级，并按该不合格工程造价5%计算向发包人承担支付违约金的责任。</w:t>
      </w:r>
    </w:p>
    <w:p w14:paraId="1B5F2174">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（2）安全防护和文明施工方面的违约责任</w:t>
      </w:r>
    </w:p>
    <w:p w14:paraId="34537CD5">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① 承包人违反专用条款第6条的约定，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解除合同并不免除承包人应承担的违约赔偿责任。</w:t>
      </w:r>
    </w:p>
    <w:p w14:paraId="5A8AEA5E">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 xml:space="preserve"> ②承包人违反专用条款第6条的约定，在发包人、监理工程师进行的日常质量安全检查中，被发现存在安全隐患的，承包人应限期改正。若同样问题被发现2次的或累计类似问题被发现3次，承包人必须承担一般违约责任1次；此类问题的认定，以发包人、监理工程师书面通知、指令、通报和会议纪要为准。</w:t>
      </w:r>
    </w:p>
    <w:p w14:paraId="70C9D5E6">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③承包人违反专用条款第6条的约定，承包人因自身原因造成的重大安全事故（含工程质量事故）的，除按国家规定承担行政主管部门处罚外，承包人应承担事故处理、危机公关等所有责任和费用，并赔偿发包人的一切损失，还应承担以下违约责任；</w:t>
      </w:r>
    </w:p>
    <w:p w14:paraId="4BA40C26">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A、发生特别重大事故，如造成人员死亡的，承包人须向发包人支付违约金，违约金从人民币1000万元起计，死亡的人数多于30人时，每增加死亡1人，承包人除支付上述违约金外还须再向发包人支付违约金人民币</w:t>
      </w:r>
      <w:r>
        <w:rPr>
          <w:rFonts w:eastAsia="仿宋_GB2312"/>
          <w:color w:val="auto"/>
          <w:sz w:val="24"/>
          <w:szCs w:val="24"/>
          <w:highlight w:val="none"/>
        </w:rPr>
        <w:t>50</w:t>
      </w:r>
      <w:r>
        <w:rPr>
          <w:rFonts w:hint="eastAsia" w:eastAsia="仿宋_GB2312"/>
          <w:color w:val="auto"/>
          <w:sz w:val="24"/>
          <w:szCs w:val="24"/>
          <w:highlight w:val="none"/>
        </w:rPr>
        <w:t>万元／人；</w:t>
      </w:r>
    </w:p>
    <w:p w14:paraId="5D0DD6E5">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B、发生重大事故，如造成人员死亡的，承包人须向发包人支付违约金，违约金从人民币500万元起计，死亡的人数多于10人时，每增加死亡1人，承包人除支付上述违约金外还须再向发包人支付违约金人民币</w:t>
      </w:r>
      <w:r>
        <w:rPr>
          <w:rFonts w:eastAsia="仿宋_GB2312"/>
          <w:color w:val="auto"/>
          <w:sz w:val="24"/>
          <w:szCs w:val="24"/>
          <w:highlight w:val="none"/>
        </w:rPr>
        <w:t>50</w:t>
      </w:r>
      <w:r>
        <w:rPr>
          <w:rFonts w:hint="eastAsia" w:eastAsia="仿宋_GB2312"/>
          <w:color w:val="auto"/>
          <w:sz w:val="24"/>
          <w:szCs w:val="24"/>
          <w:highlight w:val="none"/>
        </w:rPr>
        <w:t>万元／人；</w:t>
      </w:r>
    </w:p>
    <w:p w14:paraId="602DA559">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C、发生较大事故，如造成人员死亡或重伤的，承包人须向发包人支付违约金，违约金从人民币300万元起计，死亡的人数多于3人或重伤人数多于20人时，每增加死亡1人或重伤3人，承包人除支付上述违约金外还须再向发包人支付违约金人民币</w:t>
      </w:r>
      <w:r>
        <w:rPr>
          <w:rFonts w:eastAsia="仿宋_GB2312"/>
          <w:color w:val="auto"/>
          <w:sz w:val="24"/>
          <w:szCs w:val="24"/>
          <w:highlight w:val="none"/>
        </w:rPr>
        <w:t>50</w:t>
      </w:r>
      <w:r>
        <w:rPr>
          <w:rFonts w:hint="eastAsia" w:eastAsia="仿宋_GB2312"/>
          <w:color w:val="auto"/>
          <w:sz w:val="24"/>
          <w:szCs w:val="24"/>
          <w:highlight w:val="none"/>
        </w:rPr>
        <w:t>万元；</w:t>
      </w:r>
    </w:p>
    <w:p w14:paraId="25802B6A">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 xml:space="preserve">D、发生一般事故，如造成人员死亡或重伤的，承包人须向发包人支付违约金，违约金从人民币100万元起计，死亡的人数多于1人或重伤人数多于3人时，每增加死亡1人或重伤3人，承包人除支付上述违约金外还须再向发包人支付违约金人民币   </w:t>
      </w:r>
      <w:r>
        <w:rPr>
          <w:rFonts w:eastAsia="仿宋_GB2312"/>
          <w:color w:val="auto"/>
          <w:sz w:val="24"/>
          <w:szCs w:val="24"/>
          <w:highlight w:val="none"/>
        </w:rPr>
        <w:t>50</w:t>
      </w:r>
      <w:r>
        <w:rPr>
          <w:rFonts w:hint="eastAsia" w:eastAsia="仿宋_GB2312"/>
          <w:color w:val="auto"/>
          <w:sz w:val="24"/>
          <w:szCs w:val="24"/>
          <w:highlight w:val="none"/>
        </w:rPr>
        <w:t>万元；</w:t>
      </w:r>
    </w:p>
    <w:p w14:paraId="2A7C262C">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发生上述安全事故，发包人视情况严重性，有权对承包人作出限期改正至严重违约的处罚，并有权部分或全部解除合同。</w:t>
      </w:r>
    </w:p>
    <w:p w14:paraId="26037C25">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承包人依照上述约定支付的违约金后，所支付的违约金不足于弥补发包人损失的，承包人还应据实赔偿发包人的所有损失。</w:t>
      </w:r>
    </w:p>
    <w:p w14:paraId="5F70F8CB">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④ 发包人、监理工程师按照合同约定，对承包人文明施工措施进行对照检查。经检查发现承包人违反第6条的约定，因自身原因未将投标承诺的文明施工措施落实的，承包人必须承担一般违约责任，并限期改正；如不限期改正，承包人须承担严重违约责任。</w:t>
      </w:r>
    </w:p>
    <w:p w14:paraId="344A43F6">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⑤ 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部分或全部解除合同，并要求承包人赔偿由此造成的损失。</w:t>
      </w:r>
    </w:p>
    <w:p w14:paraId="1688FD78">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⑥ 承包人在施工过程中因其自身原因造成周围环境卫生状况较差，被其他施工单位或周围居民投诉的，承包人必须在当天内整改。若故意拖延或同样问题累计被投诉2次，或累计被投诉3次，经查实，承包人必须承担一般违约责任1次。</w:t>
      </w:r>
    </w:p>
    <w:p w14:paraId="52D2BF6D">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⑦ 承包人违反专用条款第6条的约定，完工后不按规定退场并清理现场的，发包人有权根据其对后续施工的影响程度及损失要求承包人承担违约责任支付违约金，违约金最高额为承包人结算价款的2％，发包人有权从本合同结算款中扣除所需费用及违约金。</w:t>
      </w:r>
    </w:p>
    <w:p w14:paraId="0626C485">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fldChar w:fldCharType="begin"/>
      </w:r>
      <w:r>
        <w:rPr>
          <w:rFonts w:hint="eastAsia" w:eastAsia="仿宋_GB2312"/>
          <w:color w:val="auto"/>
          <w:sz w:val="24"/>
          <w:szCs w:val="24"/>
          <w:highlight w:val="none"/>
        </w:rPr>
        <w:instrText xml:space="preserve"> = 8 \* GB3 </w:instrText>
      </w:r>
      <w:r>
        <w:rPr>
          <w:rFonts w:hint="eastAsia" w:eastAsia="仿宋_GB2312"/>
          <w:color w:val="auto"/>
          <w:sz w:val="24"/>
          <w:szCs w:val="24"/>
          <w:highlight w:val="none"/>
        </w:rPr>
        <w:fldChar w:fldCharType="separate"/>
      </w:r>
      <w:r>
        <w:rPr>
          <w:rFonts w:hint="eastAsia" w:eastAsia="仿宋_GB2312"/>
          <w:color w:val="auto"/>
          <w:sz w:val="24"/>
          <w:szCs w:val="24"/>
          <w:highlight w:val="none"/>
        </w:rPr>
        <w:t>⑧</w:t>
      </w:r>
      <w:r>
        <w:rPr>
          <w:rFonts w:hint="eastAsia" w:eastAsia="仿宋_GB2312"/>
          <w:color w:val="auto"/>
          <w:sz w:val="24"/>
          <w:szCs w:val="24"/>
          <w:highlight w:val="none"/>
        </w:rPr>
        <w:fldChar w:fldCharType="end"/>
      </w:r>
      <w:r>
        <w:rPr>
          <w:rFonts w:hint="eastAsia" w:eastAsia="仿宋_GB2312"/>
          <w:color w:val="auto"/>
          <w:sz w:val="24"/>
          <w:szCs w:val="24"/>
          <w:highlight w:val="none"/>
        </w:rPr>
        <w:t>如被发包人发现承包人违反施工现场安全管理的（现场管理不符合安全文明施工标准的，如：进入施工区域不戴安全帽、高处作业未系安全带的、临边洞口无防护措施的等），承包人须严格按《施工现场管理规定》（附件</w:t>
      </w:r>
      <w:r>
        <w:rPr>
          <w:rFonts w:eastAsia="仿宋_GB2312"/>
          <w:color w:val="auto"/>
          <w:sz w:val="24"/>
          <w:szCs w:val="24"/>
          <w:highlight w:val="none"/>
        </w:rPr>
        <w:t>6</w:t>
      </w:r>
      <w:r>
        <w:rPr>
          <w:rFonts w:hint="eastAsia" w:eastAsia="仿宋_GB2312"/>
          <w:color w:val="auto"/>
          <w:sz w:val="24"/>
          <w:szCs w:val="24"/>
          <w:highlight w:val="none"/>
        </w:rPr>
        <w:t>）及发包人或监理人在合同履行期间制订的其他施工现场安全管理惩罚细则承担违约金，违约金在当月进度款中给予扣除。</w:t>
      </w:r>
    </w:p>
    <w:p w14:paraId="0B82DAD2">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（3）工程分包方面的违约责任</w:t>
      </w:r>
    </w:p>
    <w:p w14:paraId="7286D440">
      <w:pPr>
        <w:spacing w:line="360" w:lineRule="auto"/>
        <w:ind w:firstLine="468" w:firstLineChars="195"/>
        <w:jc w:val="left"/>
        <w:rPr>
          <w:rFonts w:hint="eastAsia" w:eastAsia="仿宋_GB2312"/>
          <w:color w:val="auto"/>
          <w:sz w:val="24"/>
          <w:szCs w:val="24"/>
          <w:highlight w:val="none"/>
        </w:rPr>
      </w:pPr>
      <w:r>
        <w:rPr>
          <w:rFonts w:hint="eastAsia" w:ascii="微软雅黑" w:hAnsi="微软雅黑" w:eastAsia="微软雅黑" w:cs="微软雅黑"/>
          <w:color w:val="auto"/>
          <w:sz w:val="24"/>
          <w:szCs w:val="24"/>
          <w:highlight w:val="none"/>
        </w:rPr>
        <w:t>①</w:t>
      </w:r>
      <w:r>
        <w:rPr>
          <w:rFonts w:hint="eastAsia" w:eastAsia="仿宋_GB2312"/>
          <w:color w:val="auto"/>
          <w:sz w:val="24"/>
          <w:szCs w:val="24"/>
          <w:highlight w:val="none"/>
        </w:rPr>
        <w:t>承包人违反专用条款第</w:t>
      </w:r>
      <w:r>
        <w:rPr>
          <w:rFonts w:eastAsia="仿宋_GB2312"/>
          <w:color w:val="auto"/>
          <w:sz w:val="24"/>
          <w:szCs w:val="24"/>
          <w:highlight w:val="none"/>
        </w:rPr>
        <w:t>3.</w:t>
      </w:r>
      <w:r>
        <w:rPr>
          <w:rFonts w:hint="eastAsia" w:eastAsia="仿宋_GB2312"/>
          <w:color w:val="auto"/>
          <w:sz w:val="24"/>
          <w:szCs w:val="24"/>
          <w:highlight w:val="none"/>
        </w:rPr>
        <w:t>5条的约定，未经过发包人书面同意擅自分包工程或分包不符合国家、广东省、市县有关规定，承包人须向发包人支付分包合同价款的30%作为违约金，同时，发包人有权单方部分解除合同或解除合同，由此而造成发包人的经济损失由承包人负责赔偿。</w:t>
      </w:r>
    </w:p>
    <w:p w14:paraId="4D7A0DC0">
      <w:pPr>
        <w:widowControl/>
        <w:spacing w:line="360" w:lineRule="auto"/>
        <w:ind w:firstLine="468" w:firstLineChars="195"/>
        <w:jc w:val="left"/>
        <w:rPr>
          <w:rFonts w:hint="eastAsia" w:eastAsia="仿宋_GB2312"/>
          <w:color w:val="auto"/>
          <w:sz w:val="24"/>
          <w:szCs w:val="24"/>
          <w:highlight w:val="none"/>
        </w:rPr>
      </w:pPr>
      <w:r>
        <w:rPr>
          <w:rFonts w:hint="eastAsia" w:ascii="Times New Roman" w:hAnsi="Times New Roman" w:eastAsia="仿宋_GB2312"/>
          <w:color w:val="auto"/>
          <w:sz w:val="24"/>
          <w:szCs w:val="24"/>
          <w:highlight w:val="none"/>
        </w:rPr>
        <w:t>②</w:t>
      </w:r>
      <w:r>
        <w:rPr>
          <w:rFonts w:hint="eastAsia" w:ascii="Times New Roman" w:hAnsi="Times New Roman" w:eastAsia="仿宋_GB2312"/>
          <w:color w:val="auto"/>
          <w:sz w:val="24"/>
          <w:szCs w:val="24"/>
          <w:highlight w:val="none"/>
          <w:lang w:bidi="ar"/>
        </w:rPr>
        <w:t>当发包人支付承包人专业分包工程（暂估价专业工程除外）单位</w:t>
      </w:r>
      <w:r>
        <w:rPr>
          <w:rFonts w:hint="eastAsia" w:eastAsia="仿宋_GB2312"/>
          <w:color w:val="auto"/>
          <w:sz w:val="24"/>
          <w:szCs w:val="24"/>
          <w:highlight w:val="none"/>
          <w:lang w:bidi="ar"/>
        </w:rPr>
        <w:t>工程款项</w:t>
      </w:r>
      <w:r>
        <w:rPr>
          <w:rFonts w:hint="eastAsia" w:ascii="Times New Roman" w:hAnsi="Times New Roman" w:eastAsia="仿宋_GB2312"/>
          <w:color w:val="auto"/>
          <w:sz w:val="24"/>
          <w:szCs w:val="24"/>
          <w:highlight w:val="none"/>
          <w:lang w:bidi="ar"/>
        </w:rPr>
        <w:t>后，由于承包人原因未按时及时支付给分包工程单位，造成工程进度延误或损失的</w:t>
      </w:r>
      <w:r>
        <w:rPr>
          <w:rFonts w:hint="eastAsia" w:eastAsia="仿宋_GB2312"/>
          <w:color w:val="auto"/>
          <w:sz w:val="24"/>
          <w:szCs w:val="24"/>
          <w:highlight w:val="none"/>
          <w:lang w:bidi="ar"/>
        </w:rPr>
        <w:t>，</w:t>
      </w:r>
      <w:r>
        <w:rPr>
          <w:rFonts w:hint="eastAsia" w:ascii="Times New Roman" w:hAnsi="Times New Roman" w:eastAsia="仿宋_GB2312"/>
          <w:color w:val="auto"/>
          <w:sz w:val="24"/>
          <w:szCs w:val="24"/>
          <w:highlight w:val="none"/>
          <w:lang w:bidi="ar"/>
        </w:rPr>
        <w:t>承包人应向发包人支付违约金，每次违约金额视工期延误和损失的严重性由监理工程师确定，最少1万元，最高20万元；同时，发包人有权停止向承包人支付工程款，若由此导至指定分包人停工或者向发包人主张违约责任索赔或者引起相关为维稳事件的，所造成的全部损失由承包人承担。</w:t>
      </w:r>
    </w:p>
    <w:p w14:paraId="0B1E7897">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（4）工程转包方面的违约责任</w:t>
      </w:r>
    </w:p>
    <w:p w14:paraId="3F01BAE8">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本工程严禁转包，如果承包人将本工程转包，承包人须向发包人支付转包合同价款的50%作为违约金，同时，发包人有权单方解除合同并要求承包人赔偿由此引起的发包人经济损失外，还将向有关政府主管部门通报情况，承包人按国家及地方有关规定承担相关责任。</w:t>
      </w:r>
    </w:p>
    <w:p w14:paraId="33348D80">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（5）人员和设备投入不到位的违约责任</w:t>
      </w:r>
    </w:p>
    <w:p w14:paraId="0C54AFF8">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①承包人违反专用条款第3</w:t>
      </w:r>
      <w:r>
        <w:rPr>
          <w:rFonts w:eastAsia="仿宋_GB2312"/>
          <w:color w:val="auto"/>
          <w:sz w:val="24"/>
          <w:szCs w:val="24"/>
          <w:highlight w:val="none"/>
        </w:rPr>
        <w:t>.1</w:t>
      </w:r>
      <w:r>
        <w:rPr>
          <w:rFonts w:hint="eastAsia" w:eastAsia="仿宋_GB2312"/>
          <w:color w:val="auto"/>
          <w:sz w:val="24"/>
          <w:szCs w:val="24"/>
          <w:highlight w:val="none"/>
        </w:rPr>
        <w:t>条约定，开工前投标承诺的人员未按时到位组建项目部的，承包人必须按照监理工程师或者发包人的指令限期改正，并承担一般违约责任一次；承包人在指令限期内未改正的，承担严重违约责任一次，发包人有权部分或全部解除合同。</w:t>
      </w:r>
    </w:p>
    <w:p w14:paraId="40151058">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 xml:space="preserve">②承包人工程管理人员和工程技术人员在发包人发出中标通知书后未到位，或未经监理工程师同意缺位超过24小时，或未经发包人同意更换主要管理或技术人员的，或项目经理或主要负责人因存在兼职情况被要求撤换的，每出现一次，按下表违约金额承担违约责任： </w:t>
      </w:r>
    </w:p>
    <w:tbl>
      <w:tblPr>
        <w:tblStyle w:val="1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4680"/>
        <w:gridCol w:w="2715"/>
      </w:tblGrid>
      <w:tr w14:paraId="6C6F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tcBorders>
              <w:top w:val="single" w:color="auto" w:sz="4" w:space="0"/>
              <w:left w:val="single" w:color="auto" w:sz="4" w:space="0"/>
              <w:bottom w:val="single" w:color="auto" w:sz="4" w:space="0"/>
              <w:right w:val="single" w:color="auto" w:sz="4" w:space="0"/>
            </w:tcBorders>
            <w:noWrap w:val="0"/>
            <w:vAlign w:val="center"/>
          </w:tcPr>
          <w:p w14:paraId="2C9F92E8">
            <w:pPr>
              <w:spacing w:line="360" w:lineRule="auto"/>
              <w:jc w:val="center"/>
              <w:rPr>
                <w:rFonts w:hint="eastAsia" w:eastAsia="仿宋_GB2312"/>
                <w:color w:val="auto"/>
                <w:sz w:val="24"/>
                <w:szCs w:val="24"/>
                <w:highlight w:val="none"/>
              </w:rPr>
            </w:pPr>
            <w:r>
              <w:rPr>
                <w:rFonts w:hint="eastAsia" w:eastAsia="仿宋_GB2312"/>
                <w:color w:val="auto"/>
                <w:sz w:val="24"/>
                <w:szCs w:val="24"/>
                <w:highlight w:val="none"/>
              </w:rPr>
              <w:t>序号</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695D96E7">
            <w:pPr>
              <w:spacing w:line="360" w:lineRule="auto"/>
              <w:ind w:firstLine="468" w:firstLineChars="195"/>
              <w:jc w:val="center"/>
              <w:rPr>
                <w:rFonts w:hint="eastAsia" w:eastAsia="仿宋_GB2312"/>
                <w:color w:val="auto"/>
                <w:sz w:val="24"/>
                <w:szCs w:val="24"/>
                <w:highlight w:val="none"/>
              </w:rPr>
            </w:pPr>
            <w:r>
              <w:rPr>
                <w:rFonts w:hint="eastAsia" w:eastAsia="仿宋_GB2312"/>
                <w:color w:val="auto"/>
                <w:sz w:val="24"/>
                <w:szCs w:val="24"/>
                <w:highlight w:val="none"/>
              </w:rPr>
              <w:t>违约说明</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7CF8185D">
            <w:pPr>
              <w:spacing w:line="360" w:lineRule="auto"/>
              <w:jc w:val="center"/>
              <w:rPr>
                <w:rFonts w:hint="eastAsia" w:eastAsia="仿宋_GB2312"/>
                <w:color w:val="auto"/>
                <w:sz w:val="24"/>
                <w:szCs w:val="24"/>
                <w:highlight w:val="none"/>
              </w:rPr>
            </w:pPr>
            <w:r>
              <w:rPr>
                <w:rFonts w:hint="eastAsia" w:eastAsia="仿宋_GB2312"/>
                <w:color w:val="auto"/>
                <w:sz w:val="24"/>
                <w:szCs w:val="24"/>
                <w:highlight w:val="none"/>
              </w:rPr>
              <w:t>违约金额</w:t>
            </w:r>
          </w:p>
          <w:p w14:paraId="0E1E1644">
            <w:pPr>
              <w:spacing w:line="360" w:lineRule="auto"/>
              <w:jc w:val="center"/>
              <w:rPr>
                <w:rFonts w:hint="eastAsia" w:eastAsia="仿宋_GB2312"/>
                <w:color w:val="auto"/>
                <w:sz w:val="24"/>
                <w:szCs w:val="24"/>
                <w:highlight w:val="none"/>
              </w:rPr>
            </w:pPr>
            <w:r>
              <w:rPr>
                <w:rFonts w:hint="eastAsia" w:eastAsia="仿宋_GB2312"/>
                <w:color w:val="auto"/>
                <w:sz w:val="24"/>
                <w:szCs w:val="24"/>
                <w:highlight w:val="none"/>
              </w:rPr>
              <w:t>（人民币元）</w:t>
            </w:r>
          </w:p>
        </w:tc>
      </w:tr>
      <w:tr w14:paraId="2F65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restart"/>
            <w:tcBorders>
              <w:top w:val="single" w:color="auto" w:sz="4" w:space="0"/>
              <w:left w:val="single" w:color="auto" w:sz="4" w:space="0"/>
              <w:right w:val="single" w:color="auto" w:sz="4" w:space="0"/>
            </w:tcBorders>
            <w:noWrap w:val="0"/>
            <w:vAlign w:val="center"/>
          </w:tcPr>
          <w:p w14:paraId="7197E3BE">
            <w:pPr>
              <w:spacing w:line="360" w:lineRule="auto"/>
              <w:jc w:val="center"/>
              <w:rPr>
                <w:rFonts w:hint="eastAsia" w:eastAsia="仿宋_GB2312"/>
                <w:color w:val="auto"/>
                <w:sz w:val="24"/>
                <w:szCs w:val="24"/>
                <w:highlight w:val="none"/>
              </w:rPr>
            </w:pPr>
            <w:r>
              <w:rPr>
                <w:rFonts w:hint="eastAsia" w:eastAsia="仿宋_GB2312"/>
                <w:color w:val="auto"/>
                <w:sz w:val="24"/>
                <w:szCs w:val="24"/>
                <w:highlight w:val="none"/>
              </w:rPr>
              <w:t>1</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BAE8BF6">
            <w:pPr>
              <w:spacing w:line="360" w:lineRule="auto"/>
              <w:jc w:val="left"/>
              <w:rPr>
                <w:rFonts w:hint="eastAsia" w:eastAsia="仿宋_GB2312"/>
                <w:color w:val="auto"/>
                <w:sz w:val="24"/>
                <w:szCs w:val="24"/>
                <w:highlight w:val="none"/>
              </w:rPr>
            </w:pPr>
            <w:r>
              <w:rPr>
                <w:rFonts w:hint="eastAsia" w:eastAsia="仿宋_GB2312"/>
                <w:color w:val="auto"/>
                <w:sz w:val="24"/>
                <w:szCs w:val="24"/>
                <w:highlight w:val="none"/>
              </w:rPr>
              <w:t>更换项目经理</w:t>
            </w:r>
          </w:p>
        </w:tc>
        <w:tc>
          <w:tcPr>
            <w:tcW w:w="2715" w:type="dxa"/>
            <w:tcBorders>
              <w:top w:val="single" w:color="auto" w:sz="4" w:space="0"/>
              <w:left w:val="single" w:color="auto" w:sz="4" w:space="0"/>
              <w:bottom w:val="single" w:color="auto" w:sz="4" w:space="0"/>
              <w:right w:val="single" w:color="auto" w:sz="4" w:space="0"/>
            </w:tcBorders>
            <w:noWrap w:val="0"/>
            <w:vAlign w:val="top"/>
          </w:tcPr>
          <w:p w14:paraId="4744CA14">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     </w:t>
            </w:r>
            <w:r>
              <w:rPr>
                <w:rFonts w:eastAsia="仿宋_GB2312"/>
                <w:color w:val="auto"/>
                <w:sz w:val="24"/>
                <w:szCs w:val="24"/>
                <w:highlight w:val="none"/>
              </w:rPr>
              <w:t>100000</w:t>
            </w:r>
            <w:r>
              <w:rPr>
                <w:rFonts w:hint="eastAsia" w:eastAsia="仿宋_GB2312"/>
                <w:color w:val="auto"/>
                <w:sz w:val="24"/>
                <w:szCs w:val="24"/>
                <w:highlight w:val="none"/>
              </w:rPr>
              <w:t>元/人</w:t>
            </w:r>
          </w:p>
        </w:tc>
      </w:tr>
      <w:tr w14:paraId="4226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8" w:type="dxa"/>
            <w:vMerge w:val="continue"/>
            <w:tcBorders>
              <w:left w:val="single" w:color="auto" w:sz="4" w:space="0"/>
              <w:right w:val="single" w:color="auto" w:sz="4" w:space="0"/>
            </w:tcBorders>
            <w:noWrap w:val="0"/>
            <w:vAlign w:val="center"/>
          </w:tcPr>
          <w:p w14:paraId="0829E2D7">
            <w:pPr>
              <w:spacing w:line="360" w:lineRule="auto"/>
              <w:ind w:firstLine="468" w:firstLineChars="195"/>
              <w:jc w:val="center"/>
              <w:rPr>
                <w:rFonts w:hint="eastAsia" w:eastAsia="仿宋_GB2312"/>
                <w:color w:val="auto"/>
                <w:sz w:val="24"/>
                <w:szCs w:val="24"/>
                <w:highlight w:val="none"/>
              </w:rPr>
            </w:pP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5E07F5C">
            <w:pPr>
              <w:spacing w:line="360" w:lineRule="auto"/>
              <w:jc w:val="left"/>
              <w:rPr>
                <w:rFonts w:hint="eastAsia" w:eastAsia="仿宋_GB2312"/>
                <w:color w:val="auto"/>
                <w:sz w:val="24"/>
                <w:szCs w:val="24"/>
                <w:highlight w:val="none"/>
              </w:rPr>
            </w:pPr>
            <w:r>
              <w:rPr>
                <w:rFonts w:hint="eastAsia" w:eastAsia="仿宋_GB2312"/>
                <w:color w:val="auto"/>
                <w:sz w:val="24"/>
                <w:szCs w:val="24"/>
                <w:highlight w:val="none"/>
              </w:rPr>
              <w:t>更换总工或项目副经理</w:t>
            </w:r>
          </w:p>
        </w:tc>
        <w:tc>
          <w:tcPr>
            <w:tcW w:w="2715" w:type="dxa"/>
            <w:tcBorders>
              <w:top w:val="single" w:color="auto" w:sz="4" w:space="0"/>
              <w:left w:val="single" w:color="auto" w:sz="4" w:space="0"/>
              <w:bottom w:val="single" w:color="auto" w:sz="4" w:space="0"/>
              <w:right w:val="single" w:color="auto" w:sz="4" w:space="0"/>
            </w:tcBorders>
            <w:noWrap w:val="0"/>
            <w:vAlign w:val="top"/>
          </w:tcPr>
          <w:p w14:paraId="05C4DED0">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     </w:t>
            </w:r>
            <w:r>
              <w:rPr>
                <w:rFonts w:eastAsia="仿宋_GB2312"/>
                <w:color w:val="auto"/>
                <w:sz w:val="24"/>
                <w:szCs w:val="24"/>
                <w:highlight w:val="none"/>
              </w:rPr>
              <w:t>50000</w:t>
            </w:r>
            <w:r>
              <w:rPr>
                <w:rFonts w:hint="eastAsia" w:eastAsia="仿宋_GB2312"/>
                <w:color w:val="auto"/>
                <w:sz w:val="24"/>
                <w:szCs w:val="24"/>
                <w:highlight w:val="none"/>
              </w:rPr>
              <w:t>元/人</w:t>
            </w:r>
          </w:p>
        </w:tc>
      </w:tr>
      <w:tr w14:paraId="40BB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8" w:type="dxa"/>
            <w:vMerge w:val="continue"/>
            <w:tcBorders>
              <w:left w:val="single" w:color="auto" w:sz="4" w:space="0"/>
              <w:right w:val="single" w:color="auto" w:sz="4" w:space="0"/>
            </w:tcBorders>
            <w:noWrap w:val="0"/>
            <w:vAlign w:val="center"/>
          </w:tcPr>
          <w:p w14:paraId="72C27C04">
            <w:pPr>
              <w:spacing w:line="360" w:lineRule="auto"/>
              <w:ind w:firstLine="468" w:firstLineChars="195"/>
              <w:jc w:val="center"/>
              <w:rPr>
                <w:rFonts w:hint="eastAsia" w:eastAsia="仿宋_GB2312"/>
                <w:color w:val="auto"/>
                <w:sz w:val="24"/>
                <w:szCs w:val="24"/>
                <w:highlight w:val="none"/>
              </w:rPr>
            </w:pP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5D8C753">
            <w:pPr>
              <w:spacing w:line="360" w:lineRule="auto"/>
              <w:jc w:val="left"/>
              <w:rPr>
                <w:rFonts w:hint="eastAsia" w:eastAsia="仿宋_GB2312"/>
                <w:color w:val="auto"/>
                <w:sz w:val="24"/>
                <w:szCs w:val="24"/>
                <w:highlight w:val="none"/>
              </w:rPr>
            </w:pPr>
            <w:r>
              <w:rPr>
                <w:rFonts w:hint="eastAsia" w:eastAsia="仿宋_GB2312"/>
                <w:color w:val="auto"/>
                <w:sz w:val="24"/>
                <w:szCs w:val="24"/>
                <w:highlight w:val="none"/>
              </w:rPr>
              <w:t>更换其他主要施工管理及技术人员</w:t>
            </w:r>
          </w:p>
        </w:tc>
        <w:tc>
          <w:tcPr>
            <w:tcW w:w="2715" w:type="dxa"/>
            <w:tcBorders>
              <w:top w:val="single" w:color="auto" w:sz="4" w:space="0"/>
              <w:left w:val="single" w:color="auto" w:sz="4" w:space="0"/>
              <w:bottom w:val="single" w:color="auto" w:sz="4" w:space="0"/>
              <w:right w:val="single" w:color="auto" w:sz="4" w:space="0"/>
            </w:tcBorders>
            <w:noWrap w:val="0"/>
            <w:vAlign w:val="top"/>
          </w:tcPr>
          <w:p w14:paraId="771014E5">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     </w:t>
            </w:r>
            <w:r>
              <w:rPr>
                <w:rFonts w:eastAsia="仿宋_GB2312"/>
                <w:color w:val="auto"/>
                <w:sz w:val="24"/>
                <w:szCs w:val="24"/>
                <w:highlight w:val="none"/>
              </w:rPr>
              <w:t>20000</w:t>
            </w:r>
            <w:r>
              <w:rPr>
                <w:rFonts w:hint="eastAsia" w:eastAsia="仿宋_GB2312"/>
                <w:color w:val="auto"/>
                <w:sz w:val="24"/>
                <w:szCs w:val="24"/>
                <w:highlight w:val="none"/>
              </w:rPr>
              <w:t>元/人</w:t>
            </w:r>
          </w:p>
        </w:tc>
      </w:tr>
      <w:tr w14:paraId="57FA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8" w:type="dxa"/>
            <w:vMerge w:val="restart"/>
            <w:tcBorders>
              <w:left w:val="single" w:color="auto" w:sz="4" w:space="0"/>
              <w:right w:val="single" w:color="auto" w:sz="4" w:space="0"/>
            </w:tcBorders>
            <w:noWrap w:val="0"/>
            <w:vAlign w:val="center"/>
          </w:tcPr>
          <w:p w14:paraId="249BBECE">
            <w:pPr>
              <w:spacing w:line="360" w:lineRule="auto"/>
              <w:jc w:val="center"/>
              <w:rPr>
                <w:rFonts w:hint="eastAsia" w:eastAsia="仿宋_GB2312"/>
                <w:color w:val="auto"/>
                <w:sz w:val="24"/>
                <w:szCs w:val="24"/>
                <w:highlight w:val="none"/>
              </w:rPr>
            </w:pPr>
            <w:r>
              <w:rPr>
                <w:rFonts w:hint="eastAsia" w:eastAsia="仿宋_GB2312"/>
                <w:color w:val="auto"/>
                <w:sz w:val="24"/>
                <w:szCs w:val="24"/>
                <w:highlight w:val="none"/>
              </w:rPr>
              <w:t>2</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70F4415">
            <w:pPr>
              <w:spacing w:line="360" w:lineRule="auto"/>
              <w:jc w:val="left"/>
              <w:rPr>
                <w:rFonts w:hint="eastAsia" w:eastAsia="仿宋_GB2312"/>
                <w:color w:val="auto"/>
                <w:sz w:val="24"/>
                <w:szCs w:val="24"/>
                <w:highlight w:val="none"/>
              </w:rPr>
            </w:pPr>
            <w:r>
              <w:rPr>
                <w:rFonts w:hint="eastAsia" w:eastAsia="仿宋_GB2312"/>
                <w:color w:val="auto"/>
                <w:sz w:val="24"/>
                <w:szCs w:val="24"/>
                <w:highlight w:val="none"/>
              </w:rPr>
              <w:t>项目经理岗位未到位</w:t>
            </w:r>
          </w:p>
        </w:tc>
        <w:tc>
          <w:tcPr>
            <w:tcW w:w="2715" w:type="dxa"/>
            <w:tcBorders>
              <w:top w:val="single" w:color="auto" w:sz="4" w:space="0"/>
              <w:left w:val="single" w:color="auto" w:sz="4" w:space="0"/>
              <w:bottom w:val="single" w:color="auto" w:sz="4" w:space="0"/>
              <w:right w:val="single" w:color="auto" w:sz="4" w:space="0"/>
            </w:tcBorders>
            <w:noWrap w:val="0"/>
            <w:vAlign w:val="top"/>
          </w:tcPr>
          <w:p w14:paraId="128A31F4">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     </w:t>
            </w:r>
            <w:r>
              <w:rPr>
                <w:rFonts w:eastAsia="仿宋_GB2312"/>
                <w:color w:val="auto"/>
                <w:sz w:val="24"/>
                <w:szCs w:val="24"/>
                <w:highlight w:val="none"/>
              </w:rPr>
              <w:t>2000</w:t>
            </w:r>
            <w:r>
              <w:rPr>
                <w:rFonts w:hint="eastAsia" w:eastAsia="仿宋_GB2312"/>
                <w:color w:val="auto"/>
                <w:sz w:val="24"/>
                <w:szCs w:val="24"/>
                <w:highlight w:val="none"/>
              </w:rPr>
              <w:t>元/人·天</w:t>
            </w:r>
          </w:p>
        </w:tc>
      </w:tr>
      <w:tr w14:paraId="67FB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8" w:type="dxa"/>
            <w:vMerge w:val="continue"/>
            <w:tcBorders>
              <w:left w:val="single" w:color="auto" w:sz="4" w:space="0"/>
              <w:right w:val="single" w:color="auto" w:sz="4" w:space="0"/>
            </w:tcBorders>
            <w:noWrap w:val="0"/>
            <w:vAlign w:val="center"/>
          </w:tcPr>
          <w:p w14:paraId="6E9EAADB">
            <w:pPr>
              <w:spacing w:line="360" w:lineRule="auto"/>
              <w:ind w:firstLine="468" w:firstLineChars="195"/>
              <w:jc w:val="center"/>
              <w:rPr>
                <w:rFonts w:hint="eastAsia" w:eastAsia="仿宋_GB2312"/>
                <w:color w:val="auto"/>
                <w:sz w:val="24"/>
                <w:szCs w:val="24"/>
                <w:highlight w:val="none"/>
              </w:rPr>
            </w:pP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DAD6F29">
            <w:pPr>
              <w:spacing w:line="360" w:lineRule="auto"/>
              <w:jc w:val="left"/>
              <w:rPr>
                <w:rFonts w:hint="eastAsia" w:eastAsia="仿宋_GB2312"/>
                <w:color w:val="auto"/>
                <w:sz w:val="24"/>
                <w:szCs w:val="24"/>
                <w:highlight w:val="none"/>
              </w:rPr>
            </w:pPr>
            <w:r>
              <w:rPr>
                <w:rFonts w:hint="eastAsia" w:eastAsia="仿宋_GB2312"/>
                <w:color w:val="auto"/>
                <w:sz w:val="24"/>
                <w:szCs w:val="24"/>
                <w:highlight w:val="none"/>
              </w:rPr>
              <w:t>项目总工或项目副经理岗位未到位</w:t>
            </w:r>
          </w:p>
        </w:tc>
        <w:tc>
          <w:tcPr>
            <w:tcW w:w="2715" w:type="dxa"/>
            <w:tcBorders>
              <w:top w:val="single" w:color="auto" w:sz="4" w:space="0"/>
              <w:left w:val="single" w:color="auto" w:sz="4" w:space="0"/>
              <w:bottom w:val="single" w:color="auto" w:sz="4" w:space="0"/>
              <w:right w:val="single" w:color="auto" w:sz="4" w:space="0"/>
            </w:tcBorders>
            <w:noWrap w:val="0"/>
            <w:vAlign w:val="top"/>
          </w:tcPr>
          <w:p w14:paraId="387BBA5C">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     </w:t>
            </w:r>
            <w:r>
              <w:rPr>
                <w:rFonts w:eastAsia="仿宋_GB2312"/>
                <w:color w:val="auto"/>
                <w:sz w:val="24"/>
                <w:szCs w:val="24"/>
                <w:highlight w:val="none"/>
              </w:rPr>
              <w:t>1000</w:t>
            </w:r>
            <w:r>
              <w:rPr>
                <w:rFonts w:hint="eastAsia" w:eastAsia="仿宋_GB2312"/>
                <w:color w:val="auto"/>
                <w:sz w:val="24"/>
                <w:szCs w:val="24"/>
                <w:highlight w:val="none"/>
              </w:rPr>
              <w:t>元/人·天</w:t>
            </w:r>
          </w:p>
        </w:tc>
      </w:tr>
      <w:tr w14:paraId="6D4F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8" w:type="dxa"/>
            <w:vMerge w:val="continue"/>
            <w:tcBorders>
              <w:left w:val="single" w:color="auto" w:sz="4" w:space="0"/>
              <w:right w:val="single" w:color="auto" w:sz="4" w:space="0"/>
            </w:tcBorders>
            <w:noWrap w:val="0"/>
            <w:vAlign w:val="center"/>
          </w:tcPr>
          <w:p w14:paraId="16184ACD">
            <w:pPr>
              <w:spacing w:line="360" w:lineRule="auto"/>
              <w:ind w:firstLine="468" w:firstLineChars="195"/>
              <w:jc w:val="center"/>
              <w:rPr>
                <w:rFonts w:hint="eastAsia" w:eastAsia="仿宋_GB2312"/>
                <w:color w:val="auto"/>
                <w:sz w:val="24"/>
                <w:szCs w:val="24"/>
                <w:highlight w:val="none"/>
              </w:rPr>
            </w:pP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F68815D">
            <w:pPr>
              <w:spacing w:line="360" w:lineRule="auto"/>
              <w:jc w:val="left"/>
              <w:rPr>
                <w:rFonts w:hint="eastAsia" w:eastAsia="仿宋_GB2312"/>
                <w:color w:val="auto"/>
                <w:sz w:val="24"/>
                <w:szCs w:val="24"/>
                <w:highlight w:val="none"/>
              </w:rPr>
            </w:pPr>
            <w:r>
              <w:rPr>
                <w:rFonts w:hint="eastAsia" w:eastAsia="仿宋_GB2312"/>
                <w:color w:val="auto"/>
                <w:sz w:val="24"/>
                <w:szCs w:val="24"/>
                <w:highlight w:val="none"/>
              </w:rPr>
              <w:t>其他主要施工管理及技术人员岗位未到位</w:t>
            </w:r>
          </w:p>
        </w:tc>
        <w:tc>
          <w:tcPr>
            <w:tcW w:w="2715" w:type="dxa"/>
            <w:tcBorders>
              <w:top w:val="single" w:color="auto" w:sz="4" w:space="0"/>
              <w:left w:val="single" w:color="auto" w:sz="4" w:space="0"/>
              <w:bottom w:val="single" w:color="auto" w:sz="4" w:space="0"/>
              <w:right w:val="single" w:color="auto" w:sz="4" w:space="0"/>
            </w:tcBorders>
            <w:noWrap w:val="0"/>
            <w:vAlign w:val="top"/>
          </w:tcPr>
          <w:p w14:paraId="59A2F09D">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     </w:t>
            </w:r>
            <w:r>
              <w:rPr>
                <w:rFonts w:eastAsia="仿宋_GB2312"/>
                <w:color w:val="auto"/>
                <w:sz w:val="24"/>
                <w:szCs w:val="24"/>
                <w:highlight w:val="none"/>
              </w:rPr>
              <w:t>800</w:t>
            </w:r>
            <w:r>
              <w:rPr>
                <w:rFonts w:hint="eastAsia" w:eastAsia="仿宋_GB2312"/>
                <w:color w:val="auto"/>
                <w:sz w:val="24"/>
                <w:szCs w:val="24"/>
                <w:highlight w:val="none"/>
              </w:rPr>
              <w:t>元/人·天</w:t>
            </w:r>
          </w:p>
        </w:tc>
      </w:tr>
    </w:tbl>
    <w:p w14:paraId="5691535F">
      <w:pPr>
        <w:spacing w:line="360" w:lineRule="auto"/>
        <w:ind w:firstLine="468" w:firstLineChars="195"/>
        <w:jc w:val="left"/>
        <w:rPr>
          <w:rFonts w:hint="eastAsia" w:eastAsia="仿宋_GB2312"/>
          <w:color w:val="auto"/>
          <w:sz w:val="24"/>
          <w:szCs w:val="24"/>
          <w:highlight w:val="none"/>
          <w:u w:val="single"/>
        </w:rPr>
      </w:pPr>
    </w:p>
    <w:p w14:paraId="59196ACF">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③ 承包人违反专用条款第3.2和3.3条约定，拒绝更换不合格人员的，承包人必须按照监理工程师或者发包人的指令限期改正，并承担一般违约责任；承包人拒不限期改正的，必须承担严重违约责任，发包人有权部分或全部解除合同。</w:t>
      </w:r>
    </w:p>
    <w:p w14:paraId="65C820BD">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④ 主要负责人员和管理人员存在擅自离岗的，承包人必须按照监理工程师或者发包人的指令限期改正，并承担一般违约责任；承包人拒不限期改正的，必须承担严重违约责任，发包人有权部分或全部解除合同。</w:t>
      </w:r>
    </w:p>
    <w:p w14:paraId="31DB21F6">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⑤ 承包人违反专用条款第3.3.6条约定，承包人不服从管理，无正当理由而公开拒绝或变相拒不执行发包人、监理单位、造价咨询单位的指令，视情节严重程度，承包人承担一般违约及以上责任，并承担由此造成的一切经济损失。</w:t>
      </w:r>
    </w:p>
    <w:p w14:paraId="178B2F42">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⑥ 承包人违反专用条款第3.3.7条约定，承包人的项目经理或项目技术负责人未经批准而缺席监理单位或造价咨询单位或发包人主持的工程例会和其他要求的专题会议，每缺席1次，承包人须承担1次一般违约责任。</w:t>
      </w:r>
    </w:p>
    <w:p w14:paraId="2A4FBB73">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⑦在施工期间的各阶段，发包人及监理工程师将对照承包人的投标文件检查其投入主要机械、设备，承包人违反投标承诺，未按投标文件的的承诺投入主要机械设备，则各阶段投入设备每少1台（套），承包人承担一般违约责任一次，由此造成工期延误的，承包人承担工期违约方面的责任，工期不予顺延。</w:t>
      </w:r>
    </w:p>
    <w:p w14:paraId="19DC3DCD">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（6）承包人未按时支付分包工程工程款方面的违约责任</w:t>
      </w:r>
    </w:p>
    <w:p w14:paraId="4D82C613">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承包人未按时支付分包工程工程款的，一旦发现，发包人或监理人即给予书面警告。若分包人投诉有效的，承包人承担一般违约责任，造成停工误工的，承包人必须承担严重违约责任1次。如此造成发包人其他损失的，由承包人负责赔偿。</w:t>
      </w:r>
    </w:p>
    <w:p w14:paraId="535684F1">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（7）民工工资支付方面的违约责任</w:t>
      </w:r>
    </w:p>
    <w:p w14:paraId="3CD38361">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承包人违反本合同关于民工工资支付的规定，被民工投诉属实的，承包人必须在3天内予以发放拖欠的款项。若继续拖延被投诉2次及以上，经查实，承包人必须承担一般违约责任1次。如此造成发包人其他损失的，由承包人负责赔偿。承包人应对专业分包或劳务分包单位的工资支付进行监督，专业分包或劳务分包单位出现未按时支付雇员工资的，承包人负连带责任。</w:t>
      </w:r>
    </w:p>
    <w:p w14:paraId="4393F2B3">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若仍然不予整改并发放拖欠的款项，使民工采取停工、集聚围阻发包人办公地点甚至政府办公部门等过激行动的，每发生一次，承包人必须承担严重违约责任，并立即采取切实有效措施予以整改；拒不采取切实有效的措施整改的，或整改效果不明显的，发包人有权部分或全部解除合同，并要求承包人赔偿由此造成的损失。</w:t>
      </w:r>
    </w:p>
    <w:p w14:paraId="5E98CFD2">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（8）造价管理方面的违约责任</w:t>
      </w:r>
    </w:p>
    <w:p w14:paraId="5AD4A65C">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承包人违反专用条款第</w:t>
      </w:r>
      <w:r>
        <w:rPr>
          <w:rFonts w:eastAsia="仿宋_GB2312"/>
          <w:color w:val="auto"/>
          <w:sz w:val="24"/>
          <w:szCs w:val="24"/>
          <w:highlight w:val="none"/>
        </w:rPr>
        <w:t>14.</w:t>
      </w:r>
      <w:r>
        <w:rPr>
          <w:rFonts w:hint="eastAsia" w:eastAsia="仿宋_GB2312"/>
          <w:color w:val="auto"/>
          <w:sz w:val="24"/>
          <w:szCs w:val="24"/>
          <w:highlight w:val="none"/>
        </w:rPr>
        <w:t>5条约定，承包人提交监理工程师、造价工程师、发包人的工程结算款与本工程结算终审部门的审核价相比，差值必须控制在承包人提交监理工程师、造价工程师、发包人的工程结算款的10％范围内，如超出该范围，承包人无条件同意发包人按超出终审价10%范围以外部分的20％金额作为违约金直接从承包人工程结算款中予以扣减。</w:t>
      </w:r>
    </w:p>
    <w:p w14:paraId="1C3BED62">
      <w:pPr>
        <w:spacing w:line="360" w:lineRule="auto"/>
        <w:ind w:firstLine="468" w:firstLineChars="195"/>
        <w:jc w:val="left"/>
        <w:rPr>
          <w:rFonts w:hint="eastAsia" w:eastAsia="仿宋_GB2312"/>
          <w:color w:val="auto"/>
          <w:sz w:val="24"/>
          <w:szCs w:val="24"/>
          <w:highlight w:val="none"/>
        </w:rPr>
      </w:pPr>
      <w:r>
        <w:rPr>
          <w:rFonts w:hint="eastAsia" w:eastAsia="仿宋_GB2312"/>
          <w:color w:val="auto"/>
          <w:sz w:val="24"/>
          <w:szCs w:val="24"/>
          <w:highlight w:val="none"/>
        </w:rPr>
        <w:t>（9）</w:t>
      </w:r>
      <w:r>
        <w:rPr>
          <w:rFonts w:eastAsia="仿宋_GB2312"/>
          <w:color w:val="auto"/>
          <w:sz w:val="24"/>
          <w:szCs w:val="24"/>
          <w:highlight w:val="none"/>
        </w:rPr>
        <w:t>承包人</w:t>
      </w:r>
      <w:r>
        <w:rPr>
          <w:rFonts w:hint="eastAsia" w:eastAsia="仿宋_GB2312"/>
          <w:color w:val="auto"/>
          <w:sz w:val="24"/>
          <w:szCs w:val="24"/>
          <w:highlight w:val="none"/>
        </w:rPr>
        <w:t>总承包未按合同约定提供总承包管理及配合服务的，发包人除有权视实际情况暂停支付或扣减相应总承包管理及配合服务外，承包人必须按照监理工程师或者发包人的指令限期改正，并承担一般违约责任；承包人拒不限期改正的，必须承担严重违约责任，发包人有权部分或全部解除合同。</w:t>
      </w:r>
    </w:p>
    <w:p w14:paraId="7079C08D">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（10）除上述约定之外，承包人有违反其他合同义务的，均构成违约，应当承担一般违约责任。</w:t>
      </w:r>
    </w:p>
    <w:p w14:paraId="486EB325">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16.2.3 因承包人违约解除合同</w:t>
      </w:r>
    </w:p>
    <w:p w14:paraId="18C0952B">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因承包人违约解除合同</w:t>
      </w:r>
      <w:r>
        <w:rPr>
          <w:rFonts w:hint="eastAsia" w:eastAsia="仿宋_GB2312"/>
          <w:color w:val="auto"/>
          <w:sz w:val="24"/>
          <w:szCs w:val="24"/>
          <w:highlight w:val="none"/>
        </w:rPr>
        <w:t>后，</w:t>
      </w:r>
      <w:r>
        <w:rPr>
          <w:rFonts w:eastAsia="仿宋_GB2312"/>
          <w:color w:val="auto"/>
          <w:sz w:val="24"/>
          <w:szCs w:val="24"/>
          <w:highlight w:val="none"/>
        </w:rPr>
        <w:t>发包人</w:t>
      </w:r>
      <w:r>
        <w:rPr>
          <w:rFonts w:hint="eastAsia" w:eastAsia="仿宋_GB2312"/>
          <w:color w:val="auto"/>
          <w:sz w:val="24"/>
          <w:szCs w:val="24"/>
          <w:highlight w:val="none"/>
        </w:rPr>
        <w:t>继续</w:t>
      </w:r>
      <w:r>
        <w:rPr>
          <w:rFonts w:eastAsia="仿宋_GB2312"/>
          <w:color w:val="auto"/>
          <w:sz w:val="24"/>
          <w:szCs w:val="24"/>
          <w:highlight w:val="none"/>
        </w:rPr>
        <w:t>使用承包人在施工现场的材料、设备、临时工程、承包人文件和由承包人或以其名义编制的其他文件</w:t>
      </w:r>
      <w:r>
        <w:rPr>
          <w:rFonts w:hint="eastAsia" w:eastAsia="仿宋_GB2312"/>
          <w:color w:val="auto"/>
          <w:sz w:val="24"/>
          <w:szCs w:val="24"/>
          <w:highlight w:val="none"/>
        </w:rPr>
        <w:t>的费用视为已包含在签约合同价中，解除合同已完成最终清算的，视为已包含在结清合同价款中。</w:t>
      </w:r>
    </w:p>
    <w:p w14:paraId="125DA07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增加</w:t>
      </w:r>
      <w:r>
        <w:rPr>
          <w:rFonts w:eastAsia="仿宋_GB2312"/>
          <w:color w:val="auto"/>
          <w:sz w:val="24"/>
          <w:szCs w:val="24"/>
          <w:highlight w:val="none"/>
        </w:rPr>
        <w:t>16.4</w:t>
      </w:r>
      <w:r>
        <w:rPr>
          <w:rFonts w:hint="eastAsia" w:eastAsia="仿宋_GB2312"/>
          <w:color w:val="auto"/>
          <w:sz w:val="24"/>
          <w:szCs w:val="24"/>
          <w:highlight w:val="none"/>
        </w:rPr>
        <w:t>条款，具体如下：</w:t>
      </w:r>
    </w:p>
    <w:p w14:paraId="3BC68BC2">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16.4</w:t>
      </w:r>
      <w:r>
        <w:rPr>
          <w:rFonts w:hint="eastAsia" w:eastAsia="仿宋_GB2312"/>
          <w:color w:val="auto"/>
          <w:sz w:val="24"/>
          <w:szCs w:val="24"/>
          <w:highlight w:val="none"/>
        </w:rPr>
        <w:t>承包人违约责任的认定程序：</w:t>
      </w:r>
    </w:p>
    <w:p w14:paraId="53B68BE4">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（1）由监理工程师提出书面意见报发包人，发包人审核后，出具书面警告给承包人，或由发包人直接发出书面警告给承包人；</w:t>
      </w:r>
    </w:p>
    <w:p w14:paraId="2AF4C498">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（2）承包人收到书面警告2天内，可向发包人提出书面意见，否则发包人将出具《违约责任通知书》给承包人；</w:t>
      </w:r>
    </w:p>
    <w:p w14:paraId="2086BC8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（3）书面警告和《违约责任通知书》于送达承包人时即生效；</w:t>
      </w:r>
    </w:p>
    <w:p w14:paraId="06CFB540">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（4）书面警告和《违约责任通知书》的送达方式为下列任一种：</w:t>
      </w:r>
    </w:p>
    <w:p w14:paraId="016AD0EC">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①承包人或其项目经理签收；</w:t>
      </w:r>
    </w:p>
    <w:p w14:paraId="34062CE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②发包人以挂号邮寄送达；</w:t>
      </w:r>
    </w:p>
    <w:p w14:paraId="4679FC49">
      <w:pPr>
        <w:spacing w:line="360" w:lineRule="auto"/>
        <w:ind w:firstLine="480" w:firstLineChars="200"/>
        <w:rPr>
          <w:rFonts w:eastAsia="仿宋_GB2312"/>
          <w:color w:val="auto"/>
          <w:sz w:val="24"/>
          <w:szCs w:val="24"/>
          <w:highlight w:val="none"/>
        </w:rPr>
      </w:pPr>
      <w:r>
        <w:rPr>
          <w:rFonts w:hint="eastAsia" w:ascii="宋体" w:hAnsi="宋体" w:cs="宋体"/>
          <w:color w:val="auto"/>
          <w:sz w:val="24"/>
          <w:szCs w:val="24"/>
          <w:highlight w:val="none"/>
        </w:rPr>
        <w:t>③</w:t>
      </w:r>
      <w:r>
        <w:rPr>
          <w:rFonts w:hint="eastAsia" w:eastAsia="仿宋_GB2312"/>
          <w:color w:val="auto"/>
          <w:sz w:val="24"/>
          <w:szCs w:val="24"/>
          <w:highlight w:val="none"/>
        </w:rPr>
        <w:t>发包人以EMS特快专递邮寄送达。</w:t>
      </w:r>
    </w:p>
    <w:p w14:paraId="13124696">
      <w:pPr>
        <w:pStyle w:val="6"/>
        <w:spacing w:before="120" w:after="120" w:line="360" w:lineRule="auto"/>
        <w:rPr>
          <w:rFonts w:ascii="Times New Roman" w:hAnsi="Times New Roman" w:eastAsia="黑体"/>
          <w:b w:val="0"/>
          <w:color w:val="auto"/>
          <w:sz w:val="24"/>
          <w:szCs w:val="24"/>
          <w:highlight w:val="none"/>
        </w:rPr>
      </w:pPr>
      <w:bookmarkStart w:id="998" w:name="_Toc32835793"/>
      <w:r>
        <w:rPr>
          <w:rFonts w:ascii="Times New Roman" w:hAnsi="Times New Roman" w:eastAsia="黑体"/>
          <w:b w:val="0"/>
          <w:color w:val="auto"/>
          <w:sz w:val="24"/>
          <w:szCs w:val="24"/>
          <w:highlight w:val="none"/>
        </w:rPr>
        <w:t>17. 不可抗力</w:t>
      </w:r>
      <w:bookmarkEnd w:id="998"/>
      <w:r>
        <w:rPr>
          <w:rFonts w:ascii="Times New Roman" w:hAnsi="Times New Roman" w:eastAsia="黑体"/>
          <w:b w:val="0"/>
          <w:color w:val="auto"/>
          <w:sz w:val="24"/>
          <w:szCs w:val="24"/>
          <w:highlight w:val="none"/>
        </w:rPr>
        <w:t xml:space="preserve"> </w:t>
      </w:r>
      <w:bookmarkEnd w:id="995"/>
    </w:p>
    <w:p w14:paraId="55846014">
      <w:pPr>
        <w:spacing w:after="120" w:line="360" w:lineRule="auto"/>
        <w:ind w:firstLine="480" w:firstLineChars="200"/>
        <w:rPr>
          <w:rFonts w:eastAsia="黑体"/>
          <w:color w:val="auto"/>
          <w:sz w:val="24"/>
          <w:szCs w:val="24"/>
          <w:highlight w:val="none"/>
        </w:rPr>
      </w:pPr>
      <w:r>
        <w:rPr>
          <w:rFonts w:eastAsia="黑体"/>
          <w:color w:val="auto"/>
          <w:sz w:val="24"/>
          <w:szCs w:val="24"/>
          <w:highlight w:val="none"/>
        </w:rPr>
        <w:t>17.1 不可抗力的确认</w:t>
      </w:r>
    </w:p>
    <w:p w14:paraId="6583B6E2">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除通用合同条款约定的不可抗力事件之外，视为不可抗力的其他情形：</w:t>
      </w:r>
      <w:r>
        <w:rPr>
          <w:rFonts w:hint="eastAsia" w:eastAsia="仿宋_GB2312"/>
          <w:color w:val="auto"/>
          <w:sz w:val="24"/>
          <w:szCs w:val="24"/>
          <w:highlight w:val="none"/>
        </w:rPr>
        <w:t>敌对行动（无论是否宣战）、入侵、外敌行为、军事政变、恐怖主义、动乱、空中飞行物坠落或其他非发包人承包人责任或原因造成的罢工、停工、爆炸、火灾等，以及：</w:t>
      </w:r>
    </w:p>
    <w:p w14:paraId="3CA4131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（1）当地气象部门规定的情形：仅指50年以上（含50年）一遇的洪水、10级以上（含10级）台风；</w:t>
      </w:r>
    </w:p>
    <w:p w14:paraId="0E8FBA4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（2）当地地震部门规定的情形：仅指里氏5级以上（含5级）地震；</w:t>
      </w:r>
    </w:p>
    <w:p w14:paraId="3210562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（3）当地卫生部门、政府规划部门、建设主管部门等政府部门规定的情形要求停工的情况发生。</w:t>
      </w:r>
    </w:p>
    <w:p w14:paraId="07B1AB5F">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17.3.2</w:t>
      </w:r>
      <w:r>
        <w:rPr>
          <w:rFonts w:hint="eastAsia" w:eastAsia="仿宋_GB2312"/>
          <w:color w:val="auto"/>
          <w:sz w:val="24"/>
          <w:szCs w:val="24"/>
          <w:highlight w:val="none"/>
        </w:rPr>
        <w:t>条不适用，替换为：</w:t>
      </w:r>
    </w:p>
    <w:p w14:paraId="62EC95F0">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17.3.2 不可抗力导致的人员伤亡、财产损失、费用增加和（或）工期延误等后果，由合同当事人按以下原则承担：</w:t>
      </w:r>
    </w:p>
    <w:p w14:paraId="274A9EB8">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（1）永久工程、已运至施工现场的材料和工程设备的损坏，以及因工程损坏造成的第三人人员伤亡和财产损失</w:t>
      </w:r>
      <w:r>
        <w:rPr>
          <w:rFonts w:hint="eastAsia" w:eastAsia="仿宋_GB2312"/>
          <w:color w:val="auto"/>
          <w:sz w:val="24"/>
          <w:szCs w:val="24"/>
          <w:highlight w:val="none"/>
        </w:rPr>
        <w:t>由发包人根据购买建筑工程一切险约定承担</w:t>
      </w:r>
      <w:r>
        <w:rPr>
          <w:rFonts w:eastAsia="仿宋_GB2312"/>
          <w:color w:val="auto"/>
          <w:sz w:val="24"/>
          <w:szCs w:val="24"/>
          <w:highlight w:val="none"/>
        </w:rPr>
        <w:t>；</w:t>
      </w:r>
    </w:p>
    <w:p w14:paraId="12B03857">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（2）承包人施工设备的损坏由承包人承担；</w:t>
      </w:r>
    </w:p>
    <w:p w14:paraId="53633BA9">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（3）发包人、承包人自行承担自各的人员伤亡和财产的损失；</w:t>
      </w:r>
    </w:p>
    <w:p w14:paraId="4A4219BA">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（4）因不可抗力影响承包人履行合同约定的义务，已经引起或将引起工期延误的，</w:t>
      </w:r>
      <w:r>
        <w:rPr>
          <w:rFonts w:hint="eastAsia" w:eastAsia="仿宋_GB2312"/>
          <w:color w:val="auto"/>
          <w:sz w:val="24"/>
          <w:szCs w:val="24"/>
          <w:highlight w:val="none"/>
        </w:rPr>
        <w:t>合同工期顺延按专用条款7.5.1.（8）约定执行</w:t>
      </w:r>
      <w:r>
        <w:rPr>
          <w:rFonts w:eastAsia="仿宋_GB2312"/>
          <w:color w:val="auto"/>
          <w:sz w:val="24"/>
          <w:szCs w:val="24"/>
          <w:highlight w:val="none"/>
        </w:rPr>
        <w:t>，由此导致承包人停工的费用损失由发包人和承包人</w:t>
      </w:r>
      <w:r>
        <w:rPr>
          <w:rFonts w:hint="eastAsia" w:eastAsia="仿宋_GB2312"/>
          <w:color w:val="auto"/>
          <w:sz w:val="24"/>
          <w:szCs w:val="24"/>
          <w:highlight w:val="none"/>
        </w:rPr>
        <w:t>根据合同不可抗力工期延误责任约定</w:t>
      </w:r>
      <w:r>
        <w:rPr>
          <w:rFonts w:eastAsia="仿宋_GB2312"/>
          <w:color w:val="auto"/>
          <w:sz w:val="24"/>
          <w:szCs w:val="24"/>
          <w:highlight w:val="none"/>
        </w:rPr>
        <w:t>合理分担，停工期间必须支付的工人工资由</w:t>
      </w:r>
      <w:r>
        <w:rPr>
          <w:rFonts w:hint="eastAsia" w:eastAsia="仿宋_GB2312"/>
          <w:color w:val="auto"/>
          <w:sz w:val="24"/>
          <w:szCs w:val="24"/>
          <w:highlight w:val="none"/>
        </w:rPr>
        <w:t>承</w:t>
      </w:r>
      <w:r>
        <w:rPr>
          <w:rFonts w:eastAsia="仿宋_GB2312"/>
          <w:color w:val="auto"/>
          <w:sz w:val="24"/>
          <w:szCs w:val="24"/>
          <w:highlight w:val="none"/>
        </w:rPr>
        <w:t>包人承担；</w:t>
      </w:r>
    </w:p>
    <w:p w14:paraId="57F7529F">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（5）因不可抗力引起或将引起工期延误，发包人要求赶工的，由此增加的赶工费用由发包人承担；</w:t>
      </w:r>
    </w:p>
    <w:p w14:paraId="0C4C882B">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（6）承包人在停工期间按照发包人要求照管、清理和修复工程的费用由发包人</w:t>
      </w:r>
      <w:r>
        <w:rPr>
          <w:rFonts w:hint="eastAsia" w:eastAsia="仿宋_GB2312"/>
          <w:color w:val="auto"/>
          <w:sz w:val="24"/>
          <w:szCs w:val="24"/>
          <w:highlight w:val="none"/>
        </w:rPr>
        <w:t>按《建筑工程一切险》的赔偿约定待获偿后按实与承包人结算，如赔偿额度不足于支付</w:t>
      </w:r>
      <w:r>
        <w:rPr>
          <w:rFonts w:eastAsia="仿宋_GB2312"/>
          <w:color w:val="auto"/>
          <w:sz w:val="24"/>
          <w:szCs w:val="24"/>
          <w:highlight w:val="none"/>
        </w:rPr>
        <w:t>照管、清理和修复工程的</w:t>
      </w:r>
      <w:r>
        <w:rPr>
          <w:rFonts w:hint="eastAsia" w:eastAsia="仿宋_GB2312"/>
          <w:color w:val="auto"/>
          <w:sz w:val="24"/>
          <w:szCs w:val="24"/>
          <w:highlight w:val="none"/>
        </w:rPr>
        <w:t>费用的，超出部分费用由责任方承担。</w:t>
      </w:r>
    </w:p>
    <w:p w14:paraId="3F6E833A">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不可抗力发生后，合同当事人均应采取措施尽量避免和减少损失的扩大，任何一方当事人没有采取有效措施导致损失扩大的，应对扩大的损失承担责任。</w:t>
      </w:r>
    </w:p>
    <w:p w14:paraId="4199690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合同任何一方延迟履行合同后发生不可抗力的，因不可抗力造成的损失由责任方承担。</w:t>
      </w:r>
    </w:p>
    <w:p w14:paraId="03A398C1">
      <w:pPr>
        <w:spacing w:line="360" w:lineRule="auto"/>
        <w:ind w:firstLine="480" w:firstLineChars="200"/>
        <w:rPr>
          <w:rFonts w:hint="eastAsia" w:eastAsia="仿宋_GB2312"/>
          <w:color w:val="auto"/>
          <w:sz w:val="24"/>
          <w:szCs w:val="24"/>
          <w:highlight w:val="none"/>
        </w:rPr>
      </w:pPr>
      <w:bookmarkStart w:id="999" w:name="_Toc27260"/>
      <w:r>
        <w:rPr>
          <w:rFonts w:hint="eastAsia" w:eastAsia="仿宋_GB2312"/>
          <w:color w:val="auto"/>
          <w:sz w:val="24"/>
          <w:szCs w:val="24"/>
          <w:highlight w:val="none"/>
        </w:rPr>
        <w:t>通用条款</w:t>
      </w:r>
      <w:r>
        <w:rPr>
          <w:rFonts w:eastAsia="仿宋_GB2312"/>
          <w:color w:val="auto"/>
          <w:sz w:val="24"/>
          <w:szCs w:val="24"/>
          <w:highlight w:val="none"/>
        </w:rPr>
        <w:t>17.</w:t>
      </w:r>
      <w:r>
        <w:rPr>
          <w:rFonts w:hint="eastAsia" w:eastAsia="仿宋_GB2312"/>
          <w:color w:val="auto"/>
          <w:sz w:val="24"/>
          <w:szCs w:val="24"/>
          <w:highlight w:val="none"/>
        </w:rPr>
        <w:t>4条不适用，替换为：</w:t>
      </w:r>
    </w:p>
    <w:p w14:paraId="73775920">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17.4 因不可抗力解除合同</w:t>
      </w:r>
      <w:bookmarkEnd w:id="999"/>
    </w:p>
    <w:p w14:paraId="51FF9C95">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因不可抗力导致合同无法履行连续超过84天或累计超过140天的，发包人和承包人均有权解除合同。合同解除后，由双方当事人按照第4.4款</w:t>
      </w:r>
      <w:r>
        <w:rPr>
          <w:rFonts w:hint="eastAsia" w:eastAsia="仿宋_GB2312"/>
          <w:color w:val="auto"/>
          <w:sz w:val="24"/>
          <w:szCs w:val="24"/>
          <w:highlight w:val="none"/>
        </w:rPr>
        <w:t>〔</w:t>
      </w:r>
      <w:r>
        <w:rPr>
          <w:rFonts w:eastAsia="仿宋_GB2312"/>
          <w:color w:val="auto"/>
          <w:sz w:val="24"/>
          <w:szCs w:val="24"/>
          <w:highlight w:val="none"/>
        </w:rPr>
        <w:t>商定或确定</w:t>
      </w:r>
      <w:r>
        <w:rPr>
          <w:rFonts w:hint="eastAsia" w:eastAsia="仿宋_GB2312"/>
          <w:color w:val="auto"/>
          <w:sz w:val="24"/>
          <w:szCs w:val="24"/>
          <w:highlight w:val="none"/>
        </w:rPr>
        <w:t>〕</w:t>
      </w:r>
      <w:r>
        <w:rPr>
          <w:rFonts w:eastAsia="仿宋_GB2312"/>
          <w:color w:val="auto"/>
          <w:sz w:val="24"/>
          <w:szCs w:val="24"/>
          <w:highlight w:val="none"/>
        </w:rPr>
        <w:t>商定或确定</w:t>
      </w:r>
      <w:r>
        <w:rPr>
          <w:rFonts w:hint="eastAsia" w:eastAsia="仿宋_GB2312"/>
          <w:color w:val="auto"/>
          <w:sz w:val="24"/>
          <w:szCs w:val="24"/>
          <w:highlight w:val="none"/>
        </w:rPr>
        <w:t>承包人、</w:t>
      </w:r>
      <w:r>
        <w:rPr>
          <w:rFonts w:eastAsia="仿宋_GB2312"/>
          <w:color w:val="auto"/>
          <w:sz w:val="24"/>
          <w:szCs w:val="24"/>
          <w:highlight w:val="none"/>
        </w:rPr>
        <w:t>发包人</w:t>
      </w:r>
      <w:r>
        <w:rPr>
          <w:rFonts w:hint="eastAsia" w:eastAsia="仿宋_GB2312"/>
          <w:color w:val="auto"/>
          <w:sz w:val="24"/>
          <w:szCs w:val="24"/>
          <w:highlight w:val="none"/>
        </w:rPr>
        <w:t>各自</w:t>
      </w:r>
      <w:r>
        <w:rPr>
          <w:rFonts w:eastAsia="仿宋_GB2312"/>
          <w:color w:val="auto"/>
          <w:sz w:val="24"/>
          <w:szCs w:val="24"/>
          <w:highlight w:val="none"/>
        </w:rPr>
        <w:t>应支付的款项，包括：</w:t>
      </w:r>
    </w:p>
    <w:p w14:paraId="7B260DAF">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w:t>
      </w:r>
      <w:r>
        <w:rPr>
          <w:rFonts w:hint="eastAsia" w:eastAsia="仿宋_GB2312"/>
          <w:color w:val="auto"/>
          <w:sz w:val="24"/>
          <w:szCs w:val="24"/>
          <w:highlight w:val="none"/>
        </w:rPr>
        <w:t>发包人向承包人支付</w:t>
      </w:r>
      <w:r>
        <w:rPr>
          <w:rFonts w:eastAsia="仿宋_GB2312"/>
          <w:color w:val="auto"/>
          <w:sz w:val="24"/>
          <w:szCs w:val="24"/>
          <w:highlight w:val="none"/>
        </w:rPr>
        <w:t>合同解除前承包人已完成工作的价款</w:t>
      </w:r>
      <w:r>
        <w:rPr>
          <w:rFonts w:hint="eastAsia" w:eastAsia="仿宋_GB2312"/>
          <w:color w:val="auto"/>
          <w:sz w:val="24"/>
          <w:szCs w:val="24"/>
          <w:highlight w:val="none"/>
        </w:rPr>
        <w:t>，但应</w:t>
      </w:r>
      <w:r>
        <w:rPr>
          <w:rFonts w:eastAsia="仿宋_GB2312"/>
          <w:color w:val="auto"/>
          <w:sz w:val="24"/>
          <w:szCs w:val="24"/>
          <w:highlight w:val="none"/>
        </w:rPr>
        <w:t>扣减承包人按照合同约定应向发包人支付的款项；</w:t>
      </w:r>
    </w:p>
    <w:p w14:paraId="71668B8C">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（2）承包人</w:t>
      </w:r>
      <w:r>
        <w:rPr>
          <w:rFonts w:hint="eastAsia" w:eastAsia="仿宋_GB2312"/>
          <w:color w:val="auto"/>
          <w:sz w:val="24"/>
          <w:szCs w:val="24"/>
          <w:highlight w:val="none"/>
        </w:rPr>
        <w:t>自行承担为</w:t>
      </w:r>
      <w:r>
        <w:rPr>
          <w:rFonts w:eastAsia="仿宋_GB2312"/>
          <w:color w:val="auto"/>
          <w:sz w:val="24"/>
          <w:szCs w:val="24"/>
          <w:highlight w:val="none"/>
        </w:rPr>
        <w:t>工程订购的并已交付给承包人，或承包人有责任接受交付的材料、工程设备和其他物品的价款；</w:t>
      </w:r>
    </w:p>
    <w:p w14:paraId="59EF3204">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（3）</w:t>
      </w:r>
      <w:r>
        <w:rPr>
          <w:rFonts w:hint="eastAsia" w:eastAsia="仿宋_GB2312"/>
          <w:color w:val="auto"/>
          <w:sz w:val="24"/>
          <w:szCs w:val="24"/>
          <w:highlight w:val="none"/>
        </w:rPr>
        <w:t>承包人自行承担</w:t>
      </w:r>
      <w:r>
        <w:rPr>
          <w:rFonts w:eastAsia="仿宋_GB2312"/>
          <w:color w:val="auto"/>
          <w:sz w:val="24"/>
          <w:szCs w:val="24"/>
          <w:highlight w:val="none"/>
        </w:rPr>
        <w:t>发包人要求承包人</w:t>
      </w:r>
      <w:r>
        <w:rPr>
          <w:rFonts w:hint="eastAsia" w:eastAsia="仿宋_GB2312"/>
          <w:color w:val="auto"/>
          <w:sz w:val="24"/>
          <w:szCs w:val="24"/>
          <w:highlight w:val="none"/>
        </w:rPr>
        <w:t>，或自行</w:t>
      </w:r>
      <w:r>
        <w:rPr>
          <w:rFonts w:eastAsia="仿宋_GB2312"/>
          <w:color w:val="auto"/>
          <w:sz w:val="24"/>
          <w:szCs w:val="24"/>
          <w:highlight w:val="none"/>
        </w:rPr>
        <w:t>退货或解除订货合同而产生的费用，或因不能退货或解除合同而产生的损失；</w:t>
      </w:r>
    </w:p>
    <w:p w14:paraId="6B2297FD">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（4）</w:t>
      </w:r>
      <w:r>
        <w:rPr>
          <w:rFonts w:hint="eastAsia" w:eastAsia="仿宋_GB2312"/>
          <w:color w:val="auto"/>
          <w:sz w:val="24"/>
          <w:szCs w:val="24"/>
          <w:highlight w:val="none"/>
        </w:rPr>
        <w:t>承包人自行承担</w:t>
      </w:r>
      <w:r>
        <w:rPr>
          <w:rFonts w:eastAsia="仿宋_GB2312"/>
          <w:color w:val="auto"/>
          <w:sz w:val="24"/>
          <w:szCs w:val="24"/>
          <w:highlight w:val="none"/>
        </w:rPr>
        <w:t>承包人撤离施工现场以及遣散承包人人员的费用；</w:t>
      </w:r>
    </w:p>
    <w:p w14:paraId="1B1ED8C5">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（5）</w:t>
      </w:r>
      <w:r>
        <w:rPr>
          <w:rFonts w:eastAsia="仿宋_GB2312"/>
          <w:color w:val="auto"/>
          <w:sz w:val="24"/>
          <w:szCs w:val="24"/>
          <w:highlight w:val="none"/>
        </w:rPr>
        <w:t>双方商定或确定的其他款项。</w:t>
      </w:r>
    </w:p>
    <w:p w14:paraId="754B1E48">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合同解除后，发包人应在商定或确定发包人应支付款项后</w:t>
      </w:r>
      <w:r>
        <w:rPr>
          <w:rFonts w:hint="eastAsia" w:eastAsia="仿宋_GB2312"/>
          <w:color w:val="auto"/>
          <w:sz w:val="24"/>
          <w:szCs w:val="24"/>
          <w:highlight w:val="none"/>
        </w:rPr>
        <w:t>56</w:t>
      </w:r>
      <w:r>
        <w:rPr>
          <w:rFonts w:eastAsia="仿宋_GB2312"/>
          <w:color w:val="auto"/>
          <w:sz w:val="24"/>
          <w:szCs w:val="24"/>
          <w:highlight w:val="none"/>
        </w:rPr>
        <w:t>天内完成款项的支付。</w:t>
      </w:r>
    </w:p>
    <w:p w14:paraId="615A3F46">
      <w:pPr>
        <w:pStyle w:val="6"/>
        <w:spacing w:before="120" w:after="120" w:line="360" w:lineRule="auto"/>
        <w:rPr>
          <w:rFonts w:ascii="Times New Roman" w:hAnsi="Times New Roman" w:eastAsia="黑体"/>
          <w:b w:val="0"/>
          <w:color w:val="auto"/>
          <w:sz w:val="24"/>
          <w:szCs w:val="24"/>
          <w:highlight w:val="none"/>
        </w:rPr>
      </w:pPr>
      <w:bookmarkStart w:id="1000" w:name="_Toc32835794"/>
      <w:r>
        <w:rPr>
          <w:rFonts w:ascii="Times New Roman" w:hAnsi="Times New Roman" w:eastAsia="黑体"/>
          <w:b w:val="0"/>
          <w:color w:val="auto"/>
          <w:sz w:val="24"/>
          <w:szCs w:val="24"/>
          <w:highlight w:val="none"/>
        </w:rPr>
        <w:t>18. 保险</w:t>
      </w:r>
      <w:bookmarkEnd w:id="1000"/>
    </w:p>
    <w:bookmarkEnd w:id="996"/>
    <w:p w14:paraId="73420D14">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w:t>
      </w:r>
      <w:r>
        <w:rPr>
          <w:rFonts w:hint="eastAsia" w:eastAsia="仿宋_GB2312"/>
          <w:color w:val="auto"/>
          <w:sz w:val="24"/>
          <w:szCs w:val="24"/>
          <w:highlight w:val="none"/>
        </w:rPr>
        <w:t>8.1条不适用，替换为：</w:t>
      </w:r>
    </w:p>
    <w:p w14:paraId="3E5B4042">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18.1 工程保险</w:t>
      </w:r>
    </w:p>
    <w:p w14:paraId="01F8C899">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发包人委托承包人</w:t>
      </w:r>
      <w:r>
        <w:rPr>
          <w:rFonts w:hint="eastAsia" w:eastAsia="仿宋_GB2312"/>
          <w:color w:val="auto"/>
          <w:sz w:val="24"/>
          <w:szCs w:val="24"/>
          <w:highlight w:val="none"/>
        </w:rPr>
        <w:t>在工程开工前，为合同工程（指自行施工的工程）办理购买以发包人为受益人的</w:t>
      </w:r>
      <w:r>
        <w:rPr>
          <w:rFonts w:eastAsia="仿宋_GB2312"/>
          <w:color w:val="auto"/>
          <w:sz w:val="24"/>
          <w:szCs w:val="24"/>
          <w:highlight w:val="none"/>
        </w:rPr>
        <w:t>建筑工程一切险</w:t>
      </w:r>
      <w:r>
        <w:rPr>
          <w:rFonts w:hint="eastAsia" w:eastAsia="仿宋_GB2312"/>
          <w:color w:val="auto"/>
          <w:sz w:val="24"/>
          <w:szCs w:val="24"/>
          <w:highlight w:val="none"/>
        </w:rPr>
        <w:t>（含安装工程一切险）、第三者责任险、为本合同承包范围内运至施工场地内用于永久工程的材料和待安装工程设备办理保险</w:t>
      </w:r>
      <w:r>
        <w:rPr>
          <w:rFonts w:eastAsia="仿宋_GB2312"/>
          <w:color w:val="auto"/>
          <w:sz w:val="24"/>
          <w:szCs w:val="24"/>
          <w:highlight w:val="none"/>
        </w:rPr>
        <w:t>，因投保产生的保险费和其他相关费用</w:t>
      </w:r>
      <w:r>
        <w:rPr>
          <w:rFonts w:hint="eastAsia" w:eastAsia="仿宋_GB2312"/>
          <w:color w:val="auto"/>
          <w:sz w:val="24"/>
          <w:szCs w:val="24"/>
          <w:highlight w:val="none"/>
        </w:rPr>
        <w:t>包含在签约合同价中，承包人需在购买上述保险后，及时向发包人提供有效的投保保险单和保险凭证，否则不得开工，且由此导致工期延误的，工期不予顺延</w:t>
      </w:r>
      <w:r>
        <w:rPr>
          <w:rFonts w:eastAsia="仿宋_GB2312"/>
          <w:color w:val="auto"/>
          <w:sz w:val="24"/>
          <w:szCs w:val="24"/>
          <w:highlight w:val="none"/>
        </w:rPr>
        <w:t>。</w:t>
      </w:r>
      <w:r>
        <w:rPr>
          <w:rFonts w:hint="eastAsia" w:eastAsia="仿宋_GB2312"/>
          <w:color w:val="auto"/>
          <w:sz w:val="24"/>
          <w:szCs w:val="24"/>
          <w:highlight w:val="none"/>
        </w:rPr>
        <w:t>其中建筑工程一切险投保范围应包括配合本合同用途或预定用途的永久及临时工程、本合同内属于或提供给被保险人或由被保险人自行负责的设备和所有物业﹙不包括承包人的固定设备/临时建筑﹚的损失或损毁；第三者责任险保险范围应包括由于发生与本工程直接相关的意外事故引起工地内及邻近区域的第三者身体意外受伤或死亡、或引致第三者物业、财产受意外损失或损毁时发包人及承包人的法律责任。</w:t>
      </w:r>
    </w:p>
    <w:p w14:paraId="5796588F">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承包人必须自行承担保险条款规定的免赔款﹙自负责任的赔款﹚、不属保险事项的赔款、或责任最高限额以外的赔款。工程进行期间发生意外而需要保险公司赔偿时，承包人所需要支付的垫底费用，亦由承包人自行承担。</w:t>
      </w:r>
    </w:p>
    <w:p w14:paraId="7EDACB16">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施工场所内承包人自有人员未办理意外伤害保险或施工机械设备未办理保险的，如发生相关施工事故，由承包人负全责赔偿。</w:t>
      </w:r>
    </w:p>
    <w:p w14:paraId="5122583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因意外导致需要在工程现场进行清理废料的费用（超出所购买的《建筑工程一切险》赔偿额度的费用）由责任方承担。</w:t>
      </w:r>
    </w:p>
    <w:p w14:paraId="1D0D160D">
      <w:pPr>
        <w:spacing w:after="120" w:line="360" w:lineRule="auto"/>
        <w:ind w:firstLine="480" w:firstLineChars="200"/>
        <w:outlineLvl w:val="0"/>
        <w:rPr>
          <w:rFonts w:eastAsia="黑体"/>
          <w:color w:val="auto"/>
          <w:sz w:val="24"/>
          <w:szCs w:val="24"/>
          <w:highlight w:val="none"/>
        </w:rPr>
      </w:pPr>
      <w:bookmarkStart w:id="1001" w:name="_Toc32835795"/>
      <w:r>
        <w:rPr>
          <w:rFonts w:eastAsia="黑体"/>
          <w:color w:val="auto"/>
          <w:sz w:val="24"/>
          <w:szCs w:val="24"/>
          <w:highlight w:val="none"/>
        </w:rPr>
        <w:t>18.3 其他保险</w:t>
      </w:r>
      <w:bookmarkEnd w:id="1001"/>
    </w:p>
    <w:p w14:paraId="1F882666">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关于其他保险的约定：</w:t>
      </w:r>
    </w:p>
    <w:p w14:paraId="588D991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（1）承包人投保内容：发包人委托及承包人须自行投保的险种外的保险内容。</w:t>
      </w:r>
    </w:p>
    <w:p w14:paraId="1EEE99F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（2）有关工程保险的理赔事宜由承包人协调处理。</w:t>
      </w:r>
    </w:p>
    <w:p w14:paraId="700DEA2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（3）发生</w:t>
      </w:r>
      <w:r>
        <w:rPr>
          <w:rFonts w:eastAsia="仿宋_GB2312"/>
          <w:color w:val="auto"/>
          <w:sz w:val="24"/>
          <w:szCs w:val="24"/>
          <w:highlight w:val="none"/>
        </w:rPr>
        <w:t>18</w:t>
      </w:r>
      <w:r>
        <w:rPr>
          <w:rFonts w:hint="eastAsia" w:eastAsia="仿宋_GB2312"/>
          <w:color w:val="auto"/>
          <w:sz w:val="24"/>
          <w:szCs w:val="24"/>
          <w:highlight w:val="none"/>
        </w:rPr>
        <w:t>.1条款中的意外，承包人应及时向发包人及保险公司反映，并尽最大可能避免扩大损失。</w:t>
      </w:r>
    </w:p>
    <w:p w14:paraId="4B4950D9">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（4）发包人与承包人所办理的保险当中，若有牵涉到对方的权益与责任，应互为对方提供书面的保险合同内容，双方应互为遵守及按约受益。</w:t>
      </w:r>
    </w:p>
    <w:p w14:paraId="0A70F6FC">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承包人是否应为其施工设备等办理财产保险：</w:t>
      </w:r>
      <w:r>
        <w:rPr>
          <w:rFonts w:hint="eastAsia" w:eastAsia="仿宋_GB2312"/>
          <w:color w:val="auto"/>
          <w:sz w:val="24"/>
          <w:szCs w:val="24"/>
          <w:highlight w:val="none"/>
        </w:rPr>
        <w:t>承包人须于工程开工前办理，自有施工机械设备险、自有人员意外伤害保险等承包人应办理的保险。保险期自合同开工日至竣工验收合格之日起，费用视为已包含在签约合同价中。若承包人未按自有人员意外伤害保险等承包人应办理的保险发包人可代为投保，并把已缴的保险费在应支付或会支付给承包人的款项中扣除。</w:t>
      </w:r>
    </w:p>
    <w:p w14:paraId="54D2EC1C">
      <w:pPr>
        <w:spacing w:line="360" w:lineRule="auto"/>
        <w:ind w:firstLine="480" w:firstLineChars="200"/>
        <w:rPr>
          <w:rFonts w:eastAsia="仿宋_GB2312"/>
          <w:color w:val="auto"/>
          <w:sz w:val="24"/>
          <w:szCs w:val="24"/>
          <w:highlight w:val="none"/>
        </w:rPr>
      </w:pPr>
      <w:bookmarkStart w:id="1002" w:name="_Toc2112"/>
      <w:r>
        <w:rPr>
          <w:rFonts w:eastAsia="仿宋_GB2312"/>
          <w:color w:val="auto"/>
          <w:sz w:val="24"/>
          <w:szCs w:val="24"/>
          <w:highlight w:val="none"/>
        </w:rPr>
        <w:t>18.6 未按约定投保的补救</w:t>
      </w:r>
      <w:bookmarkEnd w:id="1002"/>
    </w:p>
    <w:p w14:paraId="3E44C19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通用条款</w:t>
      </w:r>
      <w:r>
        <w:rPr>
          <w:rFonts w:eastAsia="仿宋_GB2312"/>
          <w:color w:val="auto"/>
          <w:sz w:val="24"/>
          <w:szCs w:val="24"/>
          <w:highlight w:val="none"/>
        </w:rPr>
        <w:t>1</w:t>
      </w:r>
      <w:r>
        <w:rPr>
          <w:rFonts w:hint="eastAsia" w:eastAsia="仿宋_GB2312"/>
          <w:color w:val="auto"/>
          <w:sz w:val="24"/>
          <w:szCs w:val="24"/>
          <w:highlight w:val="none"/>
        </w:rPr>
        <w:t>8</w:t>
      </w:r>
      <w:r>
        <w:rPr>
          <w:rFonts w:eastAsia="仿宋_GB2312"/>
          <w:color w:val="auto"/>
          <w:sz w:val="24"/>
          <w:szCs w:val="24"/>
          <w:highlight w:val="none"/>
        </w:rPr>
        <w:t>.</w:t>
      </w:r>
      <w:r>
        <w:rPr>
          <w:rFonts w:hint="eastAsia" w:eastAsia="仿宋_GB2312"/>
          <w:color w:val="auto"/>
          <w:sz w:val="24"/>
          <w:szCs w:val="24"/>
          <w:highlight w:val="none"/>
        </w:rPr>
        <w:t>6</w:t>
      </w:r>
      <w:r>
        <w:rPr>
          <w:rFonts w:eastAsia="仿宋_GB2312"/>
          <w:color w:val="auto"/>
          <w:sz w:val="24"/>
          <w:szCs w:val="24"/>
          <w:highlight w:val="none"/>
        </w:rPr>
        <w:t>.</w:t>
      </w:r>
      <w:r>
        <w:rPr>
          <w:rFonts w:hint="eastAsia" w:eastAsia="仿宋_GB2312"/>
          <w:color w:val="auto"/>
          <w:sz w:val="24"/>
          <w:szCs w:val="24"/>
          <w:highlight w:val="none"/>
        </w:rPr>
        <w:t>1条不适用，替换为：</w:t>
      </w:r>
    </w:p>
    <w:p w14:paraId="5B2AFAB1">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18.6.1</w:t>
      </w:r>
      <w:r>
        <w:rPr>
          <w:rFonts w:hint="eastAsia" w:eastAsia="仿宋_GB2312"/>
          <w:color w:val="auto"/>
          <w:sz w:val="24"/>
          <w:szCs w:val="24"/>
          <w:highlight w:val="none"/>
        </w:rPr>
        <w:t>当合同工程施工的性质、规模或计划发生变更时，承包人应及时增加投保《建筑工程一切险》及第三者责任险，并在合同履行期间按本合同保险条款的规定保证足够的保险额，如因</w:t>
      </w:r>
      <w:r>
        <w:rPr>
          <w:rFonts w:eastAsia="仿宋_GB2312"/>
          <w:color w:val="auto"/>
          <w:sz w:val="24"/>
          <w:szCs w:val="24"/>
          <w:highlight w:val="none"/>
        </w:rPr>
        <w:t>承包人未按合同约定</w:t>
      </w:r>
      <w:r>
        <w:rPr>
          <w:rFonts w:hint="eastAsia" w:eastAsia="仿宋_GB2312"/>
          <w:color w:val="auto"/>
          <w:sz w:val="24"/>
          <w:szCs w:val="24"/>
          <w:highlight w:val="none"/>
        </w:rPr>
        <w:t>及时通知发包人并增加投保</w:t>
      </w:r>
      <w:r>
        <w:rPr>
          <w:rFonts w:eastAsia="仿宋_GB2312"/>
          <w:color w:val="auto"/>
          <w:sz w:val="24"/>
          <w:szCs w:val="24"/>
          <w:highlight w:val="none"/>
        </w:rPr>
        <w:t>，</w:t>
      </w:r>
      <w:r>
        <w:rPr>
          <w:rFonts w:hint="eastAsia" w:eastAsia="仿宋_GB2312"/>
          <w:color w:val="auto"/>
          <w:sz w:val="24"/>
          <w:szCs w:val="24"/>
          <w:highlight w:val="none"/>
        </w:rPr>
        <w:t>由此</w:t>
      </w:r>
      <w:r>
        <w:rPr>
          <w:rFonts w:eastAsia="仿宋_GB2312"/>
          <w:color w:val="auto"/>
          <w:sz w:val="24"/>
          <w:szCs w:val="24"/>
          <w:highlight w:val="none"/>
        </w:rPr>
        <w:t>导致未能得到足额赔偿的，由承包人</w:t>
      </w:r>
      <w:r>
        <w:rPr>
          <w:rFonts w:hint="eastAsia" w:eastAsia="仿宋_GB2312"/>
          <w:color w:val="auto"/>
          <w:sz w:val="24"/>
          <w:szCs w:val="24"/>
          <w:highlight w:val="none"/>
        </w:rPr>
        <w:t>自行承担由此造成的损失</w:t>
      </w:r>
      <w:r>
        <w:rPr>
          <w:rFonts w:eastAsia="仿宋_GB2312"/>
          <w:color w:val="auto"/>
          <w:sz w:val="24"/>
          <w:szCs w:val="24"/>
          <w:highlight w:val="none"/>
        </w:rPr>
        <w:t>。</w:t>
      </w:r>
    </w:p>
    <w:p w14:paraId="1BF29542">
      <w:pPr>
        <w:spacing w:line="360" w:lineRule="auto"/>
        <w:ind w:firstLine="480" w:firstLineChars="200"/>
        <w:jc w:val="left"/>
        <w:rPr>
          <w:rFonts w:eastAsia="黑体"/>
          <w:color w:val="auto"/>
          <w:sz w:val="24"/>
          <w:szCs w:val="24"/>
          <w:highlight w:val="none"/>
        </w:rPr>
      </w:pPr>
      <w:r>
        <w:rPr>
          <w:rFonts w:eastAsia="黑体"/>
          <w:color w:val="auto"/>
          <w:sz w:val="24"/>
          <w:szCs w:val="24"/>
          <w:highlight w:val="none"/>
        </w:rPr>
        <w:t>18.7 通知义务</w:t>
      </w:r>
    </w:p>
    <w:p w14:paraId="3A7C4F6D">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关于变更保险合同时的通知义务的约定：</w:t>
      </w:r>
      <w:r>
        <w:rPr>
          <w:rFonts w:hint="eastAsia" w:eastAsia="仿宋_GB2312"/>
          <w:color w:val="auto"/>
          <w:sz w:val="24"/>
          <w:szCs w:val="24"/>
          <w:highlight w:val="none"/>
        </w:rPr>
        <w:t>承包人应熟知建筑工程一切险的索赔范围及时限等，保险事故发生时，应及时通知发包人。如因承包人不及时通知导致不能进行索赔的，承包人须承担相关责任，并赔偿由此产生的直接和间接经济损失。</w:t>
      </w:r>
    </w:p>
    <w:p w14:paraId="3012AF50">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增加18.8条款，具体如下：</w:t>
      </w:r>
    </w:p>
    <w:p w14:paraId="78BFFA93">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18</w:t>
      </w:r>
      <w:r>
        <w:rPr>
          <w:rFonts w:eastAsia="仿宋_GB2312"/>
          <w:color w:val="auto"/>
          <w:sz w:val="24"/>
          <w:szCs w:val="24"/>
          <w:highlight w:val="none"/>
        </w:rPr>
        <w:t>.</w:t>
      </w:r>
      <w:r>
        <w:rPr>
          <w:rFonts w:hint="eastAsia" w:eastAsia="仿宋_GB2312"/>
          <w:color w:val="auto"/>
          <w:sz w:val="24"/>
          <w:szCs w:val="24"/>
          <w:highlight w:val="none"/>
        </w:rPr>
        <w:t>8其它约定</w:t>
      </w:r>
    </w:p>
    <w:p w14:paraId="33AF3EA8">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18.</w:t>
      </w:r>
      <w:r>
        <w:rPr>
          <w:rFonts w:hint="eastAsia" w:eastAsia="仿宋_GB2312"/>
          <w:color w:val="auto"/>
          <w:sz w:val="24"/>
          <w:szCs w:val="24"/>
          <w:highlight w:val="none"/>
        </w:rPr>
        <w:t>8</w:t>
      </w:r>
      <w:r>
        <w:rPr>
          <w:rFonts w:eastAsia="仿宋_GB2312"/>
          <w:color w:val="auto"/>
          <w:sz w:val="24"/>
          <w:szCs w:val="24"/>
          <w:highlight w:val="none"/>
        </w:rPr>
        <w:t>.1</w:t>
      </w:r>
      <w:r>
        <w:rPr>
          <w:rFonts w:hint="eastAsia" w:eastAsia="仿宋_GB2312"/>
          <w:color w:val="auto"/>
          <w:sz w:val="24"/>
          <w:szCs w:val="24"/>
          <w:highlight w:val="none"/>
        </w:rPr>
        <w:t>合同双方应遵守本合同保险条款的规定。如果任何一方未遵守，责任一方应赔偿另一方由此引起的损失。</w:t>
      </w:r>
    </w:p>
    <w:p w14:paraId="3626A893">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18.</w:t>
      </w:r>
      <w:r>
        <w:rPr>
          <w:rFonts w:hint="eastAsia" w:eastAsia="仿宋_GB2312"/>
          <w:color w:val="auto"/>
          <w:sz w:val="24"/>
          <w:szCs w:val="24"/>
          <w:highlight w:val="none"/>
        </w:rPr>
        <w:t>8</w:t>
      </w:r>
      <w:r>
        <w:rPr>
          <w:rFonts w:eastAsia="仿宋_GB2312"/>
          <w:color w:val="auto"/>
          <w:sz w:val="24"/>
          <w:szCs w:val="24"/>
          <w:highlight w:val="none"/>
        </w:rPr>
        <w:t>.</w:t>
      </w:r>
      <w:r>
        <w:rPr>
          <w:rFonts w:hint="eastAsia" w:eastAsia="仿宋_GB2312"/>
          <w:color w:val="auto"/>
          <w:sz w:val="24"/>
          <w:szCs w:val="24"/>
          <w:highlight w:val="none"/>
        </w:rPr>
        <w:t>2当合同工程发生保险事故时，被保险人应及时通知保险公司，并提供有关资料。发包人承包人有责任采取合理有效措施防止或减少损失，并应相互协助做好向保险公司的报告和索赔工作。</w:t>
      </w:r>
    </w:p>
    <w:p w14:paraId="4E9C8ADC">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18.</w:t>
      </w:r>
      <w:r>
        <w:rPr>
          <w:rFonts w:hint="eastAsia" w:eastAsia="仿宋_GB2312"/>
          <w:color w:val="auto"/>
          <w:sz w:val="24"/>
          <w:szCs w:val="24"/>
          <w:highlight w:val="none"/>
        </w:rPr>
        <w:t>8</w:t>
      </w:r>
      <w:r>
        <w:rPr>
          <w:rFonts w:eastAsia="仿宋_GB2312"/>
          <w:color w:val="auto"/>
          <w:sz w:val="24"/>
          <w:szCs w:val="24"/>
          <w:highlight w:val="none"/>
        </w:rPr>
        <w:t>.</w:t>
      </w:r>
      <w:r>
        <w:rPr>
          <w:rFonts w:hint="eastAsia" w:eastAsia="仿宋_GB2312"/>
          <w:color w:val="auto"/>
          <w:sz w:val="24"/>
          <w:szCs w:val="24"/>
          <w:highlight w:val="none"/>
        </w:rPr>
        <w:t>3承包人从保险公司收到的因合同工程本身损失或损坏的保险赔偿金，应专项用于修复合同工程这些损失或损坏。</w:t>
      </w:r>
    </w:p>
    <w:p w14:paraId="58C6340B">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18.</w:t>
      </w:r>
      <w:r>
        <w:rPr>
          <w:rFonts w:hint="eastAsia" w:eastAsia="仿宋_GB2312"/>
          <w:color w:val="auto"/>
          <w:sz w:val="24"/>
          <w:szCs w:val="24"/>
          <w:highlight w:val="none"/>
        </w:rPr>
        <w:t>8</w:t>
      </w:r>
      <w:r>
        <w:rPr>
          <w:rFonts w:eastAsia="仿宋_GB2312"/>
          <w:color w:val="auto"/>
          <w:sz w:val="24"/>
          <w:szCs w:val="24"/>
          <w:highlight w:val="none"/>
        </w:rPr>
        <w:t>.</w:t>
      </w:r>
      <w:r>
        <w:rPr>
          <w:rFonts w:hint="eastAsia" w:eastAsia="仿宋_GB2312"/>
          <w:color w:val="auto"/>
          <w:sz w:val="24"/>
          <w:szCs w:val="24"/>
          <w:highlight w:val="none"/>
        </w:rPr>
        <w:t>4承包人投保的保险除另有约定外须以承包人及其所有有关的分包人的名义联合投保，并同时保障发包人作为本工程委托人的责任。</w:t>
      </w:r>
    </w:p>
    <w:p w14:paraId="4D221B21">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18.</w:t>
      </w:r>
      <w:r>
        <w:rPr>
          <w:rFonts w:hint="eastAsia" w:eastAsia="仿宋_GB2312"/>
          <w:color w:val="auto"/>
          <w:sz w:val="24"/>
          <w:szCs w:val="24"/>
          <w:highlight w:val="none"/>
        </w:rPr>
        <w:t>8</w:t>
      </w:r>
      <w:r>
        <w:rPr>
          <w:rFonts w:eastAsia="仿宋_GB2312"/>
          <w:color w:val="auto"/>
          <w:sz w:val="24"/>
          <w:szCs w:val="24"/>
          <w:highlight w:val="none"/>
        </w:rPr>
        <w:t>.</w:t>
      </w:r>
      <w:r>
        <w:rPr>
          <w:rFonts w:hint="eastAsia" w:eastAsia="仿宋_GB2312"/>
          <w:color w:val="auto"/>
          <w:sz w:val="24"/>
          <w:szCs w:val="24"/>
          <w:highlight w:val="none"/>
        </w:rPr>
        <w:t>5发包人对任何承包人全部员工的的意外或伤亡，不论该人是受雇于承包人或其分包人，皆不负任何法律上的诉讼及赔偿责任，承包人须保障发包人免负任何有关的索偿、要求、诉讼、成本、费用和支出。</w:t>
      </w:r>
    </w:p>
    <w:p w14:paraId="0B9583F3">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18.</w:t>
      </w:r>
      <w:r>
        <w:rPr>
          <w:rFonts w:hint="eastAsia" w:eastAsia="仿宋_GB2312"/>
          <w:color w:val="auto"/>
          <w:sz w:val="24"/>
          <w:szCs w:val="24"/>
          <w:highlight w:val="none"/>
        </w:rPr>
        <w:t>8</w:t>
      </w:r>
      <w:r>
        <w:rPr>
          <w:rFonts w:eastAsia="仿宋_GB2312"/>
          <w:color w:val="auto"/>
          <w:sz w:val="24"/>
          <w:szCs w:val="24"/>
          <w:highlight w:val="none"/>
        </w:rPr>
        <w:t>.</w:t>
      </w:r>
      <w:r>
        <w:rPr>
          <w:rFonts w:hint="eastAsia" w:eastAsia="仿宋_GB2312"/>
          <w:color w:val="auto"/>
          <w:sz w:val="24"/>
          <w:szCs w:val="24"/>
          <w:highlight w:val="none"/>
        </w:rPr>
        <w:t>6承包人将被视为对保险单内一切条款清楚明确，并须自行决定保险范围、赔额、类别等是否能满足承包人的要求。承包人认为保单内的保险范围、类别、免赔额及赔偿限额等未足保障自身的风险，可自费补充投保。若承包人另外增加保险，投保后的保险单和收据须在生效后立即交给发包人。</w:t>
      </w:r>
    </w:p>
    <w:p w14:paraId="166E7853">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18.</w:t>
      </w:r>
      <w:r>
        <w:rPr>
          <w:rFonts w:hint="eastAsia" w:eastAsia="仿宋_GB2312"/>
          <w:color w:val="auto"/>
          <w:sz w:val="24"/>
          <w:szCs w:val="24"/>
          <w:highlight w:val="none"/>
        </w:rPr>
        <w:t>8</w:t>
      </w:r>
      <w:r>
        <w:rPr>
          <w:rFonts w:eastAsia="仿宋_GB2312"/>
          <w:color w:val="auto"/>
          <w:sz w:val="24"/>
          <w:szCs w:val="24"/>
          <w:highlight w:val="none"/>
        </w:rPr>
        <w:t>.</w:t>
      </w:r>
      <w:r>
        <w:rPr>
          <w:rFonts w:hint="eastAsia" w:eastAsia="仿宋_GB2312"/>
          <w:color w:val="auto"/>
          <w:sz w:val="24"/>
          <w:szCs w:val="24"/>
          <w:highlight w:val="none"/>
        </w:rPr>
        <w:t>7承包人应尊重保险索偿的结果并放弃对发包人因处理保险事宜引起的一切赔偿及责任追讨。</w:t>
      </w:r>
    </w:p>
    <w:p w14:paraId="74E0E1A7">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18.</w:t>
      </w:r>
      <w:r>
        <w:rPr>
          <w:rFonts w:hint="eastAsia" w:eastAsia="仿宋_GB2312"/>
          <w:color w:val="auto"/>
          <w:sz w:val="24"/>
          <w:szCs w:val="24"/>
          <w:highlight w:val="none"/>
        </w:rPr>
        <w:t>8</w:t>
      </w:r>
      <w:r>
        <w:rPr>
          <w:rFonts w:eastAsia="仿宋_GB2312"/>
          <w:color w:val="auto"/>
          <w:sz w:val="24"/>
          <w:szCs w:val="24"/>
          <w:highlight w:val="none"/>
        </w:rPr>
        <w:t>.</w:t>
      </w:r>
      <w:r>
        <w:rPr>
          <w:rFonts w:hint="eastAsia" w:eastAsia="仿宋_GB2312"/>
          <w:color w:val="auto"/>
          <w:sz w:val="24"/>
          <w:szCs w:val="24"/>
          <w:highlight w:val="none"/>
        </w:rPr>
        <w:t>8在保险公司的赔偿未发放前，所有有关本工程的抢险费用先由承包人垫付。</w:t>
      </w:r>
    </w:p>
    <w:p w14:paraId="240BDD8E">
      <w:pPr>
        <w:pStyle w:val="6"/>
        <w:spacing w:before="120" w:after="120" w:line="360" w:lineRule="auto"/>
        <w:rPr>
          <w:rFonts w:ascii="Times New Roman" w:hAnsi="Times New Roman" w:eastAsia="黑体"/>
          <w:b w:val="0"/>
          <w:color w:val="auto"/>
          <w:sz w:val="24"/>
          <w:szCs w:val="24"/>
          <w:highlight w:val="none"/>
        </w:rPr>
      </w:pPr>
      <w:bookmarkStart w:id="1003" w:name="_Toc32835796"/>
      <w:bookmarkStart w:id="1004" w:name="_Toc12587"/>
      <w:r>
        <w:rPr>
          <w:rFonts w:ascii="Times New Roman" w:hAnsi="Times New Roman" w:eastAsia="黑体"/>
          <w:b w:val="0"/>
          <w:color w:val="auto"/>
          <w:sz w:val="24"/>
          <w:szCs w:val="24"/>
          <w:highlight w:val="none"/>
        </w:rPr>
        <w:t>19. 索赔</w:t>
      </w:r>
      <w:bookmarkEnd w:id="1003"/>
      <w:bookmarkEnd w:id="1004"/>
    </w:p>
    <w:p w14:paraId="2B166699">
      <w:pPr>
        <w:spacing w:line="360" w:lineRule="auto"/>
        <w:ind w:firstLine="480" w:firstLineChars="200"/>
        <w:rPr>
          <w:rFonts w:hint="eastAsia" w:eastAsia="仿宋_GB2312"/>
          <w:color w:val="auto"/>
          <w:sz w:val="24"/>
          <w:szCs w:val="24"/>
          <w:highlight w:val="none"/>
        </w:rPr>
      </w:pPr>
      <w:bookmarkStart w:id="1005" w:name="_Toc23865"/>
      <w:r>
        <w:rPr>
          <w:rFonts w:hint="eastAsia" w:eastAsia="仿宋_GB2312"/>
          <w:color w:val="auto"/>
          <w:sz w:val="24"/>
          <w:szCs w:val="24"/>
          <w:highlight w:val="none"/>
        </w:rPr>
        <w:t>通用条款</w:t>
      </w:r>
      <w:r>
        <w:rPr>
          <w:rFonts w:eastAsia="仿宋_GB2312"/>
          <w:color w:val="auto"/>
          <w:sz w:val="24"/>
          <w:szCs w:val="24"/>
          <w:highlight w:val="none"/>
        </w:rPr>
        <w:t>1</w:t>
      </w:r>
      <w:r>
        <w:rPr>
          <w:rFonts w:hint="eastAsia" w:eastAsia="仿宋_GB2312"/>
          <w:color w:val="auto"/>
          <w:sz w:val="24"/>
          <w:szCs w:val="24"/>
          <w:highlight w:val="none"/>
        </w:rPr>
        <w:t>9</w:t>
      </w:r>
      <w:r>
        <w:rPr>
          <w:rFonts w:eastAsia="仿宋_GB2312"/>
          <w:color w:val="auto"/>
          <w:sz w:val="24"/>
          <w:szCs w:val="24"/>
          <w:highlight w:val="none"/>
        </w:rPr>
        <w:t>.2</w:t>
      </w:r>
      <w:r>
        <w:rPr>
          <w:rFonts w:hint="eastAsia" w:eastAsia="仿宋_GB2312"/>
          <w:color w:val="auto"/>
          <w:sz w:val="24"/>
          <w:szCs w:val="24"/>
          <w:highlight w:val="none"/>
        </w:rPr>
        <w:t>条不适用，替换为：</w:t>
      </w:r>
      <w:bookmarkEnd w:id="1005"/>
    </w:p>
    <w:p w14:paraId="370CBE80">
      <w:pPr>
        <w:spacing w:line="360" w:lineRule="auto"/>
        <w:ind w:firstLine="480" w:firstLineChars="200"/>
        <w:rPr>
          <w:rFonts w:eastAsia="仿宋_GB2312"/>
          <w:color w:val="auto"/>
          <w:sz w:val="24"/>
          <w:szCs w:val="24"/>
          <w:highlight w:val="none"/>
        </w:rPr>
      </w:pPr>
      <w:bookmarkStart w:id="1006" w:name="_Toc20749"/>
      <w:r>
        <w:rPr>
          <w:rFonts w:eastAsia="仿宋_GB2312"/>
          <w:color w:val="auto"/>
          <w:sz w:val="24"/>
          <w:szCs w:val="24"/>
          <w:highlight w:val="none"/>
        </w:rPr>
        <w:t>19.2 对承包人索赔的处理</w:t>
      </w:r>
      <w:bookmarkEnd w:id="1006"/>
    </w:p>
    <w:p w14:paraId="424DCB5A">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对承包人索赔的处理如下：</w:t>
      </w:r>
    </w:p>
    <w:p w14:paraId="6FF884CC">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（1）监理人应在收到索赔报告后14天内完成审查并报送发包人。监理人对索赔报告存在异议的，有权要求承包人提交全部原始记录副本；</w:t>
      </w:r>
    </w:p>
    <w:p w14:paraId="6861420F">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（2）发包人应在监理人收到索赔报告或有关索赔的进一步证明材料后的28天内，由监理人向承包人出具经发包人签认的索赔处理结果。发包人逾期答复的，</w:t>
      </w:r>
      <w:r>
        <w:rPr>
          <w:rFonts w:hint="eastAsia" w:eastAsia="仿宋_GB2312"/>
          <w:color w:val="auto"/>
          <w:sz w:val="24"/>
          <w:szCs w:val="24"/>
          <w:highlight w:val="none"/>
        </w:rPr>
        <w:t>承包人须再次向发包人提出索赔，并催知发包人尽快处理索赔</w:t>
      </w:r>
      <w:r>
        <w:rPr>
          <w:rFonts w:eastAsia="仿宋_GB2312"/>
          <w:color w:val="auto"/>
          <w:sz w:val="24"/>
          <w:szCs w:val="24"/>
          <w:highlight w:val="none"/>
        </w:rPr>
        <w:t>；</w:t>
      </w:r>
    </w:p>
    <w:p w14:paraId="6F0EBA22">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（3）承包人接受索赔处理结果的，索赔款项</w:t>
      </w:r>
      <w:r>
        <w:rPr>
          <w:rFonts w:hint="eastAsia" w:eastAsia="仿宋_GB2312"/>
          <w:color w:val="auto"/>
          <w:sz w:val="24"/>
          <w:szCs w:val="24"/>
          <w:highlight w:val="none"/>
        </w:rPr>
        <w:t>同工程变更款项一并签订补充协议后</w:t>
      </w:r>
      <w:r>
        <w:rPr>
          <w:rFonts w:eastAsia="仿宋_GB2312"/>
          <w:color w:val="auto"/>
          <w:sz w:val="24"/>
          <w:szCs w:val="24"/>
          <w:highlight w:val="none"/>
        </w:rPr>
        <w:t>支付；承包人不接受索赔处理结果的，按照第20条</w:t>
      </w:r>
      <w:r>
        <w:rPr>
          <w:rFonts w:hint="eastAsia" w:eastAsia="仿宋_GB2312"/>
          <w:color w:val="auto"/>
          <w:sz w:val="24"/>
          <w:szCs w:val="24"/>
          <w:highlight w:val="none"/>
        </w:rPr>
        <w:t>〔</w:t>
      </w:r>
      <w:r>
        <w:rPr>
          <w:rFonts w:eastAsia="仿宋_GB2312"/>
          <w:color w:val="auto"/>
          <w:sz w:val="24"/>
          <w:szCs w:val="24"/>
          <w:highlight w:val="none"/>
        </w:rPr>
        <w:t>争议解决</w:t>
      </w:r>
      <w:r>
        <w:rPr>
          <w:rFonts w:hint="eastAsia" w:eastAsia="仿宋_GB2312"/>
          <w:color w:val="auto"/>
          <w:sz w:val="24"/>
          <w:szCs w:val="24"/>
          <w:highlight w:val="none"/>
        </w:rPr>
        <w:t>〕</w:t>
      </w:r>
      <w:r>
        <w:rPr>
          <w:rFonts w:eastAsia="仿宋_GB2312"/>
          <w:color w:val="auto"/>
          <w:sz w:val="24"/>
          <w:szCs w:val="24"/>
          <w:highlight w:val="none"/>
        </w:rPr>
        <w:t>约定处理。</w:t>
      </w:r>
    </w:p>
    <w:bookmarkEnd w:id="972"/>
    <w:bookmarkEnd w:id="973"/>
    <w:bookmarkEnd w:id="974"/>
    <w:bookmarkEnd w:id="975"/>
    <w:bookmarkEnd w:id="976"/>
    <w:bookmarkEnd w:id="977"/>
    <w:bookmarkEnd w:id="978"/>
    <w:bookmarkEnd w:id="979"/>
    <w:bookmarkEnd w:id="980"/>
    <w:bookmarkEnd w:id="981"/>
    <w:bookmarkEnd w:id="982"/>
    <w:bookmarkEnd w:id="983"/>
    <w:p w14:paraId="5524DCBE">
      <w:pPr>
        <w:pStyle w:val="6"/>
        <w:spacing w:before="120" w:after="120" w:line="360" w:lineRule="auto"/>
        <w:rPr>
          <w:rFonts w:ascii="Times New Roman" w:hAnsi="Times New Roman" w:eastAsia="黑体"/>
          <w:b w:val="0"/>
          <w:color w:val="auto"/>
          <w:sz w:val="24"/>
          <w:szCs w:val="24"/>
          <w:highlight w:val="none"/>
        </w:rPr>
      </w:pPr>
      <w:bookmarkStart w:id="1007" w:name="_Toc32835797"/>
      <w:r>
        <w:rPr>
          <w:rFonts w:ascii="Times New Roman" w:hAnsi="Times New Roman" w:eastAsia="黑体"/>
          <w:b w:val="0"/>
          <w:color w:val="auto"/>
          <w:sz w:val="24"/>
          <w:szCs w:val="24"/>
          <w:highlight w:val="none"/>
        </w:rPr>
        <w:t>20. 争议解决</w:t>
      </w:r>
      <w:bookmarkEnd w:id="1007"/>
    </w:p>
    <w:bookmarkEnd w:id="984"/>
    <w:bookmarkEnd w:id="985"/>
    <w:bookmarkEnd w:id="986"/>
    <w:p w14:paraId="483C7F21">
      <w:pPr>
        <w:spacing w:line="360" w:lineRule="auto"/>
        <w:ind w:firstLine="468" w:firstLineChars="195"/>
        <w:jc w:val="left"/>
        <w:rPr>
          <w:rFonts w:hint="eastAsia" w:eastAsia="仿宋_GB2312"/>
          <w:color w:val="auto"/>
          <w:sz w:val="24"/>
          <w:szCs w:val="24"/>
          <w:highlight w:val="none"/>
        </w:rPr>
      </w:pPr>
      <w:bookmarkStart w:id="1008" w:name="_Toc32835801"/>
      <w:r>
        <w:rPr>
          <w:rFonts w:hint="eastAsia" w:eastAsia="仿宋_GB2312"/>
          <w:color w:val="auto"/>
          <w:sz w:val="24"/>
          <w:szCs w:val="24"/>
          <w:highlight w:val="none"/>
        </w:rPr>
        <w:t>通用条款20.3不适用，替换为：</w:t>
      </w:r>
    </w:p>
    <w:p w14:paraId="28EA0695">
      <w:pPr>
        <w:spacing w:after="120" w:line="360" w:lineRule="auto"/>
        <w:ind w:firstLine="480" w:firstLineChars="200"/>
        <w:outlineLvl w:val="0"/>
        <w:rPr>
          <w:rFonts w:eastAsia="黑体"/>
          <w:color w:val="auto"/>
          <w:sz w:val="24"/>
          <w:szCs w:val="24"/>
          <w:highlight w:val="none"/>
        </w:rPr>
      </w:pPr>
      <w:r>
        <w:rPr>
          <w:rFonts w:hint="eastAsia" w:eastAsia="黑体"/>
          <w:color w:val="auto"/>
          <w:sz w:val="24"/>
          <w:szCs w:val="24"/>
          <w:highlight w:val="none"/>
        </w:rPr>
        <w:t>20.3</w:t>
      </w:r>
      <w:r>
        <w:rPr>
          <w:rFonts w:eastAsia="黑体"/>
          <w:color w:val="auto"/>
          <w:sz w:val="24"/>
          <w:szCs w:val="24"/>
          <w:highlight w:val="none"/>
        </w:rPr>
        <w:t xml:space="preserve"> </w:t>
      </w:r>
      <w:r>
        <w:rPr>
          <w:rFonts w:hint="eastAsia" w:eastAsia="黑体"/>
          <w:color w:val="auto"/>
          <w:sz w:val="24"/>
          <w:szCs w:val="24"/>
          <w:highlight w:val="none"/>
        </w:rPr>
        <w:t>争议评审</w:t>
      </w:r>
    </w:p>
    <w:p w14:paraId="28D75BD6">
      <w:pPr>
        <w:spacing w:after="120" w:line="360" w:lineRule="auto"/>
        <w:ind w:firstLine="480" w:firstLineChars="200"/>
        <w:outlineLvl w:val="0"/>
        <w:rPr>
          <w:rFonts w:eastAsia="黑体"/>
          <w:color w:val="auto"/>
          <w:sz w:val="24"/>
          <w:szCs w:val="24"/>
          <w:highlight w:val="none"/>
        </w:rPr>
      </w:pPr>
      <w:r>
        <w:rPr>
          <w:rFonts w:hint="eastAsia" w:eastAsia="黑体"/>
          <w:color w:val="auto"/>
          <w:sz w:val="24"/>
          <w:szCs w:val="24"/>
          <w:highlight w:val="none"/>
        </w:rPr>
        <w:t>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76BCEF18">
      <w:pPr>
        <w:spacing w:after="120" w:line="360" w:lineRule="auto"/>
        <w:ind w:firstLine="480" w:firstLineChars="200"/>
        <w:outlineLvl w:val="0"/>
        <w:rPr>
          <w:rFonts w:hint="eastAsia" w:eastAsia="黑体"/>
          <w:color w:val="auto"/>
          <w:sz w:val="24"/>
          <w:szCs w:val="24"/>
          <w:highlight w:val="none"/>
        </w:rPr>
      </w:pPr>
      <w:r>
        <w:rPr>
          <w:rFonts w:hint="eastAsia" w:eastAsia="黑体"/>
          <w:color w:val="auto"/>
          <w:sz w:val="24"/>
          <w:szCs w:val="24"/>
          <w:highlight w:val="none"/>
        </w:rPr>
        <w:t>(1) 建设工程安全监督机构，负责有关工程安全方面争议的调解或认定；</w:t>
      </w:r>
    </w:p>
    <w:p w14:paraId="3D49ECE0">
      <w:pPr>
        <w:spacing w:after="120" w:line="360" w:lineRule="auto"/>
        <w:ind w:firstLine="480" w:firstLineChars="200"/>
        <w:outlineLvl w:val="0"/>
        <w:rPr>
          <w:rFonts w:hint="eastAsia" w:eastAsia="黑体"/>
          <w:color w:val="auto"/>
          <w:sz w:val="24"/>
          <w:szCs w:val="24"/>
          <w:highlight w:val="none"/>
        </w:rPr>
      </w:pPr>
      <w:r>
        <w:rPr>
          <w:rFonts w:hint="eastAsia" w:eastAsia="黑体"/>
          <w:color w:val="auto"/>
          <w:sz w:val="24"/>
          <w:szCs w:val="24"/>
          <w:highlight w:val="none"/>
        </w:rPr>
        <w:t>(2) 建设工程质量监督机构，负责有关工程质量方面争议的调解或认定；</w:t>
      </w:r>
    </w:p>
    <w:p w14:paraId="55B08041">
      <w:pPr>
        <w:spacing w:after="120" w:line="360" w:lineRule="auto"/>
        <w:ind w:firstLine="480" w:firstLineChars="200"/>
        <w:outlineLvl w:val="0"/>
        <w:rPr>
          <w:rFonts w:hint="eastAsia" w:eastAsia="黑体"/>
          <w:color w:val="auto"/>
          <w:sz w:val="24"/>
          <w:szCs w:val="24"/>
          <w:highlight w:val="none"/>
        </w:rPr>
      </w:pPr>
      <w:r>
        <w:rPr>
          <w:rFonts w:hint="eastAsia" w:eastAsia="黑体"/>
          <w:color w:val="auto"/>
          <w:sz w:val="24"/>
          <w:szCs w:val="24"/>
          <w:highlight w:val="none"/>
        </w:rPr>
        <w:t>(3) 建设工程造价管理机构，负责有关工程造价方面争议的调解或认定。</w:t>
      </w:r>
    </w:p>
    <w:p w14:paraId="11B5E4C7">
      <w:pPr>
        <w:spacing w:after="120" w:line="360" w:lineRule="auto"/>
        <w:ind w:firstLine="480" w:firstLineChars="200"/>
        <w:outlineLvl w:val="0"/>
        <w:rPr>
          <w:rFonts w:hint="eastAsia" w:eastAsia="黑体"/>
          <w:color w:val="auto"/>
          <w:sz w:val="24"/>
          <w:szCs w:val="24"/>
          <w:highlight w:val="none"/>
        </w:rPr>
      </w:pPr>
    </w:p>
    <w:p w14:paraId="7A1ECA19">
      <w:pPr>
        <w:spacing w:after="120" w:line="360" w:lineRule="auto"/>
        <w:ind w:firstLine="480" w:firstLineChars="200"/>
        <w:outlineLvl w:val="0"/>
        <w:rPr>
          <w:rFonts w:hint="eastAsia" w:eastAsia="黑体"/>
          <w:color w:val="auto"/>
          <w:sz w:val="24"/>
          <w:szCs w:val="24"/>
          <w:highlight w:val="none"/>
        </w:rPr>
      </w:pPr>
      <w:r>
        <w:rPr>
          <w:rFonts w:eastAsia="黑体"/>
          <w:color w:val="auto"/>
          <w:sz w:val="24"/>
          <w:szCs w:val="24"/>
          <w:highlight w:val="none"/>
        </w:rPr>
        <w:t>20.4仲裁或诉讼</w:t>
      </w:r>
      <w:bookmarkEnd w:id="987"/>
      <w:bookmarkEnd w:id="1008"/>
    </w:p>
    <w:p w14:paraId="4E637BDC">
      <w:pPr>
        <w:spacing w:after="120" w:line="360" w:lineRule="auto"/>
        <w:ind w:firstLine="480" w:firstLineChars="200"/>
        <w:rPr>
          <w:rFonts w:eastAsia="黑体"/>
          <w:color w:val="auto"/>
          <w:sz w:val="24"/>
          <w:szCs w:val="24"/>
          <w:highlight w:val="none"/>
        </w:rPr>
      </w:pPr>
      <w:r>
        <w:rPr>
          <w:rFonts w:eastAsia="仿宋_GB2312"/>
          <w:color w:val="auto"/>
          <w:sz w:val="24"/>
          <w:szCs w:val="24"/>
          <w:highlight w:val="none"/>
        </w:rPr>
        <w:t xml:space="preserve">因合同及合同有关事项发生的争议，按下列第  </w:t>
      </w:r>
      <w:r>
        <w:rPr>
          <w:rFonts w:hint="eastAsia" w:eastAsia="仿宋_GB2312"/>
          <w:color w:val="auto"/>
          <w:sz w:val="24"/>
          <w:szCs w:val="24"/>
          <w:highlight w:val="none"/>
        </w:rPr>
        <w:t>2</w:t>
      </w:r>
      <w:r>
        <w:rPr>
          <w:rFonts w:eastAsia="仿宋_GB2312"/>
          <w:color w:val="auto"/>
          <w:sz w:val="24"/>
          <w:szCs w:val="24"/>
          <w:highlight w:val="none"/>
        </w:rPr>
        <w:t xml:space="preserve">  种方式</w:t>
      </w:r>
      <w:r>
        <w:rPr>
          <w:rFonts w:hint="eastAsia" w:eastAsia="仿宋_GB2312"/>
          <w:color w:val="auto"/>
          <w:sz w:val="24"/>
          <w:szCs w:val="24"/>
          <w:highlight w:val="none"/>
        </w:rPr>
        <w:t>解</w:t>
      </w:r>
      <w:r>
        <w:rPr>
          <w:rFonts w:eastAsia="仿宋_GB2312"/>
          <w:color w:val="auto"/>
          <w:sz w:val="24"/>
          <w:szCs w:val="24"/>
          <w:highlight w:val="none"/>
        </w:rPr>
        <w:t>决：</w:t>
      </w:r>
    </w:p>
    <w:p w14:paraId="79089A34">
      <w:pPr>
        <w:spacing w:line="360" w:lineRule="auto"/>
        <w:ind w:firstLine="480" w:firstLineChars="200"/>
        <w:jc w:val="left"/>
        <w:rPr>
          <w:rFonts w:eastAsia="仿宋_GB2312"/>
          <w:color w:val="auto"/>
          <w:sz w:val="24"/>
          <w:szCs w:val="24"/>
          <w:highlight w:val="none"/>
        </w:rPr>
      </w:pPr>
      <w:r>
        <w:rPr>
          <w:rFonts w:eastAsia="仿宋_GB2312"/>
          <w:color w:val="auto"/>
          <w:sz w:val="24"/>
          <w:szCs w:val="24"/>
          <w:highlight w:val="none"/>
        </w:rPr>
        <w:t xml:space="preserve">（1）向           </w:t>
      </w:r>
      <w:r>
        <w:rPr>
          <w:rFonts w:hint="eastAsia" w:eastAsia="仿宋_GB2312"/>
          <w:color w:val="auto"/>
          <w:sz w:val="24"/>
          <w:szCs w:val="24"/>
          <w:highlight w:val="none"/>
        </w:rPr>
        <w:t>/</w:t>
      </w:r>
      <w:r>
        <w:rPr>
          <w:rFonts w:eastAsia="仿宋_GB2312"/>
          <w:color w:val="auto"/>
          <w:sz w:val="24"/>
          <w:szCs w:val="24"/>
          <w:highlight w:val="none"/>
        </w:rPr>
        <w:t xml:space="preserve">          仲裁委员会申请仲裁；</w:t>
      </w:r>
    </w:p>
    <w:p w14:paraId="6A344773">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（2）向</w:t>
      </w:r>
      <w:r>
        <w:rPr>
          <w:rFonts w:hint="eastAsia" w:eastAsia="仿宋_GB2312"/>
          <w:color w:val="auto"/>
          <w:sz w:val="24"/>
          <w:szCs w:val="24"/>
          <w:highlight w:val="none"/>
        </w:rPr>
        <w:t>本工程项目所在地</w:t>
      </w:r>
      <w:r>
        <w:rPr>
          <w:rFonts w:eastAsia="仿宋_GB2312"/>
          <w:color w:val="auto"/>
          <w:sz w:val="24"/>
          <w:szCs w:val="24"/>
          <w:highlight w:val="none"/>
        </w:rPr>
        <w:t>人民法院起诉。</w:t>
      </w:r>
      <w:bookmarkEnd w:id="988"/>
      <w:bookmarkEnd w:id="989"/>
      <w:bookmarkEnd w:id="990"/>
      <w:bookmarkEnd w:id="991"/>
      <w:bookmarkEnd w:id="992"/>
      <w:bookmarkEnd w:id="993"/>
    </w:p>
    <w:p w14:paraId="2C63605B">
      <w:pPr>
        <w:spacing w:line="360" w:lineRule="auto"/>
        <w:ind w:firstLine="480" w:firstLineChars="200"/>
        <w:jc w:val="left"/>
        <w:rPr>
          <w:rFonts w:hint="eastAsia" w:eastAsia="仿宋_GB2312"/>
          <w:color w:val="auto"/>
          <w:sz w:val="24"/>
          <w:szCs w:val="24"/>
          <w:highlight w:val="none"/>
        </w:rPr>
      </w:pPr>
      <w:bookmarkStart w:id="1009" w:name="_Toc513800950"/>
      <w:bookmarkStart w:id="1010" w:name="_Toc31351"/>
      <w:bookmarkStart w:id="1011" w:name="_Toc513820792"/>
      <w:r>
        <w:rPr>
          <w:rFonts w:hint="eastAsia" w:eastAsia="仿宋_GB2312"/>
          <w:color w:val="auto"/>
          <w:sz w:val="24"/>
          <w:szCs w:val="24"/>
          <w:highlight w:val="none"/>
        </w:rPr>
        <w:t>增加其他约定，具体如下：</w:t>
      </w:r>
    </w:p>
    <w:p w14:paraId="047D7802">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21.造价工程师</w:t>
      </w:r>
    </w:p>
    <w:p w14:paraId="6E08F52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21.1负责合同工程的造价咨询单位及任命的造价工程师。若未聘请造价咨询单位则由发包人承担相应的权力和义务。</w:t>
      </w:r>
    </w:p>
    <w:p w14:paraId="4A08E574">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 xml:space="preserve">(1)造价咨询单位：                          </w:t>
      </w:r>
    </w:p>
    <w:p w14:paraId="59471DF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(2)任命的造价工程师：由发包人另外发文通知</w:t>
      </w:r>
    </w:p>
    <w:p w14:paraId="42A1A9B3">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21.2造价工程师职权</w:t>
      </w:r>
    </w:p>
    <w:p w14:paraId="162EEFEF">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造价工程师行使合同明文规定或必然隐含的职权，代表发包人负责审核工程计量和计价；审核合同价款的调整；审核结算价款；签发支付证书；负责费用索赔的协调；及时向承包人提供合同价款的核实、调整和通知等指令。造价工程师无权免除合同任何一方在合同履行期间应负的任何责任和义务。</w:t>
      </w:r>
    </w:p>
    <w:p w14:paraId="2A101490">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21.3涉及工程量增减、议价、索赔等一切有关费用均须得到发包人批准。</w:t>
      </w:r>
    </w:p>
    <w:bookmarkEnd w:id="1009"/>
    <w:bookmarkEnd w:id="1010"/>
    <w:bookmarkEnd w:id="1011"/>
    <w:p w14:paraId="0C39FF02">
      <w:pPr>
        <w:numPr>
          <w:ilvl w:val="0"/>
          <w:numId w:val="9"/>
        </w:num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承包人承诺：严格按照合同和招投标文件规定履行义务，并同意严格执行国家强制性规范、标准和履行合同、招投标文件义务（包括但不限于违约处理决定等）。</w:t>
      </w:r>
    </w:p>
    <w:p w14:paraId="78C65891">
      <w:pPr>
        <w:spacing w:line="360" w:lineRule="auto"/>
        <w:ind w:firstLine="480" w:firstLineChars="200"/>
        <w:jc w:val="left"/>
        <w:rPr>
          <w:rFonts w:eastAsia="仿宋_GB2312"/>
          <w:color w:val="auto"/>
          <w:sz w:val="24"/>
          <w:szCs w:val="24"/>
          <w:highlight w:val="none"/>
        </w:rPr>
      </w:pPr>
      <w:r>
        <w:rPr>
          <w:rFonts w:hint="eastAsia" w:eastAsia="仿宋_GB2312"/>
          <w:color w:val="auto"/>
          <w:sz w:val="24"/>
          <w:szCs w:val="24"/>
          <w:highlight w:val="none"/>
        </w:rPr>
        <w:t>23.当发生下列情况之一时，双方应在事件发生后三个月内协商签订补充合同（协议），双方另有约定的除外：</w:t>
      </w:r>
    </w:p>
    <w:p w14:paraId="16E2FDF6">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（1）发包人根据合同协议书的约定调整承包范围、或发生设计变更、工程签证等情况导致本合同承包范围内的总金额超过本合同价款的10%；</w:t>
      </w:r>
    </w:p>
    <w:p w14:paraId="6BCCD79A">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（2）原合同条款欠完善或存在歧义，致使合同无法履行的；</w:t>
      </w:r>
    </w:p>
    <w:p w14:paraId="33CBB731">
      <w:pPr>
        <w:spacing w:line="360" w:lineRule="auto"/>
        <w:ind w:firstLine="480" w:firstLineChars="200"/>
        <w:jc w:val="left"/>
        <w:rPr>
          <w:rFonts w:hint="eastAsia" w:eastAsia="仿宋_GB2312"/>
          <w:color w:val="auto"/>
          <w:sz w:val="24"/>
          <w:szCs w:val="24"/>
          <w:highlight w:val="none"/>
        </w:rPr>
      </w:pPr>
      <w:r>
        <w:rPr>
          <w:rFonts w:hint="eastAsia" w:eastAsia="仿宋_GB2312"/>
          <w:color w:val="auto"/>
          <w:sz w:val="24"/>
          <w:szCs w:val="24"/>
          <w:highlight w:val="none"/>
        </w:rPr>
        <w:t>（3）发包人、承包人双方认为需要签订补充合同（协议）的其他情形。</w:t>
      </w:r>
    </w:p>
    <w:p w14:paraId="25BD76FC">
      <w:pPr>
        <w:spacing w:line="360" w:lineRule="auto"/>
        <w:ind w:firstLine="480" w:firstLineChars="200"/>
        <w:jc w:val="left"/>
        <w:rPr>
          <w:rFonts w:hint="eastAsia" w:eastAsia="仿宋_GB2312"/>
          <w:color w:val="auto"/>
          <w:sz w:val="24"/>
          <w:szCs w:val="24"/>
          <w:highlight w:val="none"/>
        </w:rPr>
      </w:pPr>
      <w:r>
        <w:rPr>
          <w:rFonts w:eastAsia="仿宋_GB2312"/>
          <w:color w:val="auto"/>
          <w:sz w:val="24"/>
          <w:szCs w:val="24"/>
          <w:highlight w:val="none"/>
        </w:rPr>
        <w:t>2</w:t>
      </w:r>
      <w:r>
        <w:rPr>
          <w:rFonts w:hint="eastAsia" w:eastAsia="仿宋_GB2312"/>
          <w:color w:val="auto"/>
          <w:sz w:val="24"/>
          <w:szCs w:val="24"/>
          <w:highlight w:val="none"/>
        </w:rPr>
        <w:t>4.承包人必须接受政府有关部门对本工程的监督，并无条件配合政府指定的审计机构或发包人上级管理单位的审计。</w:t>
      </w:r>
    </w:p>
    <w:p w14:paraId="3A9501EF">
      <w:pPr>
        <w:spacing w:line="360" w:lineRule="auto"/>
        <w:ind w:firstLine="480" w:firstLineChars="200"/>
        <w:jc w:val="left"/>
        <w:rPr>
          <w:rFonts w:eastAsia="仿宋_GB2312"/>
          <w:color w:val="auto"/>
          <w:sz w:val="24"/>
          <w:szCs w:val="24"/>
          <w:highlight w:val="none"/>
        </w:rPr>
      </w:pPr>
    </w:p>
    <w:p w14:paraId="66EDAB67">
      <w:pPr>
        <w:pStyle w:val="6"/>
        <w:spacing w:before="120" w:after="120" w:line="360" w:lineRule="auto"/>
        <w:rPr>
          <w:rFonts w:eastAsia="黑体"/>
          <w:b w:val="0"/>
          <w:color w:val="auto"/>
          <w:sz w:val="24"/>
          <w:szCs w:val="24"/>
          <w:highlight w:val="none"/>
        </w:rPr>
      </w:pPr>
      <w:r>
        <w:rPr>
          <w:rFonts w:eastAsia="仿宋_GB2312"/>
          <w:color w:val="auto"/>
          <w:sz w:val="24"/>
          <w:szCs w:val="24"/>
          <w:highlight w:val="none"/>
        </w:rPr>
        <w:br w:type="page"/>
      </w:r>
      <w:r>
        <w:rPr>
          <w:rFonts w:ascii="Times New Roman" w:hAnsi="Times New Roman" w:eastAsia="黑体"/>
          <w:b w:val="0"/>
          <w:color w:val="auto"/>
          <w:sz w:val="24"/>
          <w:szCs w:val="24"/>
          <w:highlight w:val="none"/>
        </w:rPr>
        <w:t>附件</w:t>
      </w:r>
    </w:p>
    <w:p w14:paraId="25036B78">
      <w:pPr>
        <w:spacing w:line="360" w:lineRule="auto"/>
        <w:jc w:val="left"/>
        <w:rPr>
          <w:rFonts w:hint="eastAsia" w:eastAsia="仿宋_GB2312"/>
          <w:color w:val="auto"/>
          <w:sz w:val="24"/>
          <w:szCs w:val="24"/>
          <w:highlight w:val="none"/>
        </w:rPr>
      </w:pPr>
      <w:r>
        <w:rPr>
          <w:rFonts w:hint="eastAsia" w:eastAsia="仿宋_GB2312"/>
          <w:color w:val="auto"/>
          <w:sz w:val="24"/>
          <w:szCs w:val="24"/>
          <w:highlight w:val="none"/>
        </w:rPr>
        <w:t>协议书附件：</w:t>
      </w:r>
    </w:p>
    <w:p w14:paraId="6082CC2A">
      <w:pPr>
        <w:spacing w:line="360" w:lineRule="auto"/>
        <w:jc w:val="left"/>
        <w:rPr>
          <w:rFonts w:eastAsia="仿宋_GB2312"/>
          <w:color w:val="auto"/>
          <w:sz w:val="24"/>
          <w:szCs w:val="24"/>
          <w:highlight w:val="none"/>
        </w:rPr>
      </w:pPr>
      <w:r>
        <w:rPr>
          <w:rFonts w:eastAsia="仿宋_GB2312"/>
          <w:color w:val="auto"/>
          <w:sz w:val="24"/>
          <w:szCs w:val="24"/>
          <w:highlight w:val="none"/>
        </w:rPr>
        <w:t>附件1：工程质量保修书</w:t>
      </w:r>
    </w:p>
    <w:p w14:paraId="3FF4FCF6">
      <w:pPr>
        <w:spacing w:line="360" w:lineRule="auto"/>
        <w:jc w:val="left"/>
        <w:rPr>
          <w:rFonts w:eastAsia="仿宋_GB2312"/>
          <w:color w:val="auto"/>
          <w:sz w:val="24"/>
          <w:szCs w:val="24"/>
          <w:highlight w:val="none"/>
        </w:rPr>
      </w:pPr>
      <w:r>
        <w:rPr>
          <w:rFonts w:eastAsia="仿宋_GB2312"/>
          <w:color w:val="auto"/>
          <w:sz w:val="24"/>
          <w:szCs w:val="24"/>
          <w:highlight w:val="none"/>
        </w:rPr>
        <w:t>附件</w:t>
      </w:r>
      <w:r>
        <w:rPr>
          <w:rFonts w:hint="eastAsia" w:eastAsia="仿宋_GB2312"/>
          <w:color w:val="auto"/>
          <w:sz w:val="24"/>
          <w:szCs w:val="24"/>
          <w:highlight w:val="none"/>
        </w:rPr>
        <w:t>2</w:t>
      </w:r>
      <w:r>
        <w:rPr>
          <w:rFonts w:eastAsia="仿宋_GB2312"/>
          <w:color w:val="auto"/>
          <w:sz w:val="24"/>
          <w:szCs w:val="24"/>
          <w:highlight w:val="none"/>
        </w:rPr>
        <w:t>：承包人主要施工管理人员表</w:t>
      </w:r>
    </w:p>
    <w:p w14:paraId="758FD576">
      <w:pPr>
        <w:spacing w:line="360" w:lineRule="auto"/>
        <w:jc w:val="left"/>
        <w:rPr>
          <w:rFonts w:eastAsia="仿宋_GB2312"/>
          <w:color w:val="auto"/>
          <w:sz w:val="24"/>
          <w:szCs w:val="24"/>
          <w:highlight w:val="none"/>
        </w:rPr>
      </w:pPr>
      <w:r>
        <w:rPr>
          <w:rFonts w:eastAsia="仿宋_GB2312"/>
          <w:color w:val="auto"/>
          <w:sz w:val="24"/>
          <w:szCs w:val="24"/>
          <w:highlight w:val="none"/>
        </w:rPr>
        <w:t>附件</w:t>
      </w:r>
      <w:r>
        <w:rPr>
          <w:rFonts w:hint="eastAsia" w:eastAsia="仿宋_GB2312"/>
          <w:color w:val="auto"/>
          <w:sz w:val="24"/>
          <w:szCs w:val="24"/>
          <w:highlight w:val="none"/>
        </w:rPr>
        <w:t>3</w:t>
      </w:r>
      <w:r>
        <w:rPr>
          <w:rFonts w:eastAsia="仿宋_GB2312"/>
          <w:color w:val="auto"/>
          <w:sz w:val="24"/>
          <w:szCs w:val="24"/>
          <w:highlight w:val="none"/>
        </w:rPr>
        <w:t>：履约担保格式</w:t>
      </w:r>
    </w:p>
    <w:p w14:paraId="2226DF4D">
      <w:pPr>
        <w:spacing w:line="360" w:lineRule="auto"/>
        <w:jc w:val="left"/>
        <w:rPr>
          <w:rFonts w:hint="eastAsia" w:eastAsia="仿宋_GB2312"/>
          <w:color w:val="auto"/>
          <w:sz w:val="24"/>
          <w:szCs w:val="24"/>
          <w:highlight w:val="none"/>
        </w:rPr>
      </w:pPr>
      <w:r>
        <w:rPr>
          <w:rFonts w:eastAsia="仿宋_GB2312"/>
          <w:color w:val="auto"/>
          <w:sz w:val="24"/>
          <w:szCs w:val="24"/>
          <w:highlight w:val="none"/>
        </w:rPr>
        <w:t>附件</w:t>
      </w:r>
      <w:r>
        <w:rPr>
          <w:rFonts w:hint="eastAsia" w:eastAsia="仿宋_GB2312"/>
          <w:color w:val="auto"/>
          <w:sz w:val="24"/>
          <w:szCs w:val="24"/>
          <w:highlight w:val="none"/>
        </w:rPr>
        <w:t>4</w:t>
      </w:r>
      <w:r>
        <w:rPr>
          <w:rFonts w:eastAsia="仿宋_GB2312"/>
          <w:color w:val="auto"/>
          <w:sz w:val="24"/>
          <w:szCs w:val="24"/>
          <w:highlight w:val="none"/>
        </w:rPr>
        <w:t>：暂估价一览表</w:t>
      </w:r>
    </w:p>
    <w:p w14:paraId="45983D37">
      <w:pPr>
        <w:spacing w:line="360" w:lineRule="auto"/>
        <w:jc w:val="left"/>
        <w:rPr>
          <w:rFonts w:hint="eastAsia" w:eastAsia="仿宋_GB2312"/>
          <w:color w:val="auto"/>
          <w:sz w:val="24"/>
          <w:szCs w:val="24"/>
          <w:highlight w:val="none"/>
        </w:rPr>
      </w:pPr>
      <w:r>
        <w:rPr>
          <w:rFonts w:hint="eastAsia" w:eastAsia="仿宋_GB2312"/>
          <w:color w:val="auto"/>
          <w:sz w:val="24"/>
          <w:szCs w:val="24"/>
          <w:highlight w:val="none"/>
        </w:rPr>
        <w:t>附件5：工程主要设备材料推荐品牌表</w:t>
      </w:r>
    </w:p>
    <w:p w14:paraId="04930449">
      <w:pPr>
        <w:spacing w:line="360" w:lineRule="auto"/>
        <w:jc w:val="left"/>
        <w:rPr>
          <w:rFonts w:hint="eastAsia" w:eastAsia="仿宋_GB2312"/>
          <w:color w:val="auto"/>
          <w:sz w:val="24"/>
          <w:szCs w:val="24"/>
          <w:highlight w:val="none"/>
        </w:rPr>
      </w:pPr>
      <w:r>
        <w:rPr>
          <w:rFonts w:hint="eastAsia" w:eastAsia="仿宋_GB2312"/>
          <w:color w:val="auto"/>
          <w:sz w:val="24"/>
          <w:szCs w:val="24"/>
          <w:highlight w:val="none"/>
        </w:rPr>
        <w:t>附件6：施工现场管理规定</w:t>
      </w:r>
    </w:p>
    <w:p w14:paraId="79B670B2">
      <w:pPr>
        <w:spacing w:line="360" w:lineRule="auto"/>
        <w:jc w:val="left"/>
        <w:rPr>
          <w:rFonts w:hint="eastAsia" w:eastAsia="仿宋_GB2312"/>
          <w:color w:val="auto"/>
          <w:sz w:val="24"/>
          <w:szCs w:val="24"/>
          <w:highlight w:val="none"/>
        </w:rPr>
      </w:pPr>
      <w:r>
        <w:rPr>
          <w:rFonts w:hint="eastAsia" w:eastAsia="仿宋_GB2312"/>
          <w:color w:val="auto"/>
          <w:sz w:val="24"/>
          <w:szCs w:val="24"/>
          <w:highlight w:val="none"/>
        </w:rPr>
        <w:t>附件7：廉洁从业及反商业贿赂协议</w:t>
      </w:r>
    </w:p>
    <w:p w14:paraId="4C9E67C7">
      <w:pPr>
        <w:spacing w:line="360" w:lineRule="auto"/>
        <w:jc w:val="left"/>
        <w:rPr>
          <w:rFonts w:eastAsia="仿宋_GB2312"/>
          <w:color w:val="auto"/>
          <w:sz w:val="24"/>
          <w:szCs w:val="24"/>
          <w:highlight w:val="none"/>
        </w:rPr>
      </w:pPr>
      <w:r>
        <w:rPr>
          <w:rFonts w:hint="eastAsia" w:eastAsia="仿宋_GB2312"/>
          <w:color w:val="auto"/>
          <w:sz w:val="24"/>
          <w:szCs w:val="24"/>
          <w:highlight w:val="none"/>
        </w:rPr>
        <w:t>附件8：安全生产合同</w:t>
      </w:r>
    </w:p>
    <w:p w14:paraId="36AF27C5">
      <w:pPr>
        <w:spacing w:line="360" w:lineRule="auto"/>
        <w:jc w:val="left"/>
        <w:rPr>
          <w:rFonts w:hint="eastAsia" w:eastAsia="仿宋_GB2312"/>
          <w:color w:val="auto"/>
          <w:sz w:val="24"/>
          <w:szCs w:val="24"/>
          <w:highlight w:val="none"/>
        </w:rPr>
      </w:pPr>
    </w:p>
    <w:p w14:paraId="642D99DE">
      <w:pPr>
        <w:spacing w:line="360" w:lineRule="auto"/>
        <w:jc w:val="left"/>
        <w:rPr>
          <w:rFonts w:eastAsia="仿宋_GB2312"/>
          <w:color w:val="auto"/>
          <w:sz w:val="24"/>
          <w:szCs w:val="24"/>
          <w:highlight w:val="none"/>
        </w:rPr>
        <w:sectPr>
          <w:footerReference r:id="rId7" w:type="first"/>
          <w:headerReference r:id="rId5" w:type="default"/>
          <w:footerReference r:id="rId6" w:type="default"/>
          <w:pgSz w:w="11906" w:h="16838"/>
          <w:pgMar w:top="1418" w:right="1555" w:bottom="1418" w:left="1531" w:header="851" w:footer="992" w:gutter="0"/>
          <w:pgNumType w:start="1"/>
          <w:cols w:space="720" w:num="1"/>
          <w:titlePg/>
          <w:docGrid w:type="lines" w:linePitch="312" w:charSpace="0"/>
        </w:sectPr>
      </w:pPr>
    </w:p>
    <w:p w14:paraId="7C001895">
      <w:pPr>
        <w:spacing w:before="120" w:beforeLines="50" w:after="120" w:afterLines="50" w:line="440" w:lineRule="exact"/>
        <w:jc w:val="left"/>
        <w:rPr>
          <w:rFonts w:eastAsia="黑体"/>
          <w:color w:val="auto"/>
          <w:sz w:val="24"/>
          <w:szCs w:val="24"/>
          <w:highlight w:val="none"/>
        </w:rPr>
      </w:pPr>
      <w:r>
        <w:rPr>
          <w:rFonts w:hint="eastAsia" w:ascii="仿宋_GB2312" w:eastAsia="仿宋_GB2312"/>
          <w:color w:val="auto"/>
          <w:sz w:val="24"/>
          <w:szCs w:val="24"/>
          <w:highlight w:val="none"/>
        </w:rPr>
        <w:t>附件1：</w:t>
      </w:r>
    </w:p>
    <w:p w14:paraId="02F8976E">
      <w:pPr>
        <w:spacing w:before="120" w:beforeLines="50" w:after="120" w:afterLines="50" w:line="440" w:lineRule="exact"/>
        <w:jc w:val="center"/>
        <w:rPr>
          <w:rFonts w:eastAsia="黑体"/>
          <w:color w:val="auto"/>
          <w:sz w:val="24"/>
          <w:szCs w:val="24"/>
          <w:highlight w:val="none"/>
        </w:rPr>
      </w:pPr>
      <w:r>
        <w:rPr>
          <w:rFonts w:eastAsia="黑体"/>
          <w:color w:val="auto"/>
          <w:sz w:val="24"/>
          <w:szCs w:val="24"/>
          <w:highlight w:val="none"/>
        </w:rPr>
        <w:t>工程质量保修书</w:t>
      </w:r>
    </w:p>
    <w:p w14:paraId="6238E8CE">
      <w:pPr>
        <w:spacing w:line="440" w:lineRule="exact"/>
        <w:ind w:firstLine="480" w:firstLineChars="200"/>
        <w:rPr>
          <w:rFonts w:eastAsia="仿宋_GB2312"/>
          <w:color w:val="auto"/>
          <w:sz w:val="24"/>
          <w:szCs w:val="24"/>
          <w:highlight w:val="none"/>
        </w:rPr>
      </w:pPr>
      <w:r>
        <w:rPr>
          <w:rFonts w:eastAsia="仿宋_GB2312"/>
          <w:color w:val="auto"/>
          <w:sz w:val="24"/>
          <w:szCs w:val="24"/>
          <w:highlight w:val="none"/>
        </w:rPr>
        <w:t>发包人（全称）：</w:t>
      </w:r>
      <w:r>
        <w:rPr>
          <w:rFonts w:eastAsia="仿宋_GB2312"/>
          <w:color w:val="auto"/>
          <w:sz w:val="24"/>
          <w:szCs w:val="24"/>
          <w:highlight w:val="none"/>
          <w:u w:val="single"/>
        </w:rPr>
        <w:t xml:space="preserve">                                </w:t>
      </w:r>
      <w:r>
        <w:rPr>
          <w:rFonts w:eastAsia="仿宋_GB2312"/>
          <w:color w:val="auto"/>
          <w:sz w:val="24"/>
          <w:szCs w:val="24"/>
          <w:highlight w:val="none"/>
        </w:rPr>
        <w:t xml:space="preserve"> </w:t>
      </w:r>
    </w:p>
    <w:p w14:paraId="3396F9F8">
      <w:pPr>
        <w:spacing w:line="440" w:lineRule="exact"/>
        <w:rPr>
          <w:rFonts w:eastAsia="仿宋_GB2312"/>
          <w:color w:val="auto"/>
          <w:sz w:val="24"/>
          <w:szCs w:val="24"/>
          <w:highlight w:val="none"/>
        </w:rPr>
      </w:pPr>
      <w:r>
        <w:rPr>
          <w:rFonts w:eastAsia="仿宋_GB2312"/>
          <w:color w:val="auto"/>
          <w:sz w:val="24"/>
          <w:szCs w:val="24"/>
          <w:highlight w:val="none"/>
        </w:rPr>
        <w:t>　　承包人（全称）：</w:t>
      </w:r>
      <w:r>
        <w:rPr>
          <w:rFonts w:eastAsia="仿宋_GB2312"/>
          <w:color w:val="auto"/>
          <w:sz w:val="24"/>
          <w:szCs w:val="24"/>
          <w:highlight w:val="none"/>
          <w:u w:val="single"/>
        </w:rPr>
        <w:t xml:space="preserve">                                </w:t>
      </w:r>
      <w:r>
        <w:rPr>
          <w:rFonts w:eastAsia="仿宋_GB2312"/>
          <w:color w:val="auto"/>
          <w:sz w:val="24"/>
          <w:szCs w:val="24"/>
          <w:highlight w:val="none"/>
        </w:rPr>
        <w:t xml:space="preserve"> </w:t>
      </w:r>
    </w:p>
    <w:p w14:paraId="19427133">
      <w:pPr>
        <w:spacing w:line="440" w:lineRule="exact"/>
        <w:rPr>
          <w:rFonts w:eastAsia="仿宋_GB2312"/>
          <w:color w:val="auto"/>
          <w:sz w:val="24"/>
          <w:szCs w:val="24"/>
          <w:highlight w:val="none"/>
        </w:rPr>
      </w:pPr>
    </w:p>
    <w:p w14:paraId="6349DD7A">
      <w:pPr>
        <w:spacing w:line="360" w:lineRule="auto"/>
        <w:rPr>
          <w:rFonts w:eastAsia="仿宋_GB2312"/>
          <w:color w:val="auto"/>
          <w:sz w:val="24"/>
          <w:szCs w:val="24"/>
          <w:highlight w:val="none"/>
        </w:rPr>
      </w:pPr>
      <w:r>
        <w:rPr>
          <w:rFonts w:eastAsia="仿宋_GB2312"/>
          <w:color w:val="auto"/>
          <w:sz w:val="24"/>
          <w:szCs w:val="24"/>
          <w:highlight w:val="none"/>
        </w:rPr>
        <w:t>　　发包人和承包人根据《中华人民共和国建筑法》和《建设工程质量管理条例》，经协商一致就</w:t>
      </w:r>
      <w:r>
        <w:rPr>
          <w:rFonts w:hint="eastAsia" w:eastAsia="仿宋_GB2312"/>
          <w:color w:val="auto"/>
          <w:sz w:val="24"/>
          <w:szCs w:val="24"/>
          <w:highlight w:val="none"/>
          <w:u w:val="single"/>
        </w:rPr>
        <w:t xml:space="preserve">             </w:t>
      </w:r>
      <w:r>
        <w:rPr>
          <w:rFonts w:eastAsia="仿宋_GB2312"/>
          <w:color w:val="auto"/>
          <w:sz w:val="24"/>
          <w:szCs w:val="24"/>
          <w:highlight w:val="none"/>
        </w:rPr>
        <w:t>（工程全称）签订工程质量保修书。</w:t>
      </w:r>
    </w:p>
    <w:p w14:paraId="325D52FE">
      <w:pPr>
        <w:spacing w:line="360" w:lineRule="auto"/>
        <w:outlineLvl w:val="0"/>
        <w:rPr>
          <w:rFonts w:eastAsia="黑体"/>
          <w:color w:val="auto"/>
          <w:sz w:val="24"/>
          <w:szCs w:val="24"/>
          <w:highlight w:val="none"/>
        </w:rPr>
      </w:pPr>
      <w:r>
        <w:rPr>
          <w:rFonts w:eastAsia="黑体"/>
          <w:color w:val="auto"/>
          <w:sz w:val="24"/>
          <w:szCs w:val="24"/>
          <w:highlight w:val="none"/>
        </w:rPr>
        <w:t>　　</w:t>
      </w:r>
      <w:bookmarkStart w:id="1012" w:name="_Toc32835802"/>
      <w:r>
        <w:rPr>
          <w:rFonts w:eastAsia="黑体"/>
          <w:color w:val="auto"/>
          <w:sz w:val="24"/>
          <w:szCs w:val="24"/>
          <w:highlight w:val="none"/>
        </w:rPr>
        <w:t>一、工程质量保修范围和内容</w:t>
      </w:r>
      <w:bookmarkEnd w:id="1012"/>
    </w:p>
    <w:p w14:paraId="4C3E237D">
      <w:pPr>
        <w:spacing w:line="360" w:lineRule="auto"/>
        <w:rPr>
          <w:rFonts w:eastAsia="仿宋_GB2312"/>
          <w:color w:val="auto"/>
          <w:sz w:val="24"/>
          <w:szCs w:val="24"/>
          <w:highlight w:val="none"/>
        </w:rPr>
      </w:pPr>
      <w:r>
        <w:rPr>
          <w:rFonts w:eastAsia="仿宋_GB2312"/>
          <w:color w:val="auto"/>
          <w:sz w:val="24"/>
          <w:szCs w:val="24"/>
          <w:highlight w:val="none"/>
        </w:rPr>
        <w:t>　　承包人在质量保修期内，按照有关法律规定和合同约定，承担工程质量保修责任。</w:t>
      </w:r>
    </w:p>
    <w:p w14:paraId="573D9AAF">
      <w:pPr>
        <w:spacing w:line="360" w:lineRule="auto"/>
        <w:rPr>
          <w:rFonts w:eastAsia="仿宋_GB2312"/>
          <w:color w:val="auto"/>
          <w:sz w:val="24"/>
          <w:szCs w:val="24"/>
          <w:highlight w:val="none"/>
        </w:rPr>
      </w:pPr>
      <w:r>
        <w:rPr>
          <w:rFonts w:eastAsia="仿宋_GB2312"/>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B6DD4E4">
      <w:pPr>
        <w:spacing w:line="360" w:lineRule="auto"/>
        <w:rPr>
          <w:rFonts w:eastAsia="仿宋_GB2312"/>
          <w:color w:val="auto"/>
          <w:sz w:val="24"/>
          <w:szCs w:val="24"/>
          <w:highlight w:val="none"/>
        </w:rPr>
      </w:pPr>
      <w:r>
        <w:rPr>
          <w:rFonts w:eastAsia="仿宋_GB2312"/>
          <w:color w:val="auto"/>
          <w:sz w:val="24"/>
          <w:szCs w:val="24"/>
          <w:highlight w:val="none"/>
        </w:rPr>
        <w:t>　　</w:t>
      </w:r>
      <w:r>
        <w:rPr>
          <w:rFonts w:hint="eastAsia" w:eastAsia="仿宋_GB2312"/>
          <w:color w:val="auto"/>
          <w:sz w:val="24"/>
          <w:szCs w:val="24"/>
          <w:highlight w:val="none"/>
          <w:u w:val="single"/>
        </w:rPr>
        <w:t xml:space="preserve">            施工合同约定属于承包人承包范围的所有工程内容</w:t>
      </w:r>
      <w:r>
        <w:rPr>
          <w:rFonts w:eastAsia="仿宋_GB2312"/>
          <w:color w:val="auto"/>
          <w:sz w:val="24"/>
          <w:szCs w:val="24"/>
          <w:highlight w:val="none"/>
        </w:rPr>
        <w:t>。</w:t>
      </w:r>
    </w:p>
    <w:p w14:paraId="5D336E40">
      <w:pPr>
        <w:spacing w:line="360" w:lineRule="auto"/>
        <w:outlineLvl w:val="0"/>
        <w:rPr>
          <w:rFonts w:eastAsia="黑体"/>
          <w:color w:val="auto"/>
          <w:sz w:val="24"/>
          <w:szCs w:val="24"/>
          <w:highlight w:val="none"/>
        </w:rPr>
      </w:pPr>
      <w:r>
        <w:rPr>
          <w:rFonts w:eastAsia="仿宋_GB2312"/>
          <w:b/>
          <w:color w:val="auto"/>
          <w:sz w:val="24"/>
          <w:szCs w:val="24"/>
          <w:highlight w:val="none"/>
        </w:rPr>
        <w:t>　　</w:t>
      </w:r>
      <w:bookmarkStart w:id="1013" w:name="_Toc32835803"/>
      <w:r>
        <w:rPr>
          <w:rFonts w:eastAsia="黑体"/>
          <w:color w:val="auto"/>
          <w:sz w:val="24"/>
          <w:szCs w:val="24"/>
          <w:highlight w:val="none"/>
        </w:rPr>
        <w:t>二、质量保修期</w:t>
      </w:r>
      <w:bookmarkEnd w:id="1013"/>
    </w:p>
    <w:p w14:paraId="30EA0CC3">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根据《建设工程质量管理条例》及有关规定，工程的质量保修期如下：</w:t>
      </w:r>
    </w:p>
    <w:p w14:paraId="4A4EBB3C">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w:t>
      </w:r>
      <w:r>
        <w:rPr>
          <w:rFonts w:hint="eastAsia" w:eastAsia="仿宋_GB2312"/>
          <w:color w:val="auto"/>
          <w:sz w:val="24"/>
          <w:szCs w:val="24"/>
          <w:highlight w:val="none"/>
        </w:rPr>
        <w:t>．</w:t>
      </w:r>
      <w:r>
        <w:rPr>
          <w:rFonts w:hint="eastAsia" w:ascii="仿宋_GB2312" w:eastAsia="仿宋_GB2312"/>
          <w:color w:val="auto"/>
          <w:sz w:val="24"/>
          <w:szCs w:val="24"/>
          <w:highlight w:val="none"/>
        </w:rPr>
        <w:t>地基基础工程和主体结构工程为设计文件规定的工程合理使用年限；</w:t>
      </w:r>
    </w:p>
    <w:p w14:paraId="1F9D6A1C">
      <w:pPr>
        <w:spacing w:line="360" w:lineRule="auto"/>
        <w:ind w:firstLine="480" w:firstLineChars="200"/>
        <w:rPr>
          <w:rFonts w:eastAsia="仿宋_GB2312"/>
          <w:color w:val="auto"/>
          <w:sz w:val="24"/>
          <w:szCs w:val="24"/>
          <w:highlight w:val="none"/>
        </w:rPr>
      </w:pPr>
      <w:r>
        <w:rPr>
          <w:rFonts w:hint="eastAsia" w:eastAsia="仿宋_GB2312"/>
          <w:color w:val="auto"/>
          <w:sz w:val="24"/>
          <w:szCs w:val="24"/>
          <w:highlight w:val="none"/>
        </w:rPr>
        <w:t>2</w:t>
      </w:r>
      <w:r>
        <w:rPr>
          <w:rFonts w:hint="eastAsia" w:ascii="仿宋_GB2312" w:eastAsia="仿宋_GB2312"/>
          <w:color w:val="auto"/>
          <w:sz w:val="24"/>
          <w:szCs w:val="24"/>
          <w:highlight w:val="none"/>
        </w:rPr>
        <w:t>．</w:t>
      </w:r>
      <w:r>
        <w:rPr>
          <w:rFonts w:eastAsia="仿宋_GB2312"/>
          <w:color w:val="auto"/>
          <w:sz w:val="24"/>
          <w:szCs w:val="24"/>
          <w:highlight w:val="none"/>
        </w:rPr>
        <w:t>屋面防水工程、有防水要求的卫生间、房间和外墙面的防渗</w:t>
      </w:r>
      <w:r>
        <w:rPr>
          <w:rFonts w:hint="eastAsia" w:eastAsia="仿宋_GB2312"/>
          <w:color w:val="auto"/>
          <w:sz w:val="24"/>
          <w:szCs w:val="24"/>
          <w:highlight w:val="none"/>
        </w:rPr>
        <w:t xml:space="preserve">     为</w:t>
      </w:r>
      <w:r>
        <w:rPr>
          <w:rFonts w:hint="eastAsia" w:eastAsia="仿宋_GB2312"/>
          <w:color w:val="auto"/>
          <w:sz w:val="24"/>
          <w:szCs w:val="24"/>
          <w:highlight w:val="none"/>
          <w:u w:val="single"/>
        </w:rPr>
        <w:t xml:space="preserve">    五    </w:t>
      </w:r>
      <w:r>
        <w:rPr>
          <w:rFonts w:eastAsia="仿宋_GB2312"/>
          <w:color w:val="auto"/>
          <w:sz w:val="24"/>
          <w:szCs w:val="24"/>
          <w:highlight w:val="none"/>
        </w:rPr>
        <w:t>年；</w:t>
      </w:r>
    </w:p>
    <w:p w14:paraId="4DE2198F">
      <w:pPr>
        <w:spacing w:line="360" w:lineRule="auto"/>
        <w:ind w:left="420" w:leftChars="200" w:firstLine="120" w:firstLineChars="50"/>
        <w:rPr>
          <w:rFonts w:eastAsia="仿宋_GB2312"/>
          <w:color w:val="auto"/>
          <w:sz w:val="24"/>
          <w:szCs w:val="24"/>
          <w:highlight w:val="none"/>
        </w:rPr>
      </w:pPr>
      <w:r>
        <w:rPr>
          <w:rFonts w:hint="eastAsia" w:eastAsia="仿宋_GB2312"/>
          <w:color w:val="auto"/>
          <w:sz w:val="24"/>
          <w:szCs w:val="24"/>
          <w:highlight w:val="none"/>
        </w:rPr>
        <w:t>3</w:t>
      </w:r>
      <w:r>
        <w:rPr>
          <w:rFonts w:hint="eastAsia" w:ascii="仿宋_GB2312" w:eastAsia="仿宋_GB2312"/>
          <w:color w:val="auto"/>
          <w:sz w:val="24"/>
          <w:szCs w:val="24"/>
          <w:highlight w:val="none"/>
        </w:rPr>
        <w:t>．</w:t>
      </w:r>
      <w:r>
        <w:rPr>
          <w:rFonts w:eastAsia="仿宋_GB2312"/>
          <w:color w:val="auto"/>
          <w:sz w:val="24"/>
          <w:szCs w:val="24"/>
          <w:highlight w:val="none"/>
        </w:rPr>
        <w:t>装修工程为</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二</w:t>
      </w:r>
      <w:r>
        <w:rPr>
          <w:rFonts w:eastAsia="仿宋_GB2312"/>
          <w:color w:val="auto"/>
          <w:sz w:val="24"/>
          <w:szCs w:val="24"/>
          <w:highlight w:val="none"/>
          <w:u w:val="single"/>
        </w:rPr>
        <w:t xml:space="preserve">    </w:t>
      </w:r>
      <w:r>
        <w:rPr>
          <w:rFonts w:eastAsia="仿宋_GB2312"/>
          <w:color w:val="auto"/>
          <w:sz w:val="24"/>
          <w:szCs w:val="24"/>
          <w:highlight w:val="none"/>
        </w:rPr>
        <w:t>年；</w:t>
      </w:r>
    </w:p>
    <w:p w14:paraId="39F7CDB1">
      <w:pPr>
        <w:spacing w:line="360" w:lineRule="auto"/>
        <w:ind w:left="420" w:leftChars="200" w:firstLine="120" w:firstLineChars="50"/>
        <w:rPr>
          <w:rFonts w:eastAsia="仿宋_GB2312"/>
          <w:color w:val="auto"/>
          <w:sz w:val="24"/>
          <w:szCs w:val="24"/>
          <w:highlight w:val="none"/>
        </w:rPr>
      </w:pPr>
      <w:r>
        <w:rPr>
          <w:rFonts w:hint="eastAsia" w:eastAsia="仿宋_GB2312"/>
          <w:color w:val="auto"/>
          <w:sz w:val="24"/>
          <w:szCs w:val="24"/>
          <w:highlight w:val="none"/>
        </w:rPr>
        <w:t>4</w:t>
      </w:r>
      <w:r>
        <w:rPr>
          <w:rFonts w:hint="eastAsia" w:ascii="仿宋_GB2312" w:eastAsia="仿宋_GB2312"/>
          <w:color w:val="auto"/>
          <w:sz w:val="24"/>
          <w:szCs w:val="24"/>
          <w:highlight w:val="none"/>
        </w:rPr>
        <w:t>．</w:t>
      </w:r>
      <w:r>
        <w:rPr>
          <w:rFonts w:eastAsia="仿宋_GB2312"/>
          <w:color w:val="auto"/>
          <w:sz w:val="24"/>
          <w:szCs w:val="24"/>
          <w:highlight w:val="none"/>
        </w:rPr>
        <w:t>电气管线、给排水管道、设备安装工程为</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二</w:t>
      </w:r>
      <w:r>
        <w:rPr>
          <w:rFonts w:eastAsia="仿宋_GB2312"/>
          <w:color w:val="auto"/>
          <w:sz w:val="24"/>
          <w:szCs w:val="24"/>
          <w:highlight w:val="none"/>
          <w:u w:val="single"/>
        </w:rPr>
        <w:t xml:space="preserve">     </w:t>
      </w:r>
      <w:r>
        <w:rPr>
          <w:rFonts w:eastAsia="仿宋_GB2312"/>
          <w:color w:val="auto"/>
          <w:sz w:val="24"/>
          <w:szCs w:val="24"/>
          <w:highlight w:val="none"/>
        </w:rPr>
        <w:t>年；</w:t>
      </w:r>
    </w:p>
    <w:p w14:paraId="020B5E8E">
      <w:pPr>
        <w:spacing w:line="360" w:lineRule="auto"/>
        <w:ind w:left="420" w:leftChars="200" w:firstLine="120" w:firstLineChars="50"/>
        <w:rPr>
          <w:rFonts w:eastAsia="仿宋_GB2312"/>
          <w:color w:val="auto"/>
          <w:sz w:val="24"/>
          <w:szCs w:val="24"/>
          <w:highlight w:val="none"/>
        </w:rPr>
      </w:pPr>
      <w:r>
        <w:rPr>
          <w:rFonts w:hint="eastAsia" w:eastAsia="仿宋_GB2312"/>
          <w:color w:val="auto"/>
          <w:sz w:val="24"/>
          <w:szCs w:val="24"/>
          <w:highlight w:val="none"/>
        </w:rPr>
        <w:t>5</w:t>
      </w:r>
      <w:r>
        <w:rPr>
          <w:rFonts w:hint="eastAsia" w:ascii="仿宋_GB2312" w:eastAsia="仿宋_GB2312"/>
          <w:color w:val="auto"/>
          <w:sz w:val="24"/>
          <w:szCs w:val="24"/>
          <w:highlight w:val="none"/>
        </w:rPr>
        <w:t>．</w:t>
      </w:r>
      <w:r>
        <w:rPr>
          <w:rFonts w:eastAsia="仿宋_GB2312"/>
          <w:color w:val="auto"/>
          <w:sz w:val="24"/>
          <w:szCs w:val="24"/>
          <w:highlight w:val="none"/>
        </w:rPr>
        <w:t>供热与供冷系统为</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二</w:t>
      </w:r>
      <w:r>
        <w:rPr>
          <w:rFonts w:eastAsia="仿宋_GB2312"/>
          <w:color w:val="auto"/>
          <w:sz w:val="24"/>
          <w:szCs w:val="24"/>
          <w:highlight w:val="none"/>
          <w:u w:val="single"/>
        </w:rPr>
        <w:t xml:space="preserve">    </w:t>
      </w:r>
      <w:r>
        <w:rPr>
          <w:rFonts w:eastAsia="仿宋_GB2312"/>
          <w:color w:val="auto"/>
          <w:sz w:val="24"/>
          <w:szCs w:val="24"/>
          <w:highlight w:val="none"/>
        </w:rPr>
        <w:t>个采暖期、供冷期；</w:t>
      </w:r>
    </w:p>
    <w:p w14:paraId="11C01138">
      <w:pPr>
        <w:spacing w:line="360" w:lineRule="auto"/>
        <w:ind w:left="420" w:leftChars="200" w:firstLine="120" w:firstLineChars="50"/>
        <w:rPr>
          <w:rFonts w:eastAsia="仿宋_GB2312"/>
          <w:color w:val="auto"/>
          <w:sz w:val="24"/>
          <w:szCs w:val="24"/>
          <w:highlight w:val="none"/>
        </w:rPr>
      </w:pPr>
      <w:r>
        <w:rPr>
          <w:rFonts w:hint="eastAsia" w:eastAsia="仿宋_GB2312"/>
          <w:color w:val="auto"/>
          <w:sz w:val="24"/>
          <w:szCs w:val="24"/>
          <w:highlight w:val="none"/>
        </w:rPr>
        <w:t>6</w:t>
      </w:r>
      <w:r>
        <w:rPr>
          <w:rFonts w:hint="eastAsia" w:ascii="仿宋_GB2312" w:eastAsia="仿宋_GB2312"/>
          <w:color w:val="auto"/>
          <w:sz w:val="24"/>
          <w:szCs w:val="24"/>
          <w:highlight w:val="none"/>
        </w:rPr>
        <w:t>．</w:t>
      </w:r>
      <w:r>
        <w:rPr>
          <w:rFonts w:eastAsia="仿宋_GB2312"/>
          <w:color w:val="auto"/>
          <w:sz w:val="24"/>
          <w:szCs w:val="24"/>
          <w:highlight w:val="none"/>
        </w:rPr>
        <w:t>住宅小区内的给排水设施、道路等配套工程为</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二</w:t>
      </w:r>
      <w:r>
        <w:rPr>
          <w:rFonts w:eastAsia="仿宋_GB2312"/>
          <w:color w:val="auto"/>
          <w:sz w:val="24"/>
          <w:szCs w:val="24"/>
          <w:highlight w:val="none"/>
          <w:u w:val="single"/>
        </w:rPr>
        <w:t xml:space="preserve">     </w:t>
      </w:r>
      <w:r>
        <w:rPr>
          <w:rFonts w:eastAsia="仿宋_GB2312"/>
          <w:color w:val="auto"/>
          <w:sz w:val="24"/>
          <w:szCs w:val="24"/>
          <w:highlight w:val="none"/>
        </w:rPr>
        <w:t>年；</w:t>
      </w:r>
    </w:p>
    <w:p w14:paraId="6BDBC811">
      <w:pPr>
        <w:spacing w:line="360" w:lineRule="auto"/>
        <w:ind w:left="420" w:leftChars="200" w:firstLine="120" w:firstLineChars="50"/>
        <w:rPr>
          <w:rFonts w:eastAsia="仿宋_GB2312"/>
          <w:color w:val="auto"/>
          <w:sz w:val="24"/>
          <w:szCs w:val="24"/>
          <w:highlight w:val="none"/>
        </w:rPr>
      </w:pPr>
      <w:r>
        <w:rPr>
          <w:rFonts w:hint="eastAsia" w:eastAsia="仿宋_GB2312"/>
          <w:color w:val="auto"/>
          <w:sz w:val="24"/>
          <w:szCs w:val="24"/>
          <w:highlight w:val="none"/>
        </w:rPr>
        <w:t>7</w:t>
      </w:r>
      <w:r>
        <w:rPr>
          <w:rFonts w:hint="eastAsia" w:ascii="仿宋_GB2312" w:eastAsia="仿宋_GB2312"/>
          <w:color w:val="auto"/>
          <w:sz w:val="24"/>
          <w:szCs w:val="24"/>
          <w:highlight w:val="none"/>
        </w:rPr>
        <w:t>．</w:t>
      </w:r>
      <w:r>
        <w:rPr>
          <w:rFonts w:eastAsia="仿宋_GB2312"/>
          <w:color w:val="auto"/>
          <w:sz w:val="24"/>
          <w:szCs w:val="24"/>
          <w:highlight w:val="none"/>
        </w:rPr>
        <w:t>其他项目保修期限约定如下：</w:t>
      </w:r>
      <w:r>
        <w:rPr>
          <w:rFonts w:hint="eastAsia" w:eastAsia="仿宋_GB2312"/>
          <w:color w:val="auto"/>
          <w:sz w:val="24"/>
          <w:szCs w:val="24"/>
          <w:highlight w:val="none"/>
          <w:u w:val="single"/>
        </w:rPr>
        <w:t xml:space="preserve">   二   </w:t>
      </w:r>
      <w:r>
        <w:rPr>
          <w:rFonts w:hint="eastAsia" w:eastAsia="仿宋_GB2312"/>
          <w:color w:val="auto"/>
          <w:sz w:val="24"/>
          <w:szCs w:val="24"/>
          <w:highlight w:val="none"/>
        </w:rPr>
        <w:t>年</w:t>
      </w:r>
      <w:r>
        <w:rPr>
          <w:rFonts w:eastAsia="仿宋_GB2312"/>
          <w:color w:val="auto"/>
          <w:sz w:val="24"/>
          <w:szCs w:val="24"/>
          <w:highlight w:val="none"/>
        </w:rPr>
        <w:t>。</w:t>
      </w:r>
    </w:p>
    <w:p w14:paraId="466E3E39">
      <w:pPr>
        <w:spacing w:line="360" w:lineRule="auto"/>
        <w:rPr>
          <w:rFonts w:eastAsia="仿宋_GB2312"/>
          <w:color w:val="auto"/>
          <w:sz w:val="24"/>
          <w:szCs w:val="24"/>
          <w:highlight w:val="none"/>
        </w:rPr>
      </w:pPr>
      <w:r>
        <w:rPr>
          <w:rFonts w:eastAsia="仿宋_GB2312"/>
          <w:color w:val="auto"/>
          <w:sz w:val="24"/>
          <w:szCs w:val="24"/>
          <w:highlight w:val="none"/>
        </w:rPr>
        <w:t>　　质量保修期自工程竣工验收合格之日起计算。</w:t>
      </w:r>
    </w:p>
    <w:p w14:paraId="1902C151">
      <w:pPr>
        <w:spacing w:line="360" w:lineRule="auto"/>
        <w:ind w:firstLine="480" w:firstLineChars="200"/>
        <w:outlineLvl w:val="0"/>
        <w:rPr>
          <w:rFonts w:eastAsia="黑体"/>
          <w:color w:val="auto"/>
          <w:sz w:val="24"/>
          <w:szCs w:val="24"/>
          <w:highlight w:val="none"/>
        </w:rPr>
      </w:pPr>
      <w:bookmarkStart w:id="1014" w:name="_Toc32835804"/>
      <w:r>
        <w:rPr>
          <w:rFonts w:eastAsia="黑体"/>
          <w:color w:val="auto"/>
          <w:sz w:val="24"/>
          <w:szCs w:val="24"/>
          <w:highlight w:val="none"/>
        </w:rPr>
        <w:t>三、缺陷责任期</w:t>
      </w:r>
      <w:bookmarkEnd w:id="1014"/>
    </w:p>
    <w:p w14:paraId="3CBD12D5">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工程缺陷责任期为</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24</w:t>
      </w:r>
      <w:r>
        <w:rPr>
          <w:rFonts w:eastAsia="仿宋_GB2312"/>
          <w:color w:val="auto"/>
          <w:sz w:val="24"/>
          <w:szCs w:val="24"/>
          <w:highlight w:val="none"/>
          <w:u w:val="single"/>
        </w:rPr>
        <w:t xml:space="preserve">     </w:t>
      </w:r>
      <w:r>
        <w:rPr>
          <w:rFonts w:eastAsia="仿宋_GB2312"/>
          <w:color w:val="auto"/>
          <w:sz w:val="24"/>
          <w:szCs w:val="24"/>
          <w:highlight w:val="none"/>
        </w:rPr>
        <w:t>个月，缺陷责任期自工程</w:t>
      </w:r>
      <w:r>
        <w:rPr>
          <w:rFonts w:hint="eastAsia" w:eastAsia="仿宋_GB2312"/>
          <w:color w:val="auto"/>
          <w:sz w:val="24"/>
          <w:szCs w:val="24"/>
          <w:highlight w:val="none"/>
        </w:rPr>
        <w:t>通过竣工验收</w:t>
      </w:r>
      <w:r>
        <w:rPr>
          <w:rFonts w:eastAsia="仿宋_GB2312"/>
          <w:color w:val="auto"/>
          <w:sz w:val="24"/>
          <w:szCs w:val="24"/>
          <w:highlight w:val="none"/>
        </w:rPr>
        <w:t>之日起计算。单位工程先于全部工程进行验收，单位工程缺陷责任期自单位工程验收合格之日起算。</w:t>
      </w:r>
    </w:p>
    <w:p w14:paraId="214300B1">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缺陷责任期终止后，发包人应退还剩余的质量保证金。</w:t>
      </w:r>
    </w:p>
    <w:p w14:paraId="26CF386B">
      <w:pPr>
        <w:spacing w:line="360" w:lineRule="auto"/>
        <w:outlineLvl w:val="0"/>
        <w:rPr>
          <w:rFonts w:eastAsia="黑体"/>
          <w:color w:val="auto"/>
          <w:sz w:val="24"/>
          <w:szCs w:val="24"/>
          <w:highlight w:val="none"/>
        </w:rPr>
      </w:pPr>
      <w:r>
        <w:rPr>
          <w:rFonts w:eastAsia="黑体"/>
          <w:color w:val="auto"/>
          <w:sz w:val="24"/>
          <w:szCs w:val="24"/>
          <w:highlight w:val="none"/>
        </w:rPr>
        <w:t xml:space="preserve">    </w:t>
      </w:r>
      <w:bookmarkStart w:id="1015" w:name="_Toc32835805"/>
      <w:r>
        <w:rPr>
          <w:rFonts w:eastAsia="黑体"/>
          <w:color w:val="auto"/>
          <w:sz w:val="24"/>
          <w:szCs w:val="24"/>
          <w:highlight w:val="none"/>
        </w:rPr>
        <w:t>四、质量保修责任</w:t>
      </w:r>
      <w:bookmarkEnd w:id="1015"/>
    </w:p>
    <w:p w14:paraId="622A49EB">
      <w:pPr>
        <w:spacing w:line="360" w:lineRule="auto"/>
        <w:ind w:left="105" w:leftChars="50" w:firstLine="491" w:firstLineChars="205"/>
        <w:rPr>
          <w:rFonts w:eastAsia="仿宋_GB2312"/>
          <w:color w:val="auto"/>
          <w:sz w:val="24"/>
          <w:szCs w:val="24"/>
          <w:highlight w:val="none"/>
        </w:rPr>
      </w:pPr>
      <w:r>
        <w:rPr>
          <w:rFonts w:hint="eastAsia" w:eastAsia="仿宋_GB2312"/>
          <w:color w:val="auto"/>
          <w:sz w:val="24"/>
          <w:szCs w:val="24"/>
          <w:highlight w:val="none"/>
        </w:rPr>
        <w:t>1</w:t>
      </w:r>
      <w:r>
        <w:rPr>
          <w:rFonts w:hint="eastAsia" w:ascii="仿宋_GB2312" w:eastAsia="仿宋_GB2312"/>
          <w:color w:val="auto"/>
          <w:sz w:val="24"/>
          <w:szCs w:val="24"/>
          <w:highlight w:val="none"/>
        </w:rPr>
        <w:t>．</w:t>
      </w:r>
      <w:r>
        <w:rPr>
          <w:rFonts w:eastAsia="仿宋_GB2312"/>
          <w:color w:val="auto"/>
          <w:sz w:val="24"/>
          <w:szCs w:val="24"/>
          <w:highlight w:val="none"/>
        </w:rPr>
        <w:t>属于保修范围、内容的项目，承包人应当在接到保修通知之日起7天内派人保修。承包人不在约定期限内派人保修的，发包人可以委托他人修理。</w:t>
      </w:r>
    </w:p>
    <w:p w14:paraId="1C2A5B00">
      <w:pPr>
        <w:spacing w:line="360" w:lineRule="auto"/>
        <w:ind w:left="105" w:leftChars="50" w:firstLine="491" w:firstLineChars="205"/>
        <w:rPr>
          <w:rFonts w:eastAsia="仿宋_GB2312"/>
          <w:color w:val="auto"/>
          <w:sz w:val="24"/>
          <w:szCs w:val="24"/>
          <w:highlight w:val="none"/>
        </w:rPr>
      </w:pPr>
      <w:r>
        <w:rPr>
          <w:rFonts w:hint="eastAsia" w:eastAsia="仿宋_GB2312"/>
          <w:color w:val="auto"/>
          <w:sz w:val="24"/>
          <w:szCs w:val="24"/>
          <w:highlight w:val="none"/>
        </w:rPr>
        <w:t>2</w:t>
      </w:r>
      <w:r>
        <w:rPr>
          <w:rFonts w:hint="eastAsia" w:ascii="仿宋_GB2312" w:eastAsia="仿宋_GB2312"/>
          <w:color w:val="auto"/>
          <w:sz w:val="24"/>
          <w:szCs w:val="24"/>
          <w:highlight w:val="none"/>
        </w:rPr>
        <w:t>．</w:t>
      </w:r>
      <w:r>
        <w:rPr>
          <w:rFonts w:eastAsia="仿宋_GB2312"/>
          <w:color w:val="auto"/>
          <w:sz w:val="24"/>
          <w:szCs w:val="24"/>
          <w:highlight w:val="none"/>
        </w:rPr>
        <w:t>发生紧急事故需抢修的，承包人在接到事故通知后，应当立即到达事故现场抢修。</w:t>
      </w:r>
    </w:p>
    <w:p w14:paraId="1265000F">
      <w:pPr>
        <w:spacing w:line="360" w:lineRule="auto"/>
        <w:ind w:left="105" w:leftChars="50" w:firstLine="491" w:firstLineChars="205"/>
        <w:rPr>
          <w:rFonts w:eastAsia="仿宋_GB2312"/>
          <w:color w:val="auto"/>
          <w:sz w:val="24"/>
          <w:szCs w:val="24"/>
          <w:highlight w:val="none"/>
        </w:rPr>
      </w:pPr>
      <w:r>
        <w:rPr>
          <w:rFonts w:hint="eastAsia" w:eastAsia="仿宋_GB2312"/>
          <w:color w:val="auto"/>
          <w:sz w:val="24"/>
          <w:szCs w:val="24"/>
          <w:highlight w:val="none"/>
        </w:rPr>
        <w:t>3</w:t>
      </w:r>
      <w:r>
        <w:rPr>
          <w:rFonts w:hint="eastAsia" w:ascii="仿宋_GB2312" w:eastAsia="仿宋_GB2312"/>
          <w:color w:val="auto"/>
          <w:sz w:val="24"/>
          <w:szCs w:val="24"/>
          <w:highlight w:val="none"/>
        </w:rPr>
        <w:t>．</w:t>
      </w:r>
      <w:r>
        <w:rPr>
          <w:rFonts w:eastAsia="仿宋_GB2312"/>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176B7B5">
      <w:pPr>
        <w:spacing w:line="360" w:lineRule="auto"/>
        <w:ind w:left="420" w:leftChars="200" w:firstLine="120" w:firstLineChars="50"/>
        <w:rPr>
          <w:rFonts w:eastAsia="仿宋_GB2312"/>
          <w:color w:val="auto"/>
          <w:sz w:val="24"/>
          <w:szCs w:val="24"/>
          <w:highlight w:val="none"/>
        </w:rPr>
      </w:pPr>
      <w:r>
        <w:rPr>
          <w:rFonts w:hint="eastAsia" w:eastAsia="仿宋_GB2312"/>
          <w:color w:val="auto"/>
          <w:sz w:val="24"/>
          <w:szCs w:val="24"/>
          <w:highlight w:val="none"/>
        </w:rPr>
        <w:t>4</w:t>
      </w:r>
      <w:r>
        <w:rPr>
          <w:rFonts w:hint="eastAsia" w:ascii="仿宋_GB2312" w:eastAsia="仿宋_GB2312"/>
          <w:color w:val="auto"/>
          <w:sz w:val="24"/>
          <w:szCs w:val="24"/>
          <w:highlight w:val="none"/>
        </w:rPr>
        <w:t>．</w:t>
      </w:r>
      <w:r>
        <w:rPr>
          <w:rFonts w:eastAsia="仿宋_GB2312"/>
          <w:color w:val="auto"/>
          <w:sz w:val="24"/>
          <w:szCs w:val="24"/>
          <w:highlight w:val="none"/>
        </w:rPr>
        <w:t>质量保修完成后，由发包人组织验收。</w:t>
      </w:r>
    </w:p>
    <w:p w14:paraId="07039218">
      <w:pPr>
        <w:spacing w:line="360" w:lineRule="auto"/>
        <w:outlineLvl w:val="0"/>
        <w:rPr>
          <w:rFonts w:eastAsia="黑体"/>
          <w:color w:val="auto"/>
          <w:sz w:val="24"/>
          <w:szCs w:val="24"/>
          <w:highlight w:val="none"/>
        </w:rPr>
      </w:pPr>
      <w:r>
        <w:rPr>
          <w:rFonts w:eastAsia="黑体"/>
          <w:color w:val="auto"/>
          <w:sz w:val="24"/>
          <w:szCs w:val="24"/>
          <w:highlight w:val="none"/>
        </w:rPr>
        <w:t>　　</w:t>
      </w:r>
      <w:bookmarkStart w:id="1016" w:name="_Toc32835806"/>
      <w:r>
        <w:rPr>
          <w:rFonts w:eastAsia="黑体"/>
          <w:color w:val="auto"/>
          <w:sz w:val="24"/>
          <w:szCs w:val="24"/>
          <w:highlight w:val="none"/>
        </w:rPr>
        <w:t>五、保修费用</w:t>
      </w:r>
      <w:bookmarkEnd w:id="1016"/>
    </w:p>
    <w:p w14:paraId="0496F14E">
      <w:pPr>
        <w:spacing w:line="360" w:lineRule="auto"/>
        <w:rPr>
          <w:rFonts w:eastAsia="仿宋_GB2312"/>
          <w:color w:val="auto"/>
          <w:sz w:val="24"/>
          <w:szCs w:val="24"/>
          <w:highlight w:val="none"/>
        </w:rPr>
      </w:pPr>
      <w:r>
        <w:rPr>
          <w:rFonts w:eastAsia="仿宋_GB2312"/>
          <w:color w:val="auto"/>
          <w:sz w:val="24"/>
          <w:szCs w:val="24"/>
          <w:highlight w:val="none"/>
        </w:rPr>
        <w:t>　　保修费用由造成质量缺陷的责任方承担。</w:t>
      </w:r>
    </w:p>
    <w:p w14:paraId="1B94AA51">
      <w:pPr>
        <w:spacing w:line="360" w:lineRule="auto"/>
        <w:ind w:firstLine="600"/>
        <w:jc w:val="left"/>
        <w:outlineLvl w:val="0"/>
        <w:rPr>
          <w:rFonts w:eastAsia="仿宋_GB2312"/>
          <w:color w:val="auto"/>
          <w:sz w:val="24"/>
          <w:szCs w:val="24"/>
          <w:highlight w:val="none"/>
          <w:u w:val="single"/>
        </w:rPr>
      </w:pPr>
      <w:bookmarkStart w:id="1017" w:name="_Toc32835807"/>
      <w:r>
        <w:rPr>
          <w:rFonts w:eastAsia="黑体"/>
          <w:b/>
          <w:color w:val="auto"/>
          <w:sz w:val="24"/>
          <w:szCs w:val="24"/>
          <w:highlight w:val="none"/>
        </w:rPr>
        <w:t>六</w:t>
      </w:r>
      <w:r>
        <w:rPr>
          <w:rFonts w:eastAsia="黑体"/>
          <w:color w:val="auto"/>
          <w:sz w:val="24"/>
          <w:szCs w:val="24"/>
          <w:highlight w:val="none"/>
        </w:rPr>
        <w:t>、双方约定的其他工程质量保修事项</w:t>
      </w:r>
      <w:r>
        <w:rPr>
          <w:rFonts w:eastAsia="仿宋_GB2312"/>
          <w:color w:val="auto"/>
          <w:sz w:val="24"/>
          <w:szCs w:val="24"/>
          <w:highlight w:val="none"/>
        </w:rPr>
        <w:t>：</w:t>
      </w:r>
      <w:bookmarkEnd w:id="1017"/>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w:t>
      </w:r>
    </w:p>
    <w:p w14:paraId="29965A64">
      <w:pPr>
        <w:spacing w:line="360" w:lineRule="auto"/>
        <w:ind w:firstLine="456" w:firstLineChars="190"/>
        <w:rPr>
          <w:rFonts w:eastAsia="仿宋_GB2312"/>
          <w:color w:val="auto"/>
          <w:sz w:val="24"/>
          <w:szCs w:val="24"/>
          <w:highlight w:val="none"/>
        </w:rPr>
      </w:pPr>
      <w:r>
        <w:rPr>
          <w:rFonts w:eastAsia="仿宋_GB2312"/>
          <w:color w:val="auto"/>
          <w:sz w:val="24"/>
          <w:szCs w:val="24"/>
          <w:highlight w:val="none"/>
        </w:rPr>
        <w:t>工程质量保修书由发包人、承包人在工程竣工验收前共同签署，作为施工合同附件，其有效期限至保修期满。</w:t>
      </w:r>
    </w:p>
    <w:p w14:paraId="7049D9D5">
      <w:pPr>
        <w:spacing w:line="360" w:lineRule="auto"/>
        <w:ind w:firstLine="420"/>
        <w:rPr>
          <w:rFonts w:eastAsia="仿宋_GB2312"/>
          <w:color w:val="auto"/>
          <w:sz w:val="24"/>
          <w:szCs w:val="24"/>
          <w:highlight w:val="none"/>
        </w:rPr>
      </w:pPr>
    </w:p>
    <w:p w14:paraId="1A4686A7">
      <w:pPr>
        <w:spacing w:line="360" w:lineRule="auto"/>
        <w:rPr>
          <w:rFonts w:eastAsia="仿宋_GB2312"/>
          <w:color w:val="auto"/>
          <w:sz w:val="24"/>
          <w:szCs w:val="24"/>
          <w:highlight w:val="none"/>
        </w:rPr>
      </w:pPr>
      <w:r>
        <w:rPr>
          <w:rFonts w:eastAsia="仿宋_GB2312"/>
          <w:color w:val="auto"/>
          <w:sz w:val="24"/>
          <w:szCs w:val="24"/>
          <w:highlight w:val="none"/>
        </w:rPr>
        <w:t>发包人(公章)：</w:t>
      </w:r>
      <w:r>
        <w:rPr>
          <w:rFonts w:eastAsia="仿宋_GB2312"/>
          <w:color w:val="auto"/>
          <w:sz w:val="24"/>
          <w:szCs w:val="24"/>
          <w:highlight w:val="none"/>
          <w:u w:val="single"/>
        </w:rPr>
        <w:t xml:space="preserve">        </w:t>
      </w:r>
      <w:r>
        <w:rPr>
          <w:rFonts w:eastAsia="仿宋_GB2312"/>
          <w:color w:val="auto"/>
          <w:sz w:val="24"/>
          <w:szCs w:val="24"/>
          <w:highlight w:val="none"/>
        </w:rPr>
        <w:t xml:space="preserve"> 承包人(公章)：</w:t>
      </w:r>
      <w:r>
        <w:rPr>
          <w:rFonts w:eastAsia="仿宋_GB2312"/>
          <w:color w:val="auto"/>
          <w:sz w:val="24"/>
          <w:szCs w:val="24"/>
          <w:highlight w:val="none"/>
          <w:u w:val="single"/>
        </w:rPr>
        <w:t></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p>
    <w:p w14:paraId="4E78FC42">
      <w:pPr>
        <w:spacing w:line="360" w:lineRule="auto"/>
        <w:rPr>
          <w:rFonts w:eastAsia="仿宋_GB2312"/>
          <w:color w:val="auto"/>
          <w:sz w:val="24"/>
          <w:szCs w:val="24"/>
          <w:highlight w:val="none"/>
        </w:rPr>
      </w:pPr>
      <w:r>
        <w:rPr>
          <w:rFonts w:eastAsia="仿宋_GB2312"/>
          <w:color w:val="auto"/>
          <w:sz w:val="24"/>
          <w:szCs w:val="24"/>
          <w:highlight w:val="none"/>
        </w:rPr>
        <w:t>地  址：</w:t>
      </w:r>
      <w:r>
        <w:rPr>
          <w:rFonts w:eastAsia="仿宋_GB2312"/>
          <w:color w:val="auto"/>
          <w:sz w:val="24"/>
          <w:szCs w:val="24"/>
          <w:highlight w:val="none"/>
          <w:u w:val="single"/>
        </w:rPr>
        <w:t xml:space="preserve">     </w:t>
      </w:r>
      <w:r>
        <w:rPr>
          <w:rFonts w:hint="eastAsia" w:eastAsia="仿宋_GB2312"/>
          <w:color w:val="auto"/>
          <w:sz w:val="24"/>
          <w:szCs w:val="24"/>
          <w:highlight w:val="none"/>
        </w:rPr>
        <w:t xml:space="preserve"> </w:t>
      </w:r>
      <w:r>
        <w:rPr>
          <w:rFonts w:eastAsia="仿宋_GB2312"/>
          <w:color w:val="auto"/>
          <w:sz w:val="24"/>
          <w:szCs w:val="24"/>
          <w:highlight w:val="none"/>
        </w:rPr>
        <w:t>地  址：</w:t>
      </w:r>
      <w:r>
        <w:rPr>
          <w:rFonts w:eastAsia="仿宋_GB2312"/>
          <w:color w:val="auto"/>
          <w:sz w:val="24"/>
          <w:szCs w:val="24"/>
          <w:highlight w:val="none"/>
          <w:u w:val="single"/>
        </w:rPr>
        <w:t></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p>
    <w:p w14:paraId="61B71DC4">
      <w:pPr>
        <w:spacing w:line="360" w:lineRule="auto"/>
        <w:rPr>
          <w:rFonts w:eastAsia="仿宋_GB2312"/>
          <w:color w:val="auto"/>
          <w:sz w:val="24"/>
          <w:szCs w:val="24"/>
          <w:highlight w:val="none"/>
        </w:rPr>
      </w:pPr>
      <w:r>
        <w:rPr>
          <w:rFonts w:eastAsia="仿宋_GB2312"/>
          <w:color w:val="auto"/>
          <w:sz w:val="24"/>
          <w:szCs w:val="24"/>
          <w:highlight w:val="none"/>
        </w:rPr>
        <w:t>法定代表人(签字)：</w:t>
      </w:r>
      <w:r>
        <w:rPr>
          <w:rFonts w:eastAsia="仿宋_GB2312"/>
          <w:color w:val="auto"/>
          <w:sz w:val="24"/>
          <w:szCs w:val="24"/>
          <w:highlight w:val="none"/>
          <w:u w:val="single"/>
        </w:rPr>
        <w:t></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 xml:space="preserve"> 法定代表人(签字)：</w:t>
      </w:r>
      <w:r>
        <w:rPr>
          <w:rFonts w:eastAsia="仿宋_GB2312"/>
          <w:color w:val="auto"/>
          <w:sz w:val="24"/>
          <w:szCs w:val="24"/>
          <w:highlight w:val="none"/>
          <w:u w:val="single"/>
        </w:rPr>
        <w:t></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p>
    <w:p w14:paraId="7F805ADA">
      <w:pPr>
        <w:spacing w:line="360" w:lineRule="auto"/>
        <w:rPr>
          <w:rFonts w:eastAsia="仿宋_GB2312"/>
          <w:color w:val="auto"/>
          <w:sz w:val="24"/>
          <w:szCs w:val="24"/>
          <w:highlight w:val="none"/>
        </w:rPr>
      </w:pPr>
      <w:r>
        <w:rPr>
          <w:rFonts w:eastAsia="仿宋_GB2312"/>
          <w:color w:val="auto"/>
          <w:sz w:val="24"/>
          <w:szCs w:val="24"/>
          <w:highlight w:val="none"/>
        </w:rPr>
        <w:t>委托代理人(签字)：</w:t>
      </w:r>
      <w:r>
        <w:rPr>
          <w:rFonts w:eastAsia="仿宋_GB2312"/>
          <w:color w:val="auto"/>
          <w:sz w:val="24"/>
          <w:szCs w:val="24"/>
          <w:highlight w:val="none"/>
          <w:u w:val="single"/>
        </w:rPr>
        <w:t xml:space="preserve">      </w:t>
      </w:r>
      <w:r>
        <w:rPr>
          <w:rFonts w:eastAsia="仿宋_GB2312"/>
          <w:color w:val="auto"/>
          <w:sz w:val="24"/>
          <w:szCs w:val="24"/>
          <w:highlight w:val="none"/>
        </w:rPr>
        <w:t xml:space="preserve"> 委托代理人(签字)：</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p>
    <w:p w14:paraId="6381C0A7">
      <w:pPr>
        <w:spacing w:line="360" w:lineRule="auto"/>
        <w:rPr>
          <w:rFonts w:eastAsia="仿宋_GB2312"/>
          <w:color w:val="auto"/>
          <w:sz w:val="24"/>
          <w:szCs w:val="24"/>
          <w:highlight w:val="none"/>
        </w:rPr>
      </w:pPr>
      <w:r>
        <w:rPr>
          <w:rFonts w:eastAsia="仿宋_GB2312"/>
          <w:color w:val="auto"/>
          <w:sz w:val="24"/>
          <w:szCs w:val="24"/>
          <w:highlight w:val="none"/>
        </w:rPr>
        <w:t>电  话：</w:t>
      </w:r>
      <w:r>
        <w:rPr>
          <w:rFonts w:eastAsia="仿宋_GB2312"/>
          <w:color w:val="auto"/>
          <w:sz w:val="24"/>
          <w:szCs w:val="24"/>
          <w:highlight w:val="none"/>
          <w:u w:val="single"/>
        </w:rPr>
        <w:t xml:space="preserve">   </w:t>
      </w:r>
      <w:r>
        <w:rPr>
          <w:rFonts w:eastAsia="仿宋_GB2312"/>
          <w:color w:val="auto"/>
          <w:sz w:val="24"/>
          <w:szCs w:val="24"/>
          <w:highlight w:val="none"/>
        </w:rPr>
        <w:t xml:space="preserve"> 电  话：</w:t>
      </w:r>
      <w:r>
        <w:rPr>
          <w:rFonts w:eastAsia="仿宋_GB2312"/>
          <w:color w:val="auto"/>
          <w:sz w:val="24"/>
          <w:szCs w:val="24"/>
          <w:highlight w:val="none"/>
          <w:u w:val="single"/>
        </w:rPr>
        <w:t></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p>
    <w:p w14:paraId="44B81DAE">
      <w:pPr>
        <w:spacing w:line="360" w:lineRule="auto"/>
        <w:rPr>
          <w:rFonts w:eastAsia="仿宋_GB2312"/>
          <w:color w:val="auto"/>
          <w:sz w:val="24"/>
          <w:szCs w:val="24"/>
          <w:highlight w:val="none"/>
        </w:rPr>
      </w:pPr>
      <w:r>
        <w:rPr>
          <w:rFonts w:eastAsia="仿宋_GB2312"/>
          <w:color w:val="auto"/>
          <w:sz w:val="24"/>
          <w:szCs w:val="24"/>
          <w:highlight w:val="none"/>
        </w:rPr>
        <w:t>传  真：</w:t>
      </w:r>
      <w:r>
        <w:rPr>
          <w:rFonts w:eastAsia="仿宋_GB2312"/>
          <w:color w:val="auto"/>
          <w:sz w:val="24"/>
          <w:szCs w:val="24"/>
          <w:highlight w:val="none"/>
          <w:u w:val="single"/>
        </w:rPr>
        <w:t xml:space="preserve">   </w:t>
      </w:r>
      <w:r>
        <w:rPr>
          <w:rFonts w:eastAsia="仿宋_GB2312"/>
          <w:color w:val="auto"/>
          <w:sz w:val="24"/>
          <w:szCs w:val="24"/>
          <w:highlight w:val="none"/>
        </w:rPr>
        <w:t xml:space="preserve"> 传  真：</w:t>
      </w:r>
      <w:r>
        <w:rPr>
          <w:rFonts w:eastAsia="仿宋_GB2312"/>
          <w:color w:val="auto"/>
          <w:sz w:val="24"/>
          <w:szCs w:val="24"/>
          <w:highlight w:val="none"/>
          <w:u w:val="single"/>
        </w:rPr>
        <w:t></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p>
    <w:p w14:paraId="178F587A">
      <w:pPr>
        <w:spacing w:line="360" w:lineRule="auto"/>
        <w:rPr>
          <w:rFonts w:eastAsia="仿宋_GB2312"/>
          <w:color w:val="auto"/>
          <w:sz w:val="24"/>
          <w:szCs w:val="24"/>
          <w:highlight w:val="none"/>
        </w:rPr>
      </w:pPr>
      <w:r>
        <w:rPr>
          <w:rFonts w:eastAsia="仿宋_GB2312"/>
          <w:color w:val="auto"/>
          <w:sz w:val="24"/>
          <w:szCs w:val="24"/>
          <w:highlight w:val="none"/>
        </w:rPr>
        <w:t>开户银行：</w:t>
      </w:r>
      <w:r>
        <w:rPr>
          <w:rFonts w:eastAsia="仿宋_GB2312"/>
          <w:color w:val="auto"/>
          <w:sz w:val="24"/>
          <w:szCs w:val="24"/>
          <w:highlight w:val="none"/>
          <w:u w:val="single"/>
        </w:rPr>
        <w:t xml:space="preserve">   </w:t>
      </w:r>
      <w:r>
        <w:rPr>
          <w:rFonts w:eastAsia="仿宋_GB2312"/>
          <w:color w:val="auto"/>
          <w:sz w:val="24"/>
          <w:szCs w:val="24"/>
          <w:highlight w:val="none"/>
        </w:rPr>
        <w:t xml:space="preserve"> 开户银行：</w:t>
      </w:r>
      <w:r>
        <w:rPr>
          <w:rFonts w:eastAsia="仿宋_GB2312"/>
          <w:color w:val="auto"/>
          <w:sz w:val="24"/>
          <w:szCs w:val="24"/>
          <w:highlight w:val="none"/>
          <w:u w:val="single"/>
        </w:rPr>
        <w:t xml:space="preserve">   </w:t>
      </w:r>
    </w:p>
    <w:p w14:paraId="7BF4C73A">
      <w:pPr>
        <w:spacing w:line="360" w:lineRule="auto"/>
        <w:rPr>
          <w:rFonts w:eastAsia="仿宋_GB2312"/>
          <w:color w:val="auto"/>
          <w:sz w:val="24"/>
          <w:szCs w:val="24"/>
          <w:highlight w:val="none"/>
        </w:rPr>
      </w:pPr>
      <w:r>
        <w:rPr>
          <w:rFonts w:eastAsia="仿宋_GB2312"/>
          <w:color w:val="auto"/>
          <w:sz w:val="24"/>
          <w:szCs w:val="24"/>
          <w:highlight w:val="none"/>
        </w:rPr>
        <w:t>账  号：</w:t>
      </w:r>
      <w:r>
        <w:rPr>
          <w:rFonts w:eastAsia="仿宋_GB2312"/>
          <w:color w:val="auto"/>
          <w:sz w:val="24"/>
          <w:szCs w:val="24"/>
          <w:highlight w:val="none"/>
          <w:u w:val="single"/>
        </w:rPr>
        <w:t xml:space="preserve">       </w:t>
      </w:r>
      <w:r>
        <w:rPr>
          <w:rFonts w:hint="eastAsia" w:eastAsia="仿宋_GB2312"/>
          <w:color w:val="auto"/>
          <w:sz w:val="24"/>
          <w:szCs w:val="24"/>
          <w:highlight w:val="none"/>
        </w:rPr>
        <w:t xml:space="preserve">  </w:t>
      </w:r>
      <w:r>
        <w:rPr>
          <w:rFonts w:eastAsia="仿宋_GB2312"/>
          <w:color w:val="auto"/>
          <w:sz w:val="24"/>
          <w:szCs w:val="24"/>
          <w:highlight w:val="none"/>
        </w:rPr>
        <w:t>账</w:t>
      </w:r>
      <w:r>
        <w:rPr>
          <w:rFonts w:hint="eastAsia" w:eastAsia="仿宋_GB2312"/>
          <w:color w:val="auto"/>
          <w:sz w:val="24"/>
          <w:szCs w:val="24"/>
          <w:highlight w:val="none"/>
        </w:rPr>
        <w:t xml:space="preserve"> </w:t>
      </w:r>
      <w:r>
        <w:rPr>
          <w:rFonts w:eastAsia="仿宋_GB2312"/>
          <w:color w:val="auto"/>
          <w:sz w:val="24"/>
          <w:szCs w:val="24"/>
          <w:highlight w:val="none"/>
        </w:rPr>
        <w:t xml:space="preserve"> 号：</w:t>
      </w:r>
      <w:r>
        <w:rPr>
          <w:rFonts w:eastAsia="仿宋_GB2312"/>
          <w:color w:val="auto"/>
          <w:sz w:val="24"/>
          <w:szCs w:val="24"/>
          <w:highlight w:val="none"/>
          <w:u w:val="single"/>
        </w:rPr>
        <w:t></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p>
    <w:p w14:paraId="6A7E21D7">
      <w:pPr>
        <w:spacing w:line="360" w:lineRule="auto"/>
        <w:rPr>
          <w:rFonts w:eastAsia="仿宋_GB2312"/>
          <w:color w:val="auto"/>
          <w:sz w:val="24"/>
          <w:szCs w:val="24"/>
          <w:highlight w:val="none"/>
        </w:rPr>
      </w:pPr>
      <w:r>
        <w:rPr>
          <w:rFonts w:eastAsia="仿宋_GB2312"/>
          <w:color w:val="auto"/>
          <w:sz w:val="24"/>
          <w:szCs w:val="24"/>
          <w:highlight w:val="none"/>
        </w:rPr>
        <w:t>邮政编码：</w:t>
      </w:r>
      <w:r>
        <w:rPr>
          <w:rFonts w:eastAsia="仿宋_GB2312"/>
          <w:color w:val="auto"/>
          <w:sz w:val="24"/>
          <w:szCs w:val="24"/>
          <w:highlight w:val="none"/>
          <w:u w:val="single"/>
        </w:rPr>
        <w:t xml:space="preserve">     </w:t>
      </w:r>
      <w:r>
        <w:rPr>
          <w:rFonts w:eastAsia="仿宋_GB2312"/>
          <w:color w:val="auto"/>
          <w:sz w:val="24"/>
          <w:szCs w:val="24"/>
          <w:highlight w:val="none"/>
        </w:rPr>
        <w:t xml:space="preserve"> 邮政编码：</w:t>
      </w:r>
      <w:r>
        <w:rPr>
          <w:rFonts w:eastAsia="仿宋_GB2312"/>
          <w:color w:val="auto"/>
          <w:sz w:val="24"/>
          <w:szCs w:val="24"/>
          <w:highlight w:val="none"/>
          <w:u w:val="single"/>
        </w:rPr>
        <w:t xml:space="preserve">   </w:t>
      </w:r>
    </w:p>
    <w:p w14:paraId="471F6C02">
      <w:pPr>
        <w:spacing w:line="440" w:lineRule="exact"/>
        <w:rPr>
          <w:rFonts w:eastAsia="黑体"/>
          <w:color w:val="auto"/>
          <w:sz w:val="24"/>
          <w:szCs w:val="24"/>
          <w:highlight w:val="none"/>
        </w:rPr>
      </w:pPr>
      <w:r>
        <w:rPr>
          <w:rFonts w:eastAsia="仿宋_GB2312"/>
          <w:b/>
          <w:color w:val="auto"/>
          <w:sz w:val="24"/>
          <w:szCs w:val="24"/>
          <w:highlight w:val="none"/>
        </w:rPr>
        <w:br w:type="page"/>
      </w:r>
      <w:r>
        <w:rPr>
          <w:rFonts w:eastAsia="仿宋_GB2312"/>
          <w:color w:val="auto"/>
          <w:sz w:val="24"/>
          <w:szCs w:val="24"/>
          <w:highlight w:val="none"/>
        </w:rPr>
        <w:t>附</w:t>
      </w:r>
      <w:bookmarkStart w:id="1018" w:name="_Toc296503227"/>
      <w:bookmarkStart w:id="1019" w:name="_Toc296891055"/>
      <w:bookmarkStart w:id="1020" w:name="_Toc267261698"/>
      <w:bookmarkStart w:id="1021" w:name="_Toc296891267"/>
      <w:bookmarkStart w:id="1022" w:name="_Toc296346728"/>
      <w:bookmarkStart w:id="1023" w:name="_Toc296347226"/>
      <w:bookmarkStart w:id="1024" w:name="_Toc296944566"/>
      <w:r>
        <w:rPr>
          <w:rFonts w:eastAsia="仿宋_GB2312"/>
          <w:color w:val="auto"/>
          <w:sz w:val="24"/>
          <w:szCs w:val="24"/>
          <w:highlight w:val="none"/>
        </w:rPr>
        <w:t>件</w:t>
      </w:r>
      <w:r>
        <w:rPr>
          <w:rFonts w:hint="eastAsia" w:eastAsia="仿宋_GB2312"/>
          <w:color w:val="auto"/>
          <w:sz w:val="24"/>
          <w:szCs w:val="24"/>
          <w:highlight w:val="none"/>
        </w:rPr>
        <w:t>2</w:t>
      </w:r>
      <w:r>
        <w:rPr>
          <w:rFonts w:eastAsia="仿宋_GB2312"/>
          <w:color w:val="auto"/>
          <w:sz w:val="24"/>
          <w:szCs w:val="24"/>
          <w:highlight w:val="none"/>
        </w:rPr>
        <w:t>：</w:t>
      </w:r>
    </w:p>
    <w:bookmarkEnd w:id="1018"/>
    <w:bookmarkEnd w:id="1019"/>
    <w:bookmarkEnd w:id="1020"/>
    <w:bookmarkEnd w:id="1021"/>
    <w:bookmarkEnd w:id="1022"/>
    <w:bookmarkEnd w:id="1023"/>
    <w:bookmarkEnd w:id="1024"/>
    <w:p w14:paraId="52FEEAFA">
      <w:pPr>
        <w:spacing w:before="120" w:beforeLines="50" w:after="120" w:afterLines="50" w:line="440" w:lineRule="exact"/>
        <w:jc w:val="center"/>
        <w:rPr>
          <w:rFonts w:eastAsia="黑体"/>
          <w:color w:val="auto"/>
          <w:sz w:val="24"/>
          <w:szCs w:val="24"/>
          <w:highlight w:val="none"/>
        </w:rPr>
      </w:pPr>
      <w:r>
        <w:rPr>
          <w:rFonts w:eastAsia="黑体"/>
          <w:color w:val="auto"/>
          <w:sz w:val="24"/>
          <w:szCs w:val="24"/>
          <w:highlight w:val="none"/>
        </w:rPr>
        <w:t>承包人主要施工管理人员表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1F39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21A064B">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名    称</w:t>
            </w:r>
          </w:p>
        </w:tc>
        <w:tc>
          <w:tcPr>
            <w:tcW w:w="1418" w:type="dxa"/>
            <w:tcBorders>
              <w:top w:val="single" w:color="auto" w:sz="12" w:space="0"/>
              <w:bottom w:val="double" w:color="auto" w:sz="6" w:space="0"/>
            </w:tcBorders>
            <w:noWrap w:val="0"/>
            <w:vAlign w:val="center"/>
          </w:tcPr>
          <w:p w14:paraId="15926653">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姓名</w:t>
            </w:r>
          </w:p>
        </w:tc>
        <w:tc>
          <w:tcPr>
            <w:tcW w:w="1134" w:type="dxa"/>
            <w:tcBorders>
              <w:top w:val="single" w:color="auto" w:sz="12" w:space="0"/>
              <w:bottom w:val="double" w:color="auto" w:sz="6" w:space="0"/>
            </w:tcBorders>
            <w:noWrap w:val="0"/>
            <w:vAlign w:val="center"/>
          </w:tcPr>
          <w:p w14:paraId="6DBD08B1">
            <w:pPr>
              <w:pStyle w:val="9"/>
              <w:keepNext/>
              <w:spacing w:after="0" w:line="440" w:lineRule="exact"/>
              <w:ind w:left="63" w:right="63"/>
              <w:rPr>
                <w:rFonts w:ascii="Calibri" w:hAnsi="Calibri" w:eastAsia="仿宋_GB2312"/>
                <w:color w:val="auto"/>
                <w:kern w:val="2"/>
                <w:sz w:val="24"/>
                <w:szCs w:val="24"/>
                <w:highlight w:val="none"/>
              </w:rPr>
            </w:pPr>
            <w:r>
              <w:rPr>
                <w:rFonts w:ascii="Calibri" w:hAnsi="Calibri" w:eastAsia="仿宋_GB2312"/>
                <w:color w:val="auto"/>
                <w:kern w:val="2"/>
                <w:sz w:val="24"/>
                <w:szCs w:val="24"/>
                <w:highlight w:val="none"/>
              </w:rPr>
              <w:t>职务</w:t>
            </w:r>
          </w:p>
        </w:tc>
        <w:tc>
          <w:tcPr>
            <w:tcW w:w="1134" w:type="dxa"/>
            <w:tcBorders>
              <w:top w:val="single" w:color="auto" w:sz="12" w:space="0"/>
              <w:bottom w:val="double" w:color="auto" w:sz="6" w:space="0"/>
            </w:tcBorders>
            <w:noWrap w:val="0"/>
            <w:vAlign w:val="center"/>
          </w:tcPr>
          <w:p w14:paraId="2CFB7A22">
            <w:pPr>
              <w:pStyle w:val="9"/>
              <w:keepNext/>
              <w:spacing w:after="0" w:line="440" w:lineRule="exact"/>
              <w:ind w:left="63" w:right="63"/>
              <w:rPr>
                <w:rFonts w:ascii="Calibri" w:hAnsi="Calibri" w:eastAsia="仿宋_GB2312"/>
                <w:color w:val="auto"/>
                <w:kern w:val="2"/>
                <w:sz w:val="24"/>
                <w:szCs w:val="24"/>
                <w:highlight w:val="none"/>
              </w:rPr>
            </w:pPr>
            <w:r>
              <w:rPr>
                <w:rFonts w:ascii="Calibri" w:hAnsi="Calibri" w:eastAsia="仿宋_GB2312"/>
                <w:color w:val="auto"/>
                <w:kern w:val="2"/>
                <w:sz w:val="24"/>
                <w:szCs w:val="24"/>
                <w:highlight w:val="none"/>
              </w:rPr>
              <w:t>职称</w:t>
            </w:r>
          </w:p>
        </w:tc>
        <w:tc>
          <w:tcPr>
            <w:tcW w:w="4252" w:type="dxa"/>
            <w:tcBorders>
              <w:top w:val="single" w:color="auto" w:sz="12" w:space="0"/>
              <w:bottom w:val="double" w:color="auto" w:sz="6" w:space="0"/>
            </w:tcBorders>
            <w:noWrap w:val="0"/>
            <w:vAlign w:val="center"/>
          </w:tcPr>
          <w:p w14:paraId="4CA1CFAB">
            <w:pPr>
              <w:pStyle w:val="9"/>
              <w:keepNext/>
              <w:spacing w:after="0" w:line="440" w:lineRule="exact"/>
              <w:ind w:left="63" w:right="63"/>
              <w:rPr>
                <w:rFonts w:ascii="Calibri" w:hAnsi="Calibri" w:eastAsia="仿宋_GB2312"/>
                <w:color w:val="auto"/>
                <w:kern w:val="2"/>
                <w:sz w:val="24"/>
                <w:szCs w:val="24"/>
                <w:highlight w:val="none"/>
              </w:rPr>
            </w:pPr>
            <w:r>
              <w:rPr>
                <w:rFonts w:ascii="Calibri" w:hAnsi="Calibri" w:eastAsia="仿宋_GB2312"/>
                <w:color w:val="auto"/>
                <w:kern w:val="2"/>
                <w:sz w:val="24"/>
                <w:szCs w:val="24"/>
                <w:highlight w:val="none"/>
              </w:rPr>
              <w:t>主要资历、经验及承担过的项目</w:t>
            </w:r>
          </w:p>
        </w:tc>
      </w:tr>
      <w:tr w14:paraId="44309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7298E936">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一、总部人员</w:t>
            </w:r>
          </w:p>
        </w:tc>
      </w:tr>
      <w:tr w14:paraId="71161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1D02268">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项目主管</w:t>
            </w:r>
          </w:p>
        </w:tc>
        <w:tc>
          <w:tcPr>
            <w:tcW w:w="1418" w:type="dxa"/>
            <w:tcBorders>
              <w:top w:val="nil"/>
            </w:tcBorders>
            <w:noWrap w:val="0"/>
            <w:vAlign w:val="center"/>
          </w:tcPr>
          <w:p w14:paraId="7958EB03">
            <w:pPr>
              <w:pStyle w:val="9"/>
              <w:keepNext/>
              <w:spacing w:after="0" w:line="440" w:lineRule="exact"/>
              <w:ind w:left="63" w:right="63"/>
              <w:rPr>
                <w:rFonts w:ascii="Calibri" w:hAnsi="Calibri" w:eastAsia="仿宋_GB2312"/>
                <w:color w:val="auto"/>
                <w:kern w:val="2"/>
                <w:sz w:val="22"/>
                <w:szCs w:val="24"/>
                <w:highlight w:val="none"/>
              </w:rPr>
            </w:pPr>
          </w:p>
        </w:tc>
        <w:tc>
          <w:tcPr>
            <w:tcW w:w="1134" w:type="dxa"/>
            <w:tcBorders>
              <w:top w:val="nil"/>
            </w:tcBorders>
            <w:noWrap w:val="0"/>
            <w:vAlign w:val="center"/>
          </w:tcPr>
          <w:p w14:paraId="43F0B499">
            <w:pPr>
              <w:pStyle w:val="9"/>
              <w:keepNext/>
              <w:spacing w:after="0" w:line="440" w:lineRule="exact"/>
              <w:ind w:left="63" w:right="63"/>
              <w:rPr>
                <w:rFonts w:ascii="Calibri" w:hAnsi="Calibri" w:eastAsia="仿宋_GB2312"/>
                <w:color w:val="auto"/>
                <w:kern w:val="2"/>
                <w:sz w:val="24"/>
                <w:szCs w:val="24"/>
                <w:highlight w:val="none"/>
              </w:rPr>
            </w:pPr>
          </w:p>
        </w:tc>
        <w:tc>
          <w:tcPr>
            <w:tcW w:w="1134" w:type="dxa"/>
            <w:tcBorders>
              <w:top w:val="nil"/>
            </w:tcBorders>
            <w:noWrap w:val="0"/>
            <w:vAlign w:val="center"/>
          </w:tcPr>
          <w:p w14:paraId="36A4BC93">
            <w:pPr>
              <w:pStyle w:val="9"/>
              <w:keepNext/>
              <w:spacing w:after="0" w:line="440" w:lineRule="exact"/>
              <w:ind w:left="63" w:right="63"/>
              <w:rPr>
                <w:rFonts w:ascii="Calibri" w:hAnsi="Calibri" w:eastAsia="仿宋_GB2312"/>
                <w:color w:val="auto"/>
                <w:kern w:val="2"/>
                <w:sz w:val="24"/>
                <w:szCs w:val="24"/>
                <w:highlight w:val="none"/>
              </w:rPr>
            </w:pPr>
          </w:p>
        </w:tc>
        <w:tc>
          <w:tcPr>
            <w:tcW w:w="4252" w:type="dxa"/>
            <w:tcBorders>
              <w:top w:val="nil"/>
            </w:tcBorders>
            <w:noWrap w:val="0"/>
            <w:vAlign w:val="center"/>
          </w:tcPr>
          <w:p w14:paraId="0D276899">
            <w:pPr>
              <w:pStyle w:val="9"/>
              <w:keepNext/>
              <w:spacing w:after="0" w:line="440" w:lineRule="exact"/>
              <w:ind w:left="63" w:right="63"/>
              <w:rPr>
                <w:rFonts w:ascii="Calibri" w:hAnsi="Calibri" w:eastAsia="仿宋_GB2312"/>
                <w:color w:val="auto"/>
                <w:kern w:val="2"/>
                <w:sz w:val="24"/>
                <w:szCs w:val="24"/>
                <w:highlight w:val="none"/>
              </w:rPr>
            </w:pPr>
          </w:p>
        </w:tc>
      </w:tr>
      <w:tr w14:paraId="6AA19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45C17D6">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center"/>
          </w:tcPr>
          <w:p w14:paraId="4F257885">
            <w:pPr>
              <w:pStyle w:val="9"/>
              <w:keepNext/>
              <w:spacing w:after="0" w:line="440" w:lineRule="exact"/>
              <w:ind w:left="63" w:right="63"/>
              <w:rPr>
                <w:rFonts w:ascii="Calibri" w:hAnsi="Calibri" w:eastAsia="仿宋_GB2312"/>
                <w:color w:val="auto"/>
                <w:kern w:val="2"/>
                <w:sz w:val="22"/>
                <w:szCs w:val="24"/>
                <w:highlight w:val="none"/>
              </w:rPr>
            </w:pPr>
          </w:p>
        </w:tc>
        <w:tc>
          <w:tcPr>
            <w:tcW w:w="1134" w:type="dxa"/>
            <w:noWrap w:val="0"/>
            <w:vAlign w:val="center"/>
          </w:tcPr>
          <w:p w14:paraId="2C17CE9F">
            <w:pPr>
              <w:pStyle w:val="9"/>
              <w:keepNext/>
              <w:spacing w:after="0" w:line="440" w:lineRule="exact"/>
              <w:ind w:left="63" w:right="63"/>
              <w:rPr>
                <w:rFonts w:ascii="Calibri" w:hAnsi="Calibri" w:eastAsia="仿宋_GB2312"/>
                <w:color w:val="auto"/>
                <w:kern w:val="2"/>
                <w:sz w:val="24"/>
                <w:szCs w:val="24"/>
                <w:highlight w:val="none"/>
              </w:rPr>
            </w:pPr>
          </w:p>
        </w:tc>
        <w:tc>
          <w:tcPr>
            <w:tcW w:w="1134" w:type="dxa"/>
            <w:noWrap w:val="0"/>
            <w:vAlign w:val="center"/>
          </w:tcPr>
          <w:p w14:paraId="56459943">
            <w:pPr>
              <w:pStyle w:val="9"/>
              <w:keepNext/>
              <w:spacing w:after="0" w:line="440" w:lineRule="exact"/>
              <w:ind w:left="63" w:right="63"/>
              <w:rPr>
                <w:rFonts w:ascii="Calibri" w:hAnsi="Calibri" w:eastAsia="仿宋_GB2312"/>
                <w:color w:val="auto"/>
                <w:kern w:val="2"/>
                <w:sz w:val="24"/>
                <w:szCs w:val="24"/>
                <w:highlight w:val="none"/>
              </w:rPr>
            </w:pPr>
          </w:p>
        </w:tc>
        <w:tc>
          <w:tcPr>
            <w:tcW w:w="4252" w:type="dxa"/>
            <w:noWrap w:val="0"/>
            <w:vAlign w:val="center"/>
          </w:tcPr>
          <w:p w14:paraId="4595534E">
            <w:pPr>
              <w:pStyle w:val="9"/>
              <w:keepNext/>
              <w:spacing w:after="0" w:line="440" w:lineRule="exact"/>
              <w:ind w:left="63" w:right="63"/>
              <w:rPr>
                <w:rFonts w:ascii="Calibri" w:hAnsi="Calibri" w:eastAsia="仿宋_GB2312"/>
                <w:color w:val="auto"/>
                <w:kern w:val="2"/>
                <w:sz w:val="24"/>
                <w:szCs w:val="24"/>
                <w:highlight w:val="none"/>
              </w:rPr>
            </w:pPr>
          </w:p>
        </w:tc>
      </w:tr>
      <w:tr w14:paraId="29F91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878DD83">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其他人员</w:t>
            </w:r>
          </w:p>
        </w:tc>
        <w:tc>
          <w:tcPr>
            <w:tcW w:w="1418" w:type="dxa"/>
            <w:noWrap w:val="0"/>
            <w:vAlign w:val="center"/>
          </w:tcPr>
          <w:p w14:paraId="16B22DA0">
            <w:pPr>
              <w:pStyle w:val="9"/>
              <w:keepNext/>
              <w:spacing w:after="0" w:line="440" w:lineRule="exact"/>
              <w:ind w:left="63" w:right="63"/>
              <w:rPr>
                <w:rFonts w:ascii="Calibri" w:hAnsi="Calibri" w:eastAsia="仿宋_GB2312"/>
                <w:color w:val="auto"/>
                <w:kern w:val="2"/>
                <w:sz w:val="22"/>
                <w:szCs w:val="24"/>
                <w:highlight w:val="none"/>
              </w:rPr>
            </w:pPr>
          </w:p>
        </w:tc>
        <w:tc>
          <w:tcPr>
            <w:tcW w:w="1134" w:type="dxa"/>
            <w:noWrap w:val="0"/>
            <w:vAlign w:val="center"/>
          </w:tcPr>
          <w:p w14:paraId="02283D60">
            <w:pPr>
              <w:pStyle w:val="9"/>
              <w:keepNext/>
              <w:spacing w:after="0" w:line="440" w:lineRule="exact"/>
              <w:ind w:left="63" w:right="63"/>
              <w:rPr>
                <w:rFonts w:ascii="Calibri" w:hAnsi="Calibri" w:eastAsia="仿宋_GB2312"/>
                <w:color w:val="auto"/>
                <w:kern w:val="2"/>
                <w:sz w:val="24"/>
                <w:szCs w:val="24"/>
                <w:highlight w:val="none"/>
              </w:rPr>
            </w:pPr>
          </w:p>
        </w:tc>
        <w:tc>
          <w:tcPr>
            <w:tcW w:w="1134" w:type="dxa"/>
            <w:noWrap w:val="0"/>
            <w:vAlign w:val="center"/>
          </w:tcPr>
          <w:p w14:paraId="2770074B">
            <w:pPr>
              <w:pStyle w:val="9"/>
              <w:keepNext/>
              <w:spacing w:after="0" w:line="440" w:lineRule="exact"/>
              <w:ind w:left="63" w:right="63"/>
              <w:rPr>
                <w:rFonts w:ascii="Calibri" w:hAnsi="Calibri" w:eastAsia="仿宋_GB2312"/>
                <w:color w:val="auto"/>
                <w:kern w:val="2"/>
                <w:sz w:val="24"/>
                <w:szCs w:val="24"/>
                <w:highlight w:val="none"/>
              </w:rPr>
            </w:pPr>
          </w:p>
        </w:tc>
        <w:tc>
          <w:tcPr>
            <w:tcW w:w="4252" w:type="dxa"/>
            <w:noWrap w:val="0"/>
            <w:vAlign w:val="center"/>
          </w:tcPr>
          <w:p w14:paraId="1F843212">
            <w:pPr>
              <w:pStyle w:val="9"/>
              <w:keepNext/>
              <w:spacing w:after="0" w:line="440" w:lineRule="exact"/>
              <w:ind w:left="63" w:right="63"/>
              <w:rPr>
                <w:rFonts w:ascii="Calibri" w:hAnsi="Calibri" w:eastAsia="仿宋_GB2312"/>
                <w:color w:val="auto"/>
                <w:kern w:val="2"/>
                <w:sz w:val="24"/>
                <w:szCs w:val="24"/>
                <w:highlight w:val="none"/>
              </w:rPr>
            </w:pPr>
          </w:p>
        </w:tc>
      </w:tr>
      <w:tr w14:paraId="5B7E4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84F094A">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center"/>
          </w:tcPr>
          <w:p w14:paraId="41C207E5">
            <w:pPr>
              <w:pStyle w:val="9"/>
              <w:keepNext/>
              <w:spacing w:after="0" w:line="440" w:lineRule="exact"/>
              <w:ind w:left="63" w:right="63"/>
              <w:rPr>
                <w:rFonts w:ascii="Calibri" w:hAnsi="Calibri" w:eastAsia="仿宋_GB2312"/>
                <w:color w:val="auto"/>
                <w:kern w:val="2"/>
                <w:sz w:val="22"/>
                <w:szCs w:val="24"/>
                <w:highlight w:val="none"/>
              </w:rPr>
            </w:pPr>
          </w:p>
        </w:tc>
        <w:tc>
          <w:tcPr>
            <w:tcW w:w="1134" w:type="dxa"/>
            <w:noWrap w:val="0"/>
            <w:vAlign w:val="center"/>
          </w:tcPr>
          <w:p w14:paraId="6E531712">
            <w:pPr>
              <w:pStyle w:val="9"/>
              <w:keepNext/>
              <w:spacing w:after="0" w:line="440" w:lineRule="exact"/>
              <w:ind w:left="63" w:right="63"/>
              <w:rPr>
                <w:rFonts w:ascii="Calibri" w:hAnsi="Calibri" w:eastAsia="仿宋_GB2312"/>
                <w:color w:val="auto"/>
                <w:kern w:val="2"/>
                <w:sz w:val="24"/>
                <w:szCs w:val="24"/>
                <w:highlight w:val="none"/>
              </w:rPr>
            </w:pPr>
          </w:p>
        </w:tc>
        <w:tc>
          <w:tcPr>
            <w:tcW w:w="1134" w:type="dxa"/>
            <w:noWrap w:val="0"/>
            <w:vAlign w:val="center"/>
          </w:tcPr>
          <w:p w14:paraId="004084A4">
            <w:pPr>
              <w:pStyle w:val="9"/>
              <w:keepNext/>
              <w:spacing w:after="0" w:line="440" w:lineRule="exact"/>
              <w:ind w:left="63" w:right="63"/>
              <w:rPr>
                <w:rFonts w:ascii="Calibri" w:hAnsi="Calibri" w:eastAsia="仿宋_GB2312"/>
                <w:color w:val="auto"/>
                <w:kern w:val="2"/>
                <w:sz w:val="24"/>
                <w:szCs w:val="24"/>
                <w:highlight w:val="none"/>
              </w:rPr>
            </w:pPr>
          </w:p>
        </w:tc>
        <w:tc>
          <w:tcPr>
            <w:tcW w:w="4252" w:type="dxa"/>
            <w:noWrap w:val="0"/>
            <w:vAlign w:val="center"/>
          </w:tcPr>
          <w:p w14:paraId="744838D2">
            <w:pPr>
              <w:pStyle w:val="9"/>
              <w:keepNext/>
              <w:spacing w:after="0" w:line="440" w:lineRule="exact"/>
              <w:ind w:left="63" w:right="63"/>
              <w:rPr>
                <w:rFonts w:ascii="Calibri" w:hAnsi="Calibri" w:eastAsia="仿宋_GB2312"/>
                <w:color w:val="auto"/>
                <w:kern w:val="2"/>
                <w:sz w:val="24"/>
                <w:szCs w:val="24"/>
                <w:highlight w:val="none"/>
              </w:rPr>
            </w:pPr>
          </w:p>
        </w:tc>
      </w:tr>
      <w:tr w14:paraId="5F815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57CCAB26">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二、现场人员</w:t>
            </w:r>
          </w:p>
        </w:tc>
      </w:tr>
      <w:tr w14:paraId="65DD4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4DA4C48">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项目经理</w:t>
            </w:r>
          </w:p>
        </w:tc>
        <w:tc>
          <w:tcPr>
            <w:tcW w:w="1418" w:type="dxa"/>
            <w:noWrap w:val="0"/>
            <w:vAlign w:val="center"/>
          </w:tcPr>
          <w:p w14:paraId="1D3F645B">
            <w:pPr>
              <w:pStyle w:val="9"/>
              <w:keepNext/>
              <w:spacing w:after="0" w:line="440" w:lineRule="exact"/>
              <w:ind w:left="63" w:right="63"/>
              <w:rPr>
                <w:rFonts w:ascii="Calibri" w:hAnsi="Calibri" w:eastAsia="仿宋_GB2312"/>
                <w:color w:val="auto"/>
                <w:kern w:val="2"/>
                <w:sz w:val="22"/>
                <w:szCs w:val="24"/>
                <w:highlight w:val="none"/>
              </w:rPr>
            </w:pPr>
          </w:p>
        </w:tc>
        <w:tc>
          <w:tcPr>
            <w:tcW w:w="1134" w:type="dxa"/>
            <w:noWrap w:val="0"/>
            <w:vAlign w:val="center"/>
          </w:tcPr>
          <w:p w14:paraId="6D1C9B8D">
            <w:pPr>
              <w:pStyle w:val="9"/>
              <w:keepNext/>
              <w:spacing w:after="0" w:line="440" w:lineRule="exact"/>
              <w:ind w:left="63" w:right="63"/>
              <w:rPr>
                <w:rFonts w:ascii="Calibri" w:hAnsi="Calibri" w:eastAsia="仿宋_GB2312"/>
                <w:color w:val="auto"/>
                <w:kern w:val="2"/>
                <w:sz w:val="24"/>
                <w:szCs w:val="24"/>
                <w:highlight w:val="none"/>
              </w:rPr>
            </w:pPr>
          </w:p>
        </w:tc>
        <w:tc>
          <w:tcPr>
            <w:tcW w:w="1134" w:type="dxa"/>
            <w:noWrap w:val="0"/>
            <w:vAlign w:val="center"/>
          </w:tcPr>
          <w:p w14:paraId="20D83861">
            <w:pPr>
              <w:pStyle w:val="9"/>
              <w:keepNext/>
              <w:spacing w:after="0" w:line="440" w:lineRule="exact"/>
              <w:ind w:left="63" w:right="63"/>
              <w:rPr>
                <w:rFonts w:ascii="Calibri" w:hAnsi="Calibri" w:eastAsia="仿宋_GB2312"/>
                <w:color w:val="auto"/>
                <w:kern w:val="2"/>
                <w:sz w:val="24"/>
                <w:szCs w:val="24"/>
                <w:highlight w:val="none"/>
              </w:rPr>
            </w:pPr>
          </w:p>
        </w:tc>
        <w:tc>
          <w:tcPr>
            <w:tcW w:w="4252" w:type="dxa"/>
            <w:noWrap w:val="0"/>
            <w:vAlign w:val="center"/>
          </w:tcPr>
          <w:p w14:paraId="77F45869">
            <w:pPr>
              <w:pStyle w:val="9"/>
              <w:keepNext/>
              <w:spacing w:after="0" w:line="440" w:lineRule="exact"/>
              <w:ind w:left="63" w:right="63"/>
              <w:rPr>
                <w:rFonts w:ascii="Calibri" w:hAnsi="Calibri" w:eastAsia="仿宋_GB2312"/>
                <w:color w:val="auto"/>
                <w:kern w:val="2"/>
                <w:sz w:val="24"/>
                <w:szCs w:val="24"/>
                <w:highlight w:val="none"/>
              </w:rPr>
            </w:pPr>
          </w:p>
        </w:tc>
      </w:tr>
      <w:tr w14:paraId="02305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9E53FDA">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项目副经理</w:t>
            </w:r>
          </w:p>
        </w:tc>
        <w:tc>
          <w:tcPr>
            <w:tcW w:w="1418" w:type="dxa"/>
            <w:noWrap w:val="0"/>
            <w:vAlign w:val="center"/>
          </w:tcPr>
          <w:p w14:paraId="2C5F6D96">
            <w:pPr>
              <w:pStyle w:val="9"/>
              <w:keepNext/>
              <w:spacing w:after="0" w:line="440" w:lineRule="exact"/>
              <w:ind w:left="63" w:right="63"/>
              <w:rPr>
                <w:rFonts w:ascii="Calibri" w:hAnsi="Calibri" w:eastAsia="仿宋_GB2312"/>
                <w:color w:val="auto"/>
                <w:kern w:val="2"/>
                <w:sz w:val="22"/>
                <w:szCs w:val="24"/>
                <w:highlight w:val="none"/>
              </w:rPr>
            </w:pPr>
          </w:p>
        </w:tc>
        <w:tc>
          <w:tcPr>
            <w:tcW w:w="1134" w:type="dxa"/>
            <w:noWrap w:val="0"/>
            <w:vAlign w:val="center"/>
          </w:tcPr>
          <w:p w14:paraId="003AED99">
            <w:pPr>
              <w:pStyle w:val="9"/>
              <w:keepNext/>
              <w:spacing w:after="0" w:line="440" w:lineRule="exact"/>
              <w:ind w:left="63" w:right="63"/>
              <w:rPr>
                <w:rFonts w:ascii="Calibri" w:hAnsi="Calibri" w:eastAsia="仿宋_GB2312"/>
                <w:color w:val="auto"/>
                <w:kern w:val="2"/>
                <w:sz w:val="24"/>
                <w:szCs w:val="24"/>
                <w:highlight w:val="none"/>
              </w:rPr>
            </w:pPr>
          </w:p>
        </w:tc>
        <w:tc>
          <w:tcPr>
            <w:tcW w:w="1134" w:type="dxa"/>
            <w:noWrap w:val="0"/>
            <w:vAlign w:val="center"/>
          </w:tcPr>
          <w:p w14:paraId="737C093C">
            <w:pPr>
              <w:pStyle w:val="9"/>
              <w:keepNext/>
              <w:spacing w:after="0" w:line="440" w:lineRule="exact"/>
              <w:ind w:left="63" w:right="63"/>
              <w:rPr>
                <w:rFonts w:ascii="Calibri" w:hAnsi="Calibri" w:eastAsia="仿宋_GB2312"/>
                <w:color w:val="auto"/>
                <w:kern w:val="2"/>
                <w:sz w:val="24"/>
                <w:szCs w:val="24"/>
                <w:highlight w:val="none"/>
              </w:rPr>
            </w:pPr>
          </w:p>
        </w:tc>
        <w:tc>
          <w:tcPr>
            <w:tcW w:w="4252" w:type="dxa"/>
            <w:noWrap w:val="0"/>
            <w:vAlign w:val="center"/>
          </w:tcPr>
          <w:p w14:paraId="678A403C">
            <w:pPr>
              <w:pStyle w:val="9"/>
              <w:keepNext/>
              <w:spacing w:after="0" w:line="440" w:lineRule="exact"/>
              <w:ind w:left="63" w:right="63"/>
              <w:rPr>
                <w:rFonts w:ascii="Calibri" w:hAnsi="Calibri" w:eastAsia="仿宋_GB2312"/>
                <w:color w:val="auto"/>
                <w:kern w:val="2"/>
                <w:sz w:val="24"/>
                <w:szCs w:val="24"/>
                <w:highlight w:val="none"/>
              </w:rPr>
            </w:pPr>
          </w:p>
        </w:tc>
      </w:tr>
      <w:tr w14:paraId="48041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4F4F3DE">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技术负责人</w:t>
            </w:r>
          </w:p>
        </w:tc>
        <w:tc>
          <w:tcPr>
            <w:tcW w:w="1418" w:type="dxa"/>
            <w:noWrap w:val="0"/>
            <w:vAlign w:val="center"/>
          </w:tcPr>
          <w:p w14:paraId="4E4E7380">
            <w:pPr>
              <w:pStyle w:val="9"/>
              <w:keepNext/>
              <w:spacing w:after="0" w:line="440" w:lineRule="exact"/>
              <w:ind w:left="63" w:right="63"/>
              <w:rPr>
                <w:rFonts w:ascii="Calibri" w:hAnsi="Calibri" w:eastAsia="仿宋_GB2312"/>
                <w:color w:val="auto"/>
                <w:kern w:val="2"/>
                <w:sz w:val="22"/>
                <w:szCs w:val="24"/>
                <w:highlight w:val="none"/>
              </w:rPr>
            </w:pPr>
          </w:p>
        </w:tc>
        <w:tc>
          <w:tcPr>
            <w:tcW w:w="1134" w:type="dxa"/>
            <w:noWrap w:val="0"/>
            <w:vAlign w:val="center"/>
          </w:tcPr>
          <w:p w14:paraId="05E1607B">
            <w:pPr>
              <w:pStyle w:val="9"/>
              <w:keepNext/>
              <w:spacing w:after="0" w:line="440" w:lineRule="exact"/>
              <w:ind w:left="63" w:right="63"/>
              <w:rPr>
                <w:rFonts w:ascii="Calibri" w:hAnsi="Calibri" w:eastAsia="仿宋_GB2312"/>
                <w:color w:val="auto"/>
                <w:kern w:val="2"/>
                <w:sz w:val="24"/>
                <w:szCs w:val="24"/>
                <w:highlight w:val="none"/>
              </w:rPr>
            </w:pPr>
          </w:p>
        </w:tc>
        <w:tc>
          <w:tcPr>
            <w:tcW w:w="1134" w:type="dxa"/>
            <w:noWrap w:val="0"/>
            <w:vAlign w:val="center"/>
          </w:tcPr>
          <w:p w14:paraId="31F001D5">
            <w:pPr>
              <w:pStyle w:val="9"/>
              <w:keepNext/>
              <w:spacing w:after="0" w:line="440" w:lineRule="exact"/>
              <w:ind w:left="63" w:right="63"/>
              <w:rPr>
                <w:rFonts w:ascii="Calibri" w:hAnsi="Calibri" w:eastAsia="仿宋_GB2312"/>
                <w:color w:val="auto"/>
                <w:kern w:val="2"/>
                <w:sz w:val="24"/>
                <w:szCs w:val="24"/>
                <w:highlight w:val="none"/>
              </w:rPr>
            </w:pPr>
          </w:p>
        </w:tc>
        <w:tc>
          <w:tcPr>
            <w:tcW w:w="4252" w:type="dxa"/>
            <w:noWrap w:val="0"/>
            <w:vAlign w:val="center"/>
          </w:tcPr>
          <w:p w14:paraId="6F976BCA">
            <w:pPr>
              <w:pStyle w:val="9"/>
              <w:keepNext/>
              <w:spacing w:after="0" w:line="440" w:lineRule="exact"/>
              <w:ind w:left="63" w:right="63"/>
              <w:rPr>
                <w:rFonts w:ascii="Calibri" w:hAnsi="Calibri" w:eastAsia="仿宋_GB2312"/>
                <w:color w:val="auto"/>
                <w:kern w:val="2"/>
                <w:sz w:val="24"/>
                <w:szCs w:val="24"/>
                <w:highlight w:val="none"/>
              </w:rPr>
            </w:pPr>
          </w:p>
        </w:tc>
      </w:tr>
      <w:tr w14:paraId="7F302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CF22CE1">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造价管理</w:t>
            </w:r>
          </w:p>
        </w:tc>
        <w:tc>
          <w:tcPr>
            <w:tcW w:w="1418" w:type="dxa"/>
            <w:noWrap w:val="0"/>
            <w:vAlign w:val="center"/>
          </w:tcPr>
          <w:p w14:paraId="5C5D3871">
            <w:pPr>
              <w:pStyle w:val="9"/>
              <w:keepNext/>
              <w:spacing w:after="0" w:line="440" w:lineRule="exact"/>
              <w:ind w:left="63" w:right="63"/>
              <w:rPr>
                <w:rFonts w:ascii="Calibri" w:hAnsi="Calibri" w:eastAsia="仿宋_GB2312"/>
                <w:color w:val="auto"/>
                <w:kern w:val="2"/>
                <w:sz w:val="22"/>
                <w:szCs w:val="24"/>
                <w:highlight w:val="none"/>
              </w:rPr>
            </w:pPr>
          </w:p>
        </w:tc>
        <w:tc>
          <w:tcPr>
            <w:tcW w:w="1134" w:type="dxa"/>
            <w:noWrap w:val="0"/>
            <w:vAlign w:val="center"/>
          </w:tcPr>
          <w:p w14:paraId="6AAF98DE">
            <w:pPr>
              <w:pStyle w:val="9"/>
              <w:keepNext/>
              <w:spacing w:after="0" w:line="440" w:lineRule="exact"/>
              <w:ind w:left="63" w:right="63"/>
              <w:rPr>
                <w:rFonts w:ascii="Calibri" w:hAnsi="Calibri" w:eastAsia="仿宋_GB2312"/>
                <w:color w:val="auto"/>
                <w:kern w:val="2"/>
                <w:sz w:val="24"/>
                <w:szCs w:val="24"/>
                <w:highlight w:val="none"/>
              </w:rPr>
            </w:pPr>
          </w:p>
        </w:tc>
        <w:tc>
          <w:tcPr>
            <w:tcW w:w="1134" w:type="dxa"/>
            <w:noWrap w:val="0"/>
            <w:vAlign w:val="center"/>
          </w:tcPr>
          <w:p w14:paraId="72442599">
            <w:pPr>
              <w:pStyle w:val="9"/>
              <w:keepNext/>
              <w:spacing w:after="0" w:line="440" w:lineRule="exact"/>
              <w:ind w:left="63" w:right="63"/>
              <w:rPr>
                <w:rFonts w:ascii="Calibri" w:hAnsi="Calibri" w:eastAsia="仿宋_GB2312"/>
                <w:color w:val="auto"/>
                <w:kern w:val="2"/>
                <w:sz w:val="24"/>
                <w:szCs w:val="24"/>
                <w:highlight w:val="none"/>
              </w:rPr>
            </w:pPr>
          </w:p>
        </w:tc>
        <w:tc>
          <w:tcPr>
            <w:tcW w:w="4252" w:type="dxa"/>
            <w:noWrap w:val="0"/>
            <w:vAlign w:val="center"/>
          </w:tcPr>
          <w:p w14:paraId="30326FE6">
            <w:pPr>
              <w:pStyle w:val="9"/>
              <w:keepNext/>
              <w:spacing w:after="0" w:line="440" w:lineRule="exact"/>
              <w:ind w:left="63" w:right="63"/>
              <w:rPr>
                <w:rFonts w:ascii="Calibri" w:hAnsi="Calibri" w:eastAsia="仿宋_GB2312"/>
                <w:color w:val="auto"/>
                <w:kern w:val="2"/>
                <w:sz w:val="24"/>
                <w:szCs w:val="24"/>
                <w:highlight w:val="none"/>
              </w:rPr>
            </w:pPr>
          </w:p>
        </w:tc>
      </w:tr>
      <w:tr w14:paraId="65AEF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CE25B9A">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质量管理</w:t>
            </w:r>
          </w:p>
        </w:tc>
        <w:tc>
          <w:tcPr>
            <w:tcW w:w="1418" w:type="dxa"/>
            <w:noWrap w:val="0"/>
            <w:vAlign w:val="center"/>
          </w:tcPr>
          <w:p w14:paraId="570B6D21">
            <w:pPr>
              <w:pStyle w:val="9"/>
              <w:keepNext/>
              <w:spacing w:after="0" w:line="440" w:lineRule="exact"/>
              <w:ind w:left="63" w:right="63"/>
              <w:rPr>
                <w:rFonts w:ascii="Calibri" w:hAnsi="Calibri" w:eastAsia="仿宋_GB2312"/>
                <w:color w:val="auto"/>
                <w:kern w:val="2"/>
                <w:sz w:val="22"/>
                <w:szCs w:val="24"/>
                <w:highlight w:val="none"/>
              </w:rPr>
            </w:pPr>
          </w:p>
        </w:tc>
        <w:tc>
          <w:tcPr>
            <w:tcW w:w="1134" w:type="dxa"/>
            <w:noWrap w:val="0"/>
            <w:vAlign w:val="center"/>
          </w:tcPr>
          <w:p w14:paraId="27BC6C00">
            <w:pPr>
              <w:pStyle w:val="9"/>
              <w:keepNext/>
              <w:spacing w:after="0" w:line="440" w:lineRule="exact"/>
              <w:ind w:left="63" w:right="63"/>
              <w:rPr>
                <w:rFonts w:ascii="Calibri" w:hAnsi="Calibri" w:eastAsia="仿宋_GB2312"/>
                <w:color w:val="auto"/>
                <w:kern w:val="2"/>
                <w:sz w:val="24"/>
                <w:szCs w:val="24"/>
                <w:highlight w:val="none"/>
              </w:rPr>
            </w:pPr>
          </w:p>
        </w:tc>
        <w:tc>
          <w:tcPr>
            <w:tcW w:w="1134" w:type="dxa"/>
            <w:noWrap w:val="0"/>
            <w:vAlign w:val="center"/>
          </w:tcPr>
          <w:p w14:paraId="37922737">
            <w:pPr>
              <w:pStyle w:val="9"/>
              <w:keepNext/>
              <w:spacing w:after="0" w:line="440" w:lineRule="exact"/>
              <w:ind w:left="63" w:right="63"/>
              <w:rPr>
                <w:rFonts w:ascii="Calibri" w:hAnsi="Calibri" w:eastAsia="仿宋_GB2312"/>
                <w:color w:val="auto"/>
                <w:kern w:val="2"/>
                <w:sz w:val="24"/>
                <w:szCs w:val="24"/>
                <w:highlight w:val="none"/>
              </w:rPr>
            </w:pPr>
          </w:p>
        </w:tc>
        <w:tc>
          <w:tcPr>
            <w:tcW w:w="4252" w:type="dxa"/>
            <w:noWrap w:val="0"/>
            <w:vAlign w:val="center"/>
          </w:tcPr>
          <w:p w14:paraId="557852F8">
            <w:pPr>
              <w:pStyle w:val="9"/>
              <w:keepNext/>
              <w:spacing w:after="0" w:line="440" w:lineRule="exact"/>
              <w:ind w:left="63" w:right="63"/>
              <w:rPr>
                <w:rFonts w:ascii="Calibri" w:hAnsi="Calibri" w:eastAsia="仿宋_GB2312"/>
                <w:color w:val="auto"/>
                <w:kern w:val="2"/>
                <w:sz w:val="24"/>
                <w:szCs w:val="24"/>
                <w:highlight w:val="none"/>
              </w:rPr>
            </w:pPr>
          </w:p>
        </w:tc>
      </w:tr>
      <w:tr w14:paraId="5C403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FE6AF4F">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材料管理</w:t>
            </w:r>
          </w:p>
        </w:tc>
        <w:tc>
          <w:tcPr>
            <w:tcW w:w="1418" w:type="dxa"/>
            <w:noWrap w:val="0"/>
            <w:vAlign w:val="center"/>
          </w:tcPr>
          <w:p w14:paraId="63B124E0">
            <w:pPr>
              <w:pStyle w:val="9"/>
              <w:keepNext/>
              <w:spacing w:after="0" w:line="440" w:lineRule="exact"/>
              <w:ind w:left="63" w:right="63"/>
              <w:rPr>
                <w:rFonts w:ascii="Calibri" w:hAnsi="Calibri" w:eastAsia="仿宋_GB2312"/>
                <w:color w:val="auto"/>
                <w:kern w:val="2"/>
                <w:sz w:val="22"/>
                <w:szCs w:val="24"/>
                <w:highlight w:val="none"/>
              </w:rPr>
            </w:pPr>
          </w:p>
        </w:tc>
        <w:tc>
          <w:tcPr>
            <w:tcW w:w="1134" w:type="dxa"/>
            <w:noWrap w:val="0"/>
            <w:vAlign w:val="center"/>
          </w:tcPr>
          <w:p w14:paraId="2EEA23A8">
            <w:pPr>
              <w:pStyle w:val="9"/>
              <w:keepNext/>
              <w:spacing w:after="0" w:line="440" w:lineRule="exact"/>
              <w:ind w:left="63" w:right="63"/>
              <w:rPr>
                <w:rFonts w:ascii="Calibri" w:hAnsi="Calibri" w:eastAsia="仿宋_GB2312"/>
                <w:color w:val="auto"/>
                <w:kern w:val="2"/>
                <w:sz w:val="24"/>
                <w:szCs w:val="24"/>
                <w:highlight w:val="none"/>
              </w:rPr>
            </w:pPr>
          </w:p>
        </w:tc>
        <w:tc>
          <w:tcPr>
            <w:tcW w:w="1134" w:type="dxa"/>
            <w:noWrap w:val="0"/>
            <w:vAlign w:val="center"/>
          </w:tcPr>
          <w:p w14:paraId="031AFA2E">
            <w:pPr>
              <w:pStyle w:val="9"/>
              <w:keepNext/>
              <w:spacing w:after="0" w:line="440" w:lineRule="exact"/>
              <w:ind w:left="63" w:right="63"/>
              <w:rPr>
                <w:rFonts w:ascii="Calibri" w:hAnsi="Calibri" w:eastAsia="仿宋_GB2312"/>
                <w:color w:val="auto"/>
                <w:kern w:val="2"/>
                <w:sz w:val="24"/>
                <w:szCs w:val="24"/>
                <w:highlight w:val="none"/>
              </w:rPr>
            </w:pPr>
          </w:p>
        </w:tc>
        <w:tc>
          <w:tcPr>
            <w:tcW w:w="4252" w:type="dxa"/>
            <w:noWrap w:val="0"/>
            <w:vAlign w:val="center"/>
          </w:tcPr>
          <w:p w14:paraId="4C154422">
            <w:pPr>
              <w:pStyle w:val="9"/>
              <w:keepNext/>
              <w:spacing w:after="0" w:line="440" w:lineRule="exact"/>
              <w:ind w:left="63" w:right="63"/>
              <w:rPr>
                <w:rFonts w:ascii="Calibri" w:hAnsi="Calibri" w:eastAsia="仿宋_GB2312"/>
                <w:color w:val="auto"/>
                <w:kern w:val="2"/>
                <w:sz w:val="24"/>
                <w:szCs w:val="24"/>
                <w:highlight w:val="none"/>
              </w:rPr>
            </w:pPr>
          </w:p>
        </w:tc>
      </w:tr>
      <w:tr w14:paraId="07B51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77B8455">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计划管理</w:t>
            </w:r>
          </w:p>
        </w:tc>
        <w:tc>
          <w:tcPr>
            <w:tcW w:w="1418" w:type="dxa"/>
            <w:noWrap w:val="0"/>
            <w:vAlign w:val="center"/>
          </w:tcPr>
          <w:p w14:paraId="395DC61A">
            <w:pPr>
              <w:pStyle w:val="9"/>
              <w:keepNext/>
              <w:spacing w:after="0" w:line="440" w:lineRule="exact"/>
              <w:ind w:left="63" w:right="63"/>
              <w:rPr>
                <w:rFonts w:ascii="Calibri" w:hAnsi="Calibri" w:eastAsia="仿宋_GB2312"/>
                <w:color w:val="auto"/>
                <w:kern w:val="2"/>
                <w:sz w:val="22"/>
                <w:szCs w:val="24"/>
                <w:highlight w:val="none"/>
              </w:rPr>
            </w:pPr>
          </w:p>
        </w:tc>
        <w:tc>
          <w:tcPr>
            <w:tcW w:w="1134" w:type="dxa"/>
            <w:noWrap w:val="0"/>
            <w:vAlign w:val="center"/>
          </w:tcPr>
          <w:p w14:paraId="3FBF850D">
            <w:pPr>
              <w:pStyle w:val="9"/>
              <w:keepNext/>
              <w:spacing w:after="0" w:line="440" w:lineRule="exact"/>
              <w:ind w:left="63" w:right="63"/>
              <w:rPr>
                <w:rFonts w:ascii="Calibri" w:hAnsi="Calibri" w:eastAsia="仿宋_GB2312"/>
                <w:color w:val="auto"/>
                <w:kern w:val="2"/>
                <w:sz w:val="24"/>
                <w:szCs w:val="24"/>
                <w:highlight w:val="none"/>
              </w:rPr>
            </w:pPr>
          </w:p>
        </w:tc>
        <w:tc>
          <w:tcPr>
            <w:tcW w:w="1134" w:type="dxa"/>
            <w:noWrap w:val="0"/>
            <w:vAlign w:val="center"/>
          </w:tcPr>
          <w:p w14:paraId="63A6A181">
            <w:pPr>
              <w:pStyle w:val="9"/>
              <w:keepNext/>
              <w:spacing w:after="0" w:line="440" w:lineRule="exact"/>
              <w:ind w:left="63" w:right="63"/>
              <w:rPr>
                <w:rFonts w:ascii="Calibri" w:hAnsi="Calibri" w:eastAsia="仿宋_GB2312"/>
                <w:color w:val="auto"/>
                <w:kern w:val="2"/>
                <w:sz w:val="24"/>
                <w:szCs w:val="24"/>
                <w:highlight w:val="none"/>
              </w:rPr>
            </w:pPr>
          </w:p>
        </w:tc>
        <w:tc>
          <w:tcPr>
            <w:tcW w:w="4252" w:type="dxa"/>
            <w:noWrap w:val="0"/>
            <w:vAlign w:val="center"/>
          </w:tcPr>
          <w:p w14:paraId="741DDAC6">
            <w:pPr>
              <w:pStyle w:val="9"/>
              <w:keepNext/>
              <w:spacing w:after="0" w:line="440" w:lineRule="exact"/>
              <w:ind w:left="63" w:right="63"/>
              <w:rPr>
                <w:rFonts w:ascii="Calibri" w:hAnsi="Calibri" w:eastAsia="仿宋_GB2312"/>
                <w:color w:val="auto"/>
                <w:kern w:val="2"/>
                <w:sz w:val="24"/>
                <w:szCs w:val="24"/>
                <w:highlight w:val="none"/>
              </w:rPr>
            </w:pPr>
          </w:p>
        </w:tc>
      </w:tr>
      <w:tr w14:paraId="58F1A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7CE111D">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安全管理</w:t>
            </w:r>
          </w:p>
        </w:tc>
        <w:tc>
          <w:tcPr>
            <w:tcW w:w="1418" w:type="dxa"/>
            <w:noWrap w:val="0"/>
            <w:vAlign w:val="center"/>
          </w:tcPr>
          <w:p w14:paraId="326A2673">
            <w:pPr>
              <w:pStyle w:val="9"/>
              <w:keepNext/>
              <w:spacing w:after="0" w:line="440" w:lineRule="exact"/>
              <w:ind w:left="63" w:right="63"/>
              <w:rPr>
                <w:rFonts w:ascii="Calibri" w:hAnsi="Calibri" w:eastAsia="仿宋_GB2312"/>
                <w:color w:val="auto"/>
                <w:kern w:val="2"/>
                <w:sz w:val="22"/>
                <w:szCs w:val="24"/>
                <w:highlight w:val="none"/>
              </w:rPr>
            </w:pPr>
          </w:p>
        </w:tc>
        <w:tc>
          <w:tcPr>
            <w:tcW w:w="1134" w:type="dxa"/>
            <w:noWrap w:val="0"/>
            <w:vAlign w:val="center"/>
          </w:tcPr>
          <w:p w14:paraId="33C17400">
            <w:pPr>
              <w:pStyle w:val="9"/>
              <w:keepNext/>
              <w:spacing w:after="0" w:line="440" w:lineRule="exact"/>
              <w:ind w:left="63" w:right="63"/>
              <w:rPr>
                <w:rFonts w:ascii="Calibri" w:hAnsi="Calibri" w:eastAsia="仿宋_GB2312"/>
                <w:color w:val="auto"/>
                <w:kern w:val="2"/>
                <w:sz w:val="24"/>
                <w:szCs w:val="24"/>
                <w:highlight w:val="none"/>
              </w:rPr>
            </w:pPr>
          </w:p>
        </w:tc>
        <w:tc>
          <w:tcPr>
            <w:tcW w:w="1134" w:type="dxa"/>
            <w:noWrap w:val="0"/>
            <w:vAlign w:val="center"/>
          </w:tcPr>
          <w:p w14:paraId="61B82526">
            <w:pPr>
              <w:pStyle w:val="9"/>
              <w:keepNext/>
              <w:spacing w:after="0" w:line="440" w:lineRule="exact"/>
              <w:ind w:left="63" w:right="63"/>
              <w:rPr>
                <w:rFonts w:ascii="Calibri" w:hAnsi="Calibri" w:eastAsia="仿宋_GB2312"/>
                <w:color w:val="auto"/>
                <w:kern w:val="2"/>
                <w:sz w:val="24"/>
                <w:szCs w:val="24"/>
                <w:highlight w:val="none"/>
              </w:rPr>
            </w:pPr>
          </w:p>
        </w:tc>
        <w:tc>
          <w:tcPr>
            <w:tcW w:w="4252" w:type="dxa"/>
            <w:noWrap w:val="0"/>
            <w:vAlign w:val="center"/>
          </w:tcPr>
          <w:p w14:paraId="7FF95180">
            <w:pPr>
              <w:pStyle w:val="9"/>
              <w:keepNext/>
              <w:spacing w:after="0" w:line="440" w:lineRule="exact"/>
              <w:ind w:left="63" w:right="63"/>
              <w:rPr>
                <w:rFonts w:ascii="Calibri" w:hAnsi="Calibri" w:eastAsia="仿宋_GB2312"/>
                <w:color w:val="auto"/>
                <w:kern w:val="2"/>
                <w:sz w:val="24"/>
                <w:szCs w:val="24"/>
                <w:highlight w:val="none"/>
              </w:rPr>
            </w:pPr>
          </w:p>
        </w:tc>
      </w:tr>
      <w:tr w14:paraId="524DA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672224A7">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其他人员</w:t>
            </w:r>
          </w:p>
        </w:tc>
        <w:tc>
          <w:tcPr>
            <w:tcW w:w="1418" w:type="dxa"/>
            <w:noWrap w:val="0"/>
            <w:vAlign w:val="center"/>
          </w:tcPr>
          <w:p w14:paraId="1913ABCC">
            <w:pPr>
              <w:pStyle w:val="9"/>
              <w:keepNext/>
              <w:spacing w:after="0" w:line="440" w:lineRule="exact"/>
              <w:ind w:left="63" w:right="63"/>
              <w:rPr>
                <w:rFonts w:ascii="Calibri" w:hAnsi="Calibri" w:eastAsia="仿宋_GB2312"/>
                <w:color w:val="auto"/>
                <w:kern w:val="2"/>
                <w:sz w:val="22"/>
                <w:szCs w:val="24"/>
                <w:highlight w:val="none"/>
              </w:rPr>
            </w:pPr>
          </w:p>
        </w:tc>
        <w:tc>
          <w:tcPr>
            <w:tcW w:w="1134" w:type="dxa"/>
            <w:noWrap w:val="0"/>
            <w:vAlign w:val="center"/>
          </w:tcPr>
          <w:p w14:paraId="7EE4F9B8">
            <w:pPr>
              <w:pStyle w:val="9"/>
              <w:keepNext/>
              <w:spacing w:after="0" w:line="440" w:lineRule="exact"/>
              <w:ind w:left="63" w:right="63"/>
              <w:rPr>
                <w:rFonts w:ascii="Calibri" w:hAnsi="Calibri" w:eastAsia="仿宋_GB2312"/>
                <w:color w:val="auto"/>
                <w:kern w:val="2"/>
                <w:sz w:val="24"/>
                <w:szCs w:val="24"/>
                <w:highlight w:val="none"/>
              </w:rPr>
            </w:pPr>
          </w:p>
        </w:tc>
        <w:tc>
          <w:tcPr>
            <w:tcW w:w="1134" w:type="dxa"/>
            <w:noWrap w:val="0"/>
            <w:vAlign w:val="center"/>
          </w:tcPr>
          <w:p w14:paraId="5C8B95DC">
            <w:pPr>
              <w:pStyle w:val="9"/>
              <w:keepNext/>
              <w:spacing w:after="0" w:line="440" w:lineRule="exact"/>
              <w:ind w:left="63" w:right="63"/>
              <w:rPr>
                <w:rFonts w:ascii="Calibri" w:hAnsi="Calibri" w:eastAsia="仿宋_GB2312"/>
                <w:color w:val="auto"/>
                <w:kern w:val="2"/>
                <w:sz w:val="24"/>
                <w:szCs w:val="24"/>
                <w:highlight w:val="none"/>
              </w:rPr>
            </w:pPr>
          </w:p>
        </w:tc>
        <w:tc>
          <w:tcPr>
            <w:tcW w:w="4252" w:type="dxa"/>
            <w:noWrap w:val="0"/>
            <w:vAlign w:val="center"/>
          </w:tcPr>
          <w:p w14:paraId="6CA4D362">
            <w:pPr>
              <w:pStyle w:val="9"/>
              <w:keepNext/>
              <w:spacing w:after="0" w:line="440" w:lineRule="exact"/>
              <w:ind w:left="63" w:right="63"/>
              <w:rPr>
                <w:rFonts w:ascii="Calibri" w:hAnsi="Calibri" w:eastAsia="仿宋_GB2312"/>
                <w:color w:val="auto"/>
                <w:kern w:val="2"/>
                <w:sz w:val="24"/>
                <w:szCs w:val="24"/>
                <w:highlight w:val="none"/>
              </w:rPr>
            </w:pPr>
          </w:p>
        </w:tc>
      </w:tr>
      <w:tr w14:paraId="3C23F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4D6D82F">
            <w:pPr>
              <w:pStyle w:val="9"/>
              <w:keepNext/>
              <w:spacing w:after="0" w:line="440" w:lineRule="exact"/>
              <w:ind w:left="63" w:right="63"/>
              <w:rPr>
                <w:rFonts w:ascii="Calibri" w:hAnsi="Calibri" w:eastAsia="仿宋_GB2312"/>
                <w:color w:val="auto"/>
                <w:kern w:val="2"/>
                <w:sz w:val="22"/>
                <w:szCs w:val="24"/>
                <w:highlight w:val="none"/>
              </w:rPr>
            </w:pPr>
          </w:p>
        </w:tc>
        <w:tc>
          <w:tcPr>
            <w:tcW w:w="1418" w:type="dxa"/>
            <w:tcBorders>
              <w:bottom w:val="nil"/>
            </w:tcBorders>
            <w:noWrap w:val="0"/>
            <w:vAlign w:val="center"/>
          </w:tcPr>
          <w:p w14:paraId="7EEF8E40">
            <w:pPr>
              <w:pStyle w:val="9"/>
              <w:keepNext/>
              <w:spacing w:after="0" w:line="440" w:lineRule="exact"/>
              <w:ind w:left="63" w:right="63"/>
              <w:rPr>
                <w:rFonts w:ascii="Calibri" w:hAnsi="Calibri" w:eastAsia="仿宋_GB2312"/>
                <w:color w:val="auto"/>
                <w:kern w:val="2"/>
                <w:sz w:val="22"/>
                <w:szCs w:val="24"/>
                <w:highlight w:val="none"/>
              </w:rPr>
            </w:pPr>
          </w:p>
        </w:tc>
        <w:tc>
          <w:tcPr>
            <w:tcW w:w="1134" w:type="dxa"/>
            <w:tcBorders>
              <w:bottom w:val="nil"/>
            </w:tcBorders>
            <w:noWrap w:val="0"/>
            <w:vAlign w:val="center"/>
          </w:tcPr>
          <w:p w14:paraId="519836FC">
            <w:pPr>
              <w:pStyle w:val="9"/>
              <w:keepNext/>
              <w:spacing w:after="0" w:line="440" w:lineRule="exact"/>
              <w:ind w:left="63" w:right="63"/>
              <w:rPr>
                <w:rFonts w:ascii="Calibri" w:hAnsi="Calibri" w:eastAsia="仿宋_GB2312"/>
                <w:color w:val="auto"/>
                <w:kern w:val="2"/>
                <w:sz w:val="24"/>
                <w:szCs w:val="24"/>
                <w:highlight w:val="none"/>
              </w:rPr>
            </w:pPr>
          </w:p>
        </w:tc>
        <w:tc>
          <w:tcPr>
            <w:tcW w:w="1134" w:type="dxa"/>
            <w:tcBorders>
              <w:bottom w:val="nil"/>
            </w:tcBorders>
            <w:noWrap w:val="0"/>
            <w:vAlign w:val="center"/>
          </w:tcPr>
          <w:p w14:paraId="20C2245F">
            <w:pPr>
              <w:pStyle w:val="9"/>
              <w:keepNext/>
              <w:spacing w:after="0" w:line="440" w:lineRule="exact"/>
              <w:ind w:left="63" w:right="63"/>
              <w:rPr>
                <w:rFonts w:ascii="Calibri" w:hAnsi="Calibri" w:eastAsia="仿宋_GB2312"/>
                <w:color w:val="auto"/>
                <w:kern w:val="2"/>
                <w:sz w:val="24"/>
                <w:szCs w:val="24"/>
                <w:highlight w:val="none"/>
              </w:rPr>
            </w:pPr>
          </w:p>
        </w:tc>
        <w:tc>
          <w:tcPr>
            <w:tcW w:w="4252" w:type="dxa"/>
            <w:tcBorders>
              <w:bottom w:val="nil"/>
            </w:tcBorders>
            <w:noWrap w:val="0"/>
            <w:vAlign w:val="center"/>
          </w:tcPr>
          <w:p w14:paraId="0B1E85EF">
            <w:pPr>
              <w:pStyle w:val="9"/>
              <w:keepNext/>
              <w:spacing w:after="0" w:line="440" w:lineRule="exact"/>
              <w:ind w:left="63" w:right="63"/>
              <w:rPr>
                <w:rFonts w:ascii="Calibri" w:hAnsi="Calibri" w:eastAsia="仿宋_GB2312"/>
                <w:color w:val="auto"/>
                <w:kern w:val="2"/>
                <w:sz w:val="24"/>
                <w:szCs w:val="24"/>
                <w:highlight w:val="none"/>
              </w:rPr>
            </w:pPr>
          </w:p>
        </w:tc>
      </w:tr>
      <w:tr w14:paraId="0E457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0D769FB">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center"/>
          </w:tcPr>
          <w:p w14:paraId="601B1AF3">
            <w:pPr>
              <w:pStyle w:val="9"/>
              <w:keepNext/>
              <w:spacing w:after="0" w:line="440" w:lineRule="exact"/>
              <w:ind w:left="63" w:right="63"/>
              <w:rPr>
                <w:rFonts w:ascii="Calibri" w:hAnsi="Calibri" w:eastAsia="仿宋_GB2312"/>
                <w:color w:val="auto"/>
                <w:kern w:val="2"/>
                <w:sz w:val="22"/>
                <w:szCs w:val="24"/>
                <w:highlight w:val="none"/>
              </w:rPr>
            </w:pPr>
          </w:p>
        </w:tc>
        <w:tc>
          <w:tcPr>
            <w:tcW w:w="1134" w:type="dxa"/>
            <w:noWrap w:val="0"/>
            <w:vAlign w:val="center"/>
          </w:tcPr>
          <w:p w14:paraId="131F93DF">
            <w:pPr>
              <w:pStyle w:val="9"/>
              <w:keepNext/>
              <w:spacing w:after="0" w:line="440" w:lineRule="exact"/>
              <w:ind w:left="63" w:right="63"/>
              <w:rPr>
                <w:rFonts w:ascii="Calibri" w:hAnsi="Calibri" w:eastAsia="仿宋_GB2312"/>
                <w:color w:val="auto"/>
                <w:kern w:val="2"/>
                <w:sz w:val="24"/>
                <w:szCs w:val="24"/>
                <w:highlight w:val="none"/>
              </w:rPr>
            </w:pPr>
          </w:p>
        </w:tc>
        <w:tc>
          <w:tcPr>
            <w:tcW w:w="1134" w:type="dxa"/>
            <w:noWrap w:val="0"/>
            <w:vAlign w:val="center"/>
          </w:tcPr>
          <w:p w14:paraId="0B26F3A8">
            <w:pPr>
              <w:pStyle w:val="9"/>
              <w:keepNext/>
              <w:spacing w:after="0" w:line="440" w:lineRule="exact"/>
              <w:ind w:left="63" w:right="63"/>
              <w:rPr>
                <w:rFonts w:ascii="Calibri" w:hAnsi="Calibri" w:eastAsia="仿宋_GB2312"/>
                <w:color w:val="auto"/>
                <w:kern w:val="2"/>
                <w:sz w:val="24"/>
                <w:szCs w:val="24"/>
                <w:highlight w:val="none"/>
              </w:rPr>
            </w:pPr>
          </w:p>
        </w:tc>
        <w:tc>
          <w:tcPr>
            <w:tcW w:w="4252" w:type="dxa"/>
            <w:noWrap w:val="0"/>
            <w:vAlign w:val="center"/>
          </w:tcPr>
          <w:p w14:paraId="178DB70D">
            <w:pPr>
              <w:pStyle w:val="9"/>
              <w:keepNext/>
              <w:spacing w:after="0" w:line="440" w:lineRule="exact"/>
              <w:ind w:left="63" w:right="63"/>
              <w:rPr>
                <w:rFonts w:ascii="Calibri" w:hAnsi="Calibri" w:eastAsia="仿宋_GB2312"/>
                <w:color w:val="auto"/>
                <w:kern w:val="2"/>
                <w:sz w:val="24"/>
                <w:szCs w:val="24"/>
                <w:highlight w:val="none"/>
              </w:rPr>
            </w:pPr>
          </w:p>
        </w:tc>
      </w:tr>
      <w:tr w14:paraId="03F31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E129536">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center"/>
          </w:tcPr>
          <w:p w14:paraId="5BB2FBDD">
            <w:pPr>
              <w:pStyle w:val="9"/>
              <w:keepNext/>
              <w:spacing w:after="0" w:line="440" w:lineRule="exact"/>
              <w:ind w:left="63" w:right="63"/>
              <w:rPr>
                <w:rFonts w:ascii="Calibri" w:hAnsi="Calibri" w:eastAsia="仿宋_GB2312"/>
                <w:color w:val="auto"/>
                <w:kern w:val="2"/>
                <w:sz w:val="22"/>
                <w:szCs w:val="24"/>
                <w:highlight w:val="none"/>
              </w:rPr>
            </w:pPr>
          </w:p>
        </w:tc>
        <w:tc>
          <w:tcPr>
            <w:tcW w:w="1134" w:type="dxa"/>
            <w:noWrap w:val="0"/>
            <w:vAlign w:val="center"/>
          </w:tcPr>
          <w:p w14:paraId="3D6C0538">
            <w:pPr>
              <w:pStyle w:val="9"/>
              <w:keepNext/>
              <w:spacing w:after="0" w:line="440" w:lineRule="exact"/>
              <w:ind w:left="63" w:right="63"/>
              <w:rPr>
                <w:rFonts w:ascii="Calibri" w:hAnsi="Calibri" w:eastAsia="仿宋_GB2312"/>
                <w:color w:val="auto"/>
                <w:kern w:val="2"/>
                <w:sz w:val="24"/>
                <w:szCs w:val="24"/>
                <w:highlight w:val="none"/>
              </w:rPr>
            </w:pPr>
          </w:p>
        </w:tc>
        <w:tc>
          <w:tcPr>
            <w:tcW w:w="1134" w:type="dxa"/>
            <w:noWrap w:val="0"/>
            <w:vAlign w:val="center"/>
          </w:tcPr>
          <w:p w14:paraId="13E29E3B">
            <w:pPr>
              <w:pStyle w:val="9"/>
              <w:keepNext/>
              <w:spacing w:after="0" w:line="440" w:lineRule="exact"/>
              <w:ind w:left="63" w:right="63"/>
              <w:rPr>
                <w:rFonts w:ascii="Calibri" w:hAnsi="Calibri" w:eastAsia="仿宋_GB2312"/>
                <w:color w:val="auto"/>
                <w:kern w:val="2"/>
                <w:sz w:val="24"/>
                <w:szCs w:val="24"/>
                <w:highlight w:val="none"/>
              </w:rPr>
            </w:pPr>
          </w:p>
        </w:tc>
        <w:tc>
          <w:tcPr>
            <w:tcW w:w="4252" w:type="dxa"/>
            <w:noWrap w:val="0"/>
            <w:vAlign w:val="center"/>
          </w:tcPr>
          <w:p w14:paraId="78A69BB4">
            <w:pPr>
              <w:pStyle w:val="9"/>
              <w:keepNext/>
              <w:spacing w:after="0" w:line="440" w:lineRule="exact"/>
              <w:ind w:left="63" w:right="63"/>
              <w:rPr>
                <w:rFonts w:ascii="Calibri" w:hAnsi="Calibri" w:eastAsia="仿宋_GB2312"/>
                <w:color w:val="auto"/>
                <w:kern w:val="2"/>
                <w:sz w:val="24"/>
                <w:szCs w:val="24"/>
                <w:highlight w:val="none"/>
              </w:rPr>
            </w:pPr>
          </w:p>
        </w:tc>
      </w:tr>
      <w:tr w14:paraId="4F488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055E80B">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center"/>
          </w:tcPr>
          <w:p w14:paraId="40967F52">
            <w:pPr>
              <w:pStyle w:val="9"/>
              <w:keepNext/>
              <w:spacing w:after="0" w:line="440" w:lineRule="exact"/>
              <w:ind w:left="63" w:right="63"/>
              <w:rPr>
                <w:rFonts w:ascii="Calibri" w:hAnsi="Calibri" w:eastAsia="仿宋_GB2312"/>
                <w:color w:val="auto"/>
                <w:kern w:val="2"/>
                <w:sz w:val="22"/>
                <w:szCs w:val="24"/>
                <w:highlight w:val="none"/>
              </w:rPr>
            </w:pPr>
          </w:p>
        </w:tc>
        <w:tc>
          <w:tcPr>
            <w:tcW w:w="1134" w:type="dxa"/>
            <w:noWrap w:val="0"/>
            <w:vAlign w:val="center"/>
          </w:tcPr>
          <w:p w14:paraId="03423F1C">
            <w:pPr>
              <w:pStyle w:val="9"/>
              <w:keepNext/>
              <w:spacing w:after="0" w:line="440" w:lineRule="exact"/>
              <w:ind w:left="63" w:right="63"/>
              <w:rPr>
                <w:rFonts w:ascii="Calibri" w:hAnsi="Calibri" w:eastAsia="仿宋_GB2312"/>
                <w:color w:val="auto"/>
                <w:kern w:val="2"/>
                <w:sz w:val="24"/>
                <w:szCs w:val="24"/>
                <w:highlight w:val="none"/>
              </w:rPr>
            </w:pPr>
          </w:p>
        </w:tc>
        <w:tc>
          <w:tcPr>
            <w:tcW w:w="1134" w:type="dxa"/>
            <w:noWrap w:val="0"/>
            <w:vAlign w:val="center"/>
          </w:tcPr>
          <w:p w14:paraId="4504FC54">
            <w:pPr>
              <w:pStyle w:val="9"/>
              <w:keepNext/>
              <w:spacing w:after="0" w:line="440" w:lineRule="exact"/>
              <w:ind w:left="63" w:right="63"/>
              <w:rPr>
                <w:rFonts w:ascii="Calibri" w:hAnsi="Calibri" w:eastAsia="仿宋_GB2312"/>
                <w:color w:val="auto"/>
                <w:kern w:val="2"/>
                <w:sz w:val="24"/>
                <w:szCs w:val="24"/>
                <w:highlight w:val="none"/>
              </w:rPr>
            </w:pPr>
          </w:p>
        </w:tc>
        <w:tc>
          <w:tcPr>
            <w:tcW w:w="4252" w:type="dxa"/>
            <w:noWrap w:val="0"/>
            <w:vAlign w:val="center"/>
          </w:tcPr>
          <w:p w14:paraId="6A3CC149">
            <w:pPr>
              <w:pStyle w:val="9"/>
              <w:keepNext/>
              <w:spacing w:after="0" w:line="440" w:lineRule="exact"/>
              <w:ind w:left="63" w:right="63"/>
              <w:rPr>
                <w:rFonts w:ascii="Calibri" w:hAnsi="Calibri" w:eastAsia="仿宋_GB2312"/>
                <w:color w:val="auto"/>
                <w:kern w:val="2"/>
                <w:sz w:val="24"/>
                <w:szCs w:val="24"/>
                <w:highlight w:val="none"/>
              </w:rPr>
            </w:pPr>
          </w:p>
        </w:tc>
      </w:tr>
      <w:tr w14:paraId="14862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D102290">
            <w:pPr>
              <w:pStyle w:val="9"/>
              <w:keepNext/>
              <w:spacing w:after="0" w:line="440" w:lineRule="exact"/>
              <w:ind w:left="63" w:right="63"/>
              <w:rPr>
                <w:rFonts w:ascii="Calibri" w:hAnsi="Calibri" w:eastAsia="仿宋_GB2312"/>
                <w:color w:val="auto"/>
                <w:kern w:val="2"/>
                <w:sz w:val="22"/>
                <w:szCs w:val="24"/>
                <w:highlight w:val="none"/>
              </w:rPr>
            </w:pPr>
          </w:p>
        </w:tc>
        <w:tc>
          <w:tcPr>
            <w:tcW w:w="1418" w:type="dxa"/>
            <w:tcBorders>
              <w:bottom w:val="single" w:color="auto" w:sz="12" w:space="0"/>
            </w:tcBorders>
            <w:noWrap w:val="0"/>
            <w:vAlign w:val="center"/>
          </w:tcPr>
          <w:p w14:paraId="61CF0CEB">
            <w:pPr>
              <w:pStyle w:val="9"/>
              <w:keepNext/>
              <w:spacing w:after="0" w:line="440" w:lineRule="exact"/>
              <w:ind w:left="63" w:right="63"/>
              <w:rPr>
                <w:rFonts w:ascii="Calibri" w:hAnsi="Calibri" w:eastAsia="仿宋_GB2312"/>
                <w:color w:val="auto"/>
                <w:kern w:val="2"/>
                <w:sz w:val="22"/>
                <w:szCs w:val="24"/>
                <w:highlight w:val="none"/>
              </w:rPr>
            </w:pPr>
          </w:p>
        </w:tc>
        <w:tc>
          <w:tcPr>
            <w:tcW w:w="1134" w:type="dxa"/>
            <w:tcBorders>
              <w:bottom w:val="single" w:color="auto" w:sz="12" w:space="0"/>
            </w:tcBorders>
            <w:noWrap w:val="0"/>
            <w:vAlign w:val="center"/>
          </w:tcPr>
          <w:p w14:paraId="55EDDA84">
            <w:pPr>
              <w:pStyle w:val="9"/>
              <w:keepNext/>
              <w:spacing w:after="0" w:line="440" w:lineRule="exact"/>
              <w:ind w:left="63" w:right="63"/>
              <w:rPr>
                <w:rFonts w:ascii="Calibri" w:hAnsi="Calibri" w:eastAsia="仿宋_GB2312"/>
                <w:color w:val="auto"/>
                <w:kern w:val="2"/>
                <w:sz w:val="24"/>
                <w:szCs w:val="24"/>
                <w:highlight w:val="none"/>
              </w:rPr>
            </w:pPr>
          </w:p>
        </w:tc>
        <w:tc>
          <w:tcPr>
            <w:tcW w:w="1134" w:type="dxa"/>
            <w:tcBorders>
              <w:bottom w:val="single" w:color="auto" w:sz="12" w:space="0"/>
            </w:tcBorders>
            <w:noWrap w:val="0"/>
            <w:vAlign w:val="center"/>
          </w:tcPr>
          <w:p w14:paraId="77BF86E8">
            <w:pPr>
              <w:pStyle w:val="9"/>
              <w:keepNext/>
              <w:spacing w:after="0" w:line="440" w:lineRule="exact"/>
              <w:ind w:left="63" w:right="63"/>
              <w:rPr>
                <w:rFonts w:ascii="Calibri" w:hAnsi="Calibri" w:eastAsia="仿宋_GB2312"/>
                <w:color w:val="auto"/>
                <w:kern w:val="2"/>
                <w:sz w:val="24"/>
                <w:szCs w:val="24"/>
                <w:highlight w:val="none"/>
              </w:rPr>
            </w:pPr>
          </w:p>
        </w:tc>
        <w:tc>
          <w:tcPr>
            <w:tcW w:w="4252" w:type="dxa"/>
            <w:tcBorders>
              <w:bottom w:val="single" w:color="auto" w:sz="12" w:space="0"/>
            </w:tcBorders>
            <w:noWrap w:val="0"/>
            <w:vAlign w:val="center"/>
          </w:tcPr>
          <w:p w14:paraId="011FA173">
            <w:pPr>
              <w:pStyle w:val="9"/>
              <w:keepNext/>
              <w:spacing w:after="0" w:line="440" w:lineRule="exact"/>
              <w:ind w:left="63" w:right="63"/>
              <w:rPr>
                <w:rFonts w:ascii="Calibri" w:hAnsi="Calibri" w:eastAsia="仿宋_GB2312"/>
                <w:color w:val="auto"/>
                <w:kern w:val="2"/>
                <w:sz w:val="24"/>
                <w:szCs w:val="24"/>
                <w:highlight w:val="none"/>
              </w:rPr>
            </w:pPr>
          </w:p>
        </w:tc>
      </w:tr>
    </w:tbl>
    <w:p w14:paraId="0F5A91C9">
      <w:pPr>
        <w:spacing w:line="440" w:lineRule="exact"/>
        <w:rPr>
          <w:rFonts w:eastAsia="黑体"/>
          <w:color w:val="auto"/>
          <w:sz w:val="24"/>
          <w:szCs w:val="24"/>
          <w:highlight w:val="none"/>
        </w:rPr>
      </w:pPr>
      <w:r>
        <w:rPr>
          <w:rFonts w:eastAsia="仿宋_GB2312"/>
          <w:color w:val="auto"/>
          <w:sz w:val="24"/>
          <w:szCs w:val="24"/>
          <w:highlight w:val="none"/>
        </w:rPr>
        <w:br w:type="page"/>
      </w:r>
      <w:r>
        <w:rPr>
          <w:rFonts w:eastAsia="仿宋_GB2312"/>
          <w:color w:val="auto"/>
          <w:sz w:val="24"/>
          <w:szCs w:val="24"/>
          <w:highlight w:val="none"/>
        </w:rPr>
        <w:t>附</w:t>
      </w:r>
      <w:bookmarkStart w:id="1025" w:name="_Toc296891057"/>
      <w:bookmarkStart w:id="1026" w:name="_Toc296346730"/>
      <w:bookmarkStart w:id="1027" w:name="_Toc296944568"/>
      <w:bookmarkStart w:id="1028" w:name="_Toc296347228"/>
      <w:bookmarkStart w:id="1029" w:name="_Toc296503229"/>
      <w:bookmarkStart w:id="1030" w:name="_Toc296891269"/>
      <w:r>
        <w:rPr>
          <w:rFonts w:eastAsia="仿宋_GB2312"/>
          <w:color w:val="auto"/>
          <w:sz w:val="24"/>
          <w:szCs w:val="24"/>
          <w:highlight w:val="none"/>
        </w:rPr>
        <w:t>件</w:t>
      </w:r>
      <w:r>
        <w:rPr>
          <w:rFonts w:hint="eastAsia" w:eastAsia="仿宋_GB2312"/>
          <w:color w:val="auto"/>
          <w:sz w:val="24"/>
          <w:szCs w:val="24"/>
          <w:highlight w:val="none"/>
        </w:rPr>
        <w:t>3</w:t>
      </w:r>
      <w:r>
        <w:rPr>
          <w:rFonts w:eastAsia="仿宋_GB2312"/>
          <w:color w:val="auto"/>
          <w:sz w:val="24"/>
          <w:szCs w:val="24"/>
          <w:highlight w:val="none"/>
        </w:rPr>
        <w:t>：</w:t>
      </w:r>
    </w:p>
    <w:bookmarkEnd w:id="1025"/>
    <w:bookmarkEnd w:id="1026"/>
    <w:bookmarkEnd w:id="1027"/>
    <w:bookmarkEnd w:id="1028"/>
    <w:bookmarkEnd w:id="1029"/>
    <w:bookmarkEnd w:id="1030"/>
    <w:p w14:paraId="2AF30E38">
      <w:pPr>
        <w:spacing w:before="120" w:beforeLines="50" w:after="120" w:afterLines="50" w:line="440" w:lineRule="exact"/>
        <w:jc w:val="center"/>
        <w:rPr>
          <w:rFonts w:eastAsia="黑体"/>
          <w:color w:val="auto"/>
          <w:sz w:val="24"/>
          <w:szCs w:val="24"/>
          <w:highlight w:val="none"/>
        </w:rPr>
      </w:pPr>
      <w:r>
        <w:rPr>
          <w:rFonts w:eastAsia="黑体"/>
          <w:color w:val="auto"/>
          <w:sz w:val="24"/>
          <w:szCs w:val="24"/>
          <w:highlight w:val="none"/>
        </w:rPr>
        <w:t>履约担保</w:t>
      </w:r>
    </w:p>
    <w:p w14:paraId="2FA4914C">
      <w:pPr>
        <w:spacing w:line="440" w:lineRule="exact"/>
        <w:rPr>
          <w:rFonts w:eastAsia="仿宋_GB2312"/>
          <w:color w:val="auto"/>
          <w:sz w:val="24"/>
          <w:szCs w:val="24"/>
          <w:highlight w:val="none"/>
        </w:rPr>
      </w:pPr>
      <w:r>
        <w:rPr>
          <w:rFonts w:eastAsia="仿宋_GB2312"/>
          <w:color w:val="auto"/>
          <w:sz w:val="24"/>
          <w:szCs w:val="24"/>
          <w:highlight w:val="none"/>
          <w:u w:val="single"/>
        </w:rPr>
        <w:t xml:space="preserve">             </w:t>
      </w:r>
      <w:r>
        <w:rPr>
          <w:rFonts w:eastAsia="仿宋_GB2312"/>
          <w:color w:val="auto"/>
          <w:sz w:val="24"/>
          <w:szCs w:val="24"/>
          <w:highlight w:val="none"/>
          <w:u w:val="single"/>
        </w:rPr>
        <w:tab/>
      </w:r>
      <w:r>
        <w:rPr>
          <w:rFonts w:eastAsia="仿宋_GB2312"/>
          <w:color w:val="auto"/>
          <w:sz w:val="24"/>
          <w:szCs w:val="24"/>
          <w:highlight w:val="none"/>
        </w:rPr>
        <w:t>（发包人名称）：</w:t>
      </w:r>
    </w:p>
    <w:p w14:paraId="4BF0197D">
      <w:pPr>
        <w:spacing w:line="440" w:lineRule="exact"/>
        <w:rPr>
          <w:rFonts w:eastAsia="仿宋_GB2312"/>
          <w:color w:val="auto"/>
          <w:sz w:val="24"/>
          <w:szCs w:val="24"/>
          <w:highlight w:val="none"/>
        </w:rPr>
      </w:pPr>
    </w:p>
    <w:p w14:paraId="6BCB66E5">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鉴于</w:t>
      </w:r>
      <w:r>
        <w:rPr>
          <w:rFonts w:eastAsia="仿宋_GB2312"/>
          <w:color w:val="auto"/>
          <w:sz w:val="24"/>
          <w:szCs w:val="24"/>
          <w:highlight w:val="none"/>
          <w:u w:val="single"/>
        </w:rPr>
        <w:t xml:space="preserve">                </w:t>
      </w:r>
      <w:r>
        <w:rPr>
          <w:rFonts w:eastAsia="仿宋_GB2312"/>
          <w:color w:val="auto"/>
          <w:sz w:val="24"/>
          <w:szCs w:val="24"/>
          <w:highlight w:val="none"/>
        </w:rPr>
        <w:t>（发包人名称，以下简称“发包人”）与</w:t>
      </w:r>
    </w:p>
    <w:p w14:paraId="14696A95">
      <w:pPr>
        <w:spacing w:line="360" w:lineRule="auto"/>
        <w:rPr>
          <w:rFonts w:eastAsia="仿宋_GB2312"/>
          <w:color w:val="auto"/>
          <w:sz w:val="24"/>
          <w:szCs w:val="24"/>
          <w:highlight w:val="none"/>
        </w:rPr>
      </w:pPr>
      <w:r>
        <w:rPr>
          <w:rFonts w:eastAsia="仿宋_GB2312"/>
          <w:color w:val="auto"/>
          <w:sz w:val="24"/>
          <w:szCs w:val="24"/>
          <w:highlight w:val="non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（承包人名称）（以下称“承包人”）于</w:t>
      </w:r>
      <w:r>
        <w:rPr>
          <w:rFonts w:eastAsia="仿宋_GB2312"/>
          <w:color w:val="auto"/>
          <w:sz w:val="24"/>
          <w:szCs w:val="24"/>
          <w:highlight w:val="none"/>
          <w:u w:val="single"/>
        </w:rPr>
        <w:t xml:space="preserve">    </w:t>
      </w:r>
      <w:r>
        <w:rPr>
          <w:rFonts w:eastAsia="仿宋_GB2312"/>
          <w:color w:val="auto"/>
          <w:sz w:val="24"/>
          <w:szCs w:val="24"/>
          <w:highlight w:val="none"/>
        </w:rPr>
        <w:t>年</w:t>
      </w:r>
      <w:r>
        <w:rPr>
          <w:rFonts w:eastAsia="仿宋_GB2312"/>
          <w:color w:val="auto"/>
          <w:sz w:val="24"/>
          <w:szCs w:val="24"/>
          <w:highlight w:val="none"/>
          <w:u w:val="single"/>
        </w:rPr>
        <w:t xml:space="preserve">   </w:t>
      </w:r>
      <w:r>
        <w:rPr>
          <w:rFonts w:eastAsia="仿宋_GB2312"/>
          <w:color w:val="auto"/>
          <w:sz w:val="24"/>
          <w:szCs w:val="24"/>
          <w:highlight w:val="none"/>
        </w:rPr>
        <w:t>月</w:t>
      </w:r>
      <w:r>
        <w:rPr>
          <w:rFonts w:eastAsia="仿宋_GB2312"/>
          <w:color w:val="auto"/>
          <w:sz w:val="24"/>
          <w:szCs w:val="24"/>
          <w:highlight w:val="none"/>
          <w:u w:val="single"/>
        </w:rPr>
        <w:t xml:space="preserve">   </w:t>
      </w:r>
      <w:r>
        <w:rPr>
          <w:rFonts w:eastAsia="仿宋_GB2312"/>
          <w:color w:val="auto"/>
          <w:sz w:val="24"/>
          <w:szCs w:val="24"/>
          <w:highlight w:val="none"/>
        </w:rPr>
        <w:t>日就</w:t>
      </w:r>
      <w:r>
        <w:rPr>
          <w:rFonts w:eastAsia="仿宋_GB2312"/>
          <w:color w:val="auto"/>
          <w:sz w:val="24"/>
          <w:szCs w:val="24"/>
          <w:highlight w:val="none"/>
          <w:u w:val="single"/>
        </w:rPr>
        <w:t xml:space="preserve">                         </w:t>
      </w:r>
      <w:r>
        <w:rPr>
          <w:rFonts w:eastAsia="仿宋_GB2312"/>
          <w:color w:val="auto"/>
          <w:sz w:val="24"/>
          <w:szCs w:val="24"/>
          <w:highlight w:val="none"/>
        </w:rPr>
        <w:t xml:space="preserve">（工程名称）施工及有关事项协商一致共同签订《建设工程施工合同》。我方愿意无条件地、不可撤销地就承包人履行与你方签订的合同，向你方提供连带责任担保。 </w:t>
      </w:r>
    </w:p>
    <w:p w14:paraId="16953760">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1. 担保金额人民币（大写）</w:t>
      </w:r>
      <w:r>
        <w:rPr>
          <w:rFonts w:eastAsia="仿宋_GB2312"/>
          <w:color w:val="auto"/>
          <w:sz w:val="24"/>
          <w:szCs w:val="24"/>
          <w:highlight w:val="none"/>
          <w:u w:val="single"/>
        </w:rPr>
        <w:t xml:space="preserve">                 </w:t>
      </w:r>
      <w:r>
        <w:rPr>
          <w:rFonts w:eastAsia="仿宋_GB2312"/>
          <w:color w:val="auto"/>
          <w:sz w:val="24"/>
          <w:szCs w:val="24"/>
          <w:highlight w:val="none"/>
        </w:rPr>
        <w:t>元（¥</w:t>
      </w:r>
      <w:r>
        <w:rPr>
          <w:rFonts w:eastAsia="仿宋_GB2312"/>
          <w:color w:val="auto"/>
          <w:sz w:val="24"/>
          <w:szCs w:val="24"/>
          <w:highlight w:val="none"/>
          <w:u w:val="single"/>
        </w:rPr>
        <w:t xml:space="preserve">             </w:t>
      </w:r>
      <w:r>
        <w:rPr>
          <w:rFonts w:eastAsia="仿宋_GB2312"/>
          <w:color w:val="auto"/>
          <w:sz w:val="24"/>
          <w:szCs w:val="24"/>
          <w:highlight w:val="none"/>
        </w:rPr>
        <w:t>）。</w:t>
      </w:r>
    </w:p>
    <w:p w14:paraId="18D37528">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2. 担保有效期自你方与承包人签订的合同生效之日起至你方签发或应签发工程接收证书之日止。</w:t>
      </w:r>
    </w:p>
    <w:p w14:paraId="07754F8A">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3. 在本担保有效期内，因承包人违反合同约定的义务给你方造成经济损失时，我方在收到你方以书面形式提出的在担保金额内的赔偿要求后，在7天内无条件支付。</w:t>
      </w:r>
    </w:p>
    <w:p w14:paraId="6627B1BB">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4. 你方和承包人按合同约定变更合同时，我方承担本担保规定的义务不变。</w:t>
      </w:r>
    </w:p>
    <w:p w14:paraId="76F3C1E6">
      <w:pPr>
        <w:spacing w:line="360" w:lineRule="auto"/>
        <w:ind w:firstLine="480" w:firstLineChars="200"/>
        <w:rPr>
          <w:rFonts w:eastAsia="仿宋_GB2312"/>
          <w:color w:val="auto"/>
          <w:sz w:val="24"/>
          <w:szCs w:val="24"/>
          <w:highlight w:val="none"/>
        </w:rPr>
      </w:pPr>
      <w:r>
        <w:rPr>
          <w:rFonts w:eastAsia="仿宋_GB2312"/>
          <w:color w:val="auto"/>
          <w:sz w:val="24"/>
          <w:szCs w:val="24"/>
          <w:highlight w:val="none"/>
        </w:rPr>
        <w:t>5. 因本保函发生的纠纷，可由双方协商解决，协商不成的，任何一方均可提请</w:t>
      </w:r>
      <w:r>
        <w:rPr>
          <w:rFonts w:eastAsia="仿宋_GB2312"/>
          <w:color w:val="auto"/>
          <w:sz w:val="24"/>
          <w:szCs w:val="24"/>
          <w:highlight w:val="none"/>
          <w:u w:val="single"/>
        </w:rPr>
        <w:t xml:space="preserve">        </w:t>
      </w:r>
      <w:r>
        <w:rPr>
          <w:rFonts w:eastAsia="仿宋_GB2312"/>
          <w:color w:val="auto"/>
          <w:sz w:val="24"/>
          <w:szCs w:val="24"/>
          <w:highlight w:val="none"/>
        </w:rPr>
        <w:t>仲裁委员会仲裁。</w:t>
      </w:r>
    </w:p>
    <w:p w14:paraId="093F50D2">
      <w:pPr>
        <w:spacing w:line="360" w:lineRule="auto"/>
        <w:ind w:firstLine="480" w:firstLineChars="200"/>
        <w:rPr>
          <w:rFonts w:hint="eastAsia" w:eastAsia="仿宋_GB2312"/>
          <w:color w:val="auto"/>
          <w:sz w:val="24"/>
          <w:szCs w:val="24"/>
          <w:highlight w:val="none"/>
        </w:rPr>
      </w:pPr>
      <w:r>
        <w:rPr>
          <w:rFonts w:eastAsia="仿宋_GB2312"/>
          <w:color w:val="auto"/>
          <w:sz w:val="24"/>
          <w:szCs w:val="24"/>
          <w:highlight w:val="none"/>
        </w:rPr>
        <w:t>6. 本保函自我方法定代表人（或其授权代理人）签字并加盖公章之日起生效。</w:t>
      </w:r>
    </w:p>
    <w:p w14:paraId="72FBA23C">
      <w:pPr>
        <w:spacing w:line="360" w:lineRule="auto"/>
        <w:rPr>
          <w:rFonts w:hint="eastAsia" w:eastAsia="仿宋_GB2312"/>
          <w:color w:val="auto"/>
          <w:sz w:val="24"/>
          <w:szCs w:val="24"/>
          <w:highlight w:val="none"/>
        </w:rPr>
      </w:pPr>
    </w:p>
    <w:p w14:paraId="1697339A">
      <w:pPr>
        <w:spacing w:line="360" w:lineRule="auto"/>
        <w:rPr>
          <w:rFonts w:eastAsia="仿宋_GB2312"/>
          <w:color w:val="auto"/>
          <w:sz w:val="24"/>
          <w:szCs w:val="24"/>
          <w:highlight w:val="none"/>
        </w:rPr>
      </w:pPr>
      <w:r>
        <w:rPr>
          <w:rFonts w:eastAsia="仿宋_GB2312"/>
          <w:color w:val="auto"/>
          <w:sz w:val="24"/>
          <w:szCs w:val="24"/>
          <w:highlight w:val="none"/>
        </w:rPr>
        <w:t>担 保 人：</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（盖单位章）</w:t>
      </w:r>
    </w:p>
    <w:p w14:paraId="4FD0B2EA">
      <w:pPr>
        <w:spacing w:line="360" w:lineRule="auto"/>
        <w:rPr>
          <w:rFonts w:eastAsia="仿宋_GB2312"/>
          <w:color w:val="auto"/>
          <w:sz w:val="24"/>
          <w:szCs w:val="24"/>
          <w:highlight w:val="none"/>
        </w:rPr>
      </w:pPr>
      <w:r>
        <w:rPr>
          <w:rFonts w:eastAsia="仿宋_GB2312"/>
          <w:color w:val="auto"/>
          <w:sz w:val="24"/>
          <w:szCs w:val="24"/>
          <w:highlight w:val="none"/>
        </w:rPr>
        <w:t>法定代表人或其委托代理人：</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（签字）</w:t>
      </w:r>
    </w:p>
    <w:p w14:paraId="3E59DD06">
      <w:pPr>
        <w:spacing w:line="360" w:lineRule="auto"/>
        <w:rPr>
          <w:rFonts w:eastAsia="仿宋_GB2312"/>
          <w:color w:val="auto"/>
          <w:sz w:val="24"/>
          <w:szCs w:val="24"/>
          <w:highlight w:val="none"/>
        </w:rPr>
      </w:pPr>
      <w:r>
        <w:rPr>
          <w:rFonts w:eastAsia="仿宋_GB2312"/>
          <w:color w:val="auto"/>
          <w:sz w:val="24"/>
          <w:szCs w:val="24"/>
          <w:highlight w:val="none"/>
        </w:rPr>
        <w:t>地    址：</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p>
    <w:p w14:paraId="10F87B59">
      <w:pPr>
        <w:spacing w:line="360" w:lineRule="auto"/>
        <w:rPr>
          <w:rFonts w:eastAsia="仿宋_GB2312"/>
          <w:color w:val="auto"/>
          <w:sz w:val="24"/>
          <w:szCs w:val="24"/>
          <w:highlight w:val="none"/>
        </w:rPr>
      </w:pPr>
      <w:r>
        <w:rPr>
          <w:rFonts w:eastAsia="仿宋_GB2312"/>
          <w:color w:val="auto"/>
          <w:sz w:val="24"/>
          <w:szCs w:val="24"/>
          <w:highlight w:val="none"/>
        </w:rPr>
        <w:t>邮政编码：</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p>
    <w:p w14:paraId="163ACDB5">
      <w:pPr>
        <w:spacing w:line="360" w:lineRule="auto"/>
        <w:rPr>
          <w:rFonts w:eastAsia="仿宋_GB2312"/>
          <w:color w:val="auto"/>
          <w:sz w:val="24"/>
          <w:szCs w:val="24"/>
          <w:highlight w:val="none"/>
          <w:u w:val="single"/>
        </w:rPr>
      </w:pPr>
      <w:r>
        <w:rPr>
          <w:rFonts w:eastAsia="仿宋_GB2312"/>
          <w:color w:val="auto"/>
          <w:sz w:val="24"/>
          <w:szCs w:val="24"/>
          <w:highlight w:val="none"/>
        </w:rPr>
        <w:t>电    话：</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p>
    <w:p w14:paraId="32974063">
      <w:pPr>
        <w:spacing w:line="360" w:lineRule="auto"/>
        <w:rPr>
          <w:rFonts w:eastAsia="仿宋_GB2312"/>
          <w:color w:val="auto"/>
          <w:sz w:val="24"/>
          <w:szCs w:val="24"/>
          <w:highlight w:val="none"/>
        </w:rPr>
      </w:pPr>
      <w:r>
        <w:rPr>
          <w:rFonts w:eastAsia="仿宋_GB2312"/>
          <w:color w:val="auto"/>
          <w:sz w:val="24"/>
          <w:szCs w:val="24"/>
          <w:highlight w:val="none"/>
        </w:rPr>
        <w:t>传    真：</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p>
    <w:p w14:paraId="2CF15C28">
      <w:pPr>
        <w:spacing w:line="360" w:lineRule="auto"/>
        <w:jc w:val="left"/>
        <w:rPr>
          <w:rFonts w:eastAsia="仿宋_GB2312"/>
          <w:color w:val="auto"/>
          <w:sz w:val="24"/>
          <w:szCs w:val="24"/>
          <w:highlight w:val="none"/>
          <w:u w:val="single"/>
        </w:rPr>
      </w:pPr>
    </w:p>
    <w:p w14:paraId="49D9C4BC">
      <w:pPr>
        <w:spacing w:line="360" w:lineRule="auto"/>
        <w:ind w:left="1519" w:hanging="1519" w:hangingChars="633"/>
        <w:rPr>
          <w:rFonts w:eastAsia="仿宋_GB2312"/>
          <w:color w:val="auto"/>
          <w:sz w:val="24"/>
          <w:szCs w:val="24"/>
          <w:highlight w:val="none"/>
        </w:rPr>
      </w:pPr>
      <w:r>
        <w:rPr>
          <w:rFonts w:eastAsia="仿宋_GB2312"/>
          <w:color w:val="auto"/>
          <w:sz w:val="24"/>
          <w:szCs w:val="24"/>
          <w:highlight w:val="none"/>
        </w:rPr>
        <w:t xml:space="preserve">             </w:t>
      </w:r>
      <w:r>
        <w:rPr>
          <w:rFonts w:hint="eastAsia" w:eastAsia="仿宋_GB2312"/>
          <w:color w:val="auto"/>
          <w:sz w:val="24"/>
          <w:szCs w:val="24"/>
          <w:highlight w:val="non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年</w:t>
      </w:r>
      <w:r>
        <w:rPr>
          <w:rFonts w:eastAsia="仿宋_GB2312"/>
          <w:color w:val="auto"/>
          <w:sz w:val="24"/>
          <w:szCs w:val="24"/>
          <w:highlight w:val="none"/>
          <w:u w:val="single"/>
        </w:rPr>
        <w:t xml:space="preserve">        </w:t>
      </w:r>
      <w:r>
        <w:rPr>
          <w:rFonts w:eastAsia="仿宋_GB2312"/>
          <w:color w:val="auto"/>
          <w:sz w:val="24"/>
          <w:szCs w:val="24"/>
          <w:highlight w:val="none"/>
        </w:rPr>
        <w:t>月</w:t>
      </w:r>
      <w:r>
        <w:rPr>
          <w:rFonts w:eastAsia="仿宋_GB2312"/>
          <w:color w:val="auto"/>
          <w:sz w:val="24"/>
          <w:szCs w:val="24"/>
          <w:highlight w:val="none"/>
          <w:u w:val="single"/>
        </w:rPr>
        <w:t xml:space="preserve">        </w:t>
      </w:r>
      <w:r>
        <w:rPr>
          <w:rFonts w:eastAsia="仿宋_GB2312"/>
          <w:color w:val="auto"/>
          <w:sz w:val="24"/>
          <w:szCs w:val="24"/>
          <w:highlight w:val="none"/>
        </w:rPr>
        <w:t>日</w:t>
      </w:r>
    </w:p>
    <w:p w14:paraId="1FD23B1C">
      <w:pPr>
        <w:spacing w:line="360" w:lineRule="auto"/>
        <w:ind w:left="1519" w:hanging="1519" w:hangingChars="633"/>
        <w:rPr>
          <w:rFonts w:eastAsia="仿宋_GB2312"/>
          <w:color w:val="auto"/>
          <w:sz w:val="24"/>
          <w:szCs w:val="24"/>
          <w:highlight w:val="none"/>
        </w:rPr>
      </w:pPr>
    </w:p>
    <w:p w14:paraId="5105F62A">
      <w:pPr>
        <w:spacing w:line="360" w:lineRule="auto"/>
        <w:ind w:left="1519" w:hanging="1519" w:hangingChars="633"/>
        <w:rPr>
          <w:rFonts w:eastAsia="仿宋_GB2312"/>
          <w:color w:val="auto"/>
          <w:sz w:val="24"/>
          <w:szCs w:val="24"/>
          <w:highlight w:val="none"/>
        </w:rPr>
      </w:pPr>
    </w:p>
    <w:p w14:paraId="4B46FAE5">
      <w:pPr>
        <w:spacing w:line="440" w:lineRule="exact"/>
        <w:rPr>
          <w:rFonts w:eastAsia="黑体"/>
          <w:color w:val="auto"/>
          <w:sz w:val="24"/>
          <w:szCs w:val="24"/>
          <w:highlight w:val="none"/>
        </w:rPr>
      </w:pPr>
      <w:r>
        <w:rPr>
          <w:rFonts w:eastAsia="仿宋_GB2312"/>
          <w:color w:val="auto"/>
          <w:sz w:val="24"/>
          <w:szCs w:val="24"/>
          <w:highlight w:val="none"/>
        </w:rPr>
        <w:t>附件</w:t>
      </w:r>
      <w:r>
        <w:rPr>
          <w:rFonts w:hint="eastAsia" w:eastAsia="仿宋_GB2312"/>
          <w:color w:val="auto"/>
          <w:sz w:val="24"/>
          <w:szCs w:val="24"/>
          <w:highlight w:val="none"/>
        </w:rPr>
        <w:t>4</w:t>
      </w:r>
      <w:r>
        <w:rPr>
          <w:rFonts w:eastAsia="仿宋_GB2312"/>
          <w:color w:val="auto"/>
          <w:sz w:val="24"/>
          <w:szCs w:val="24"/>
          <w:highlight w:val="none"/>
        </w:rPr>
        <w:t>：</w:t>
      </w:r>
    </w:p>
    <w:p w14:paraId="6861AA80">
      <w:pPr>
        <w:spacing w:before="120" w:beforeLines="50" w:after="120" w:afterLines="50" w:line="440" w:lineRule="exact"/>
        <w:jc w:val="center"/>
        <w:outlineLvl w:val="0"/>
        <w:rPr>
          <w:rFonts w:eastAsia="黑体"/>
          <w:color w:val="auto"/>
          <w:sz w:val="24"/>
          <w:szCs w:val="24"/>
          <w:highlight w:val="none"/>
        </w:rPr>
      </w:pPr>
      <w:bookmarkStart w:id="1031" w:name="_Toc32835808"/>
      <w:r>
        <w:rPr>
          <w:rFonts w:hint="eastAsia" w:eastAsia="黑体"/>
          <w:color w:val="auto"/>
          <w:sz w:val="24"/>
          <w:szCs w:val="24"/>
          <w:highlight w:val="none"/>
        </w:rPr>
        <w:t>4</w:t>
      </w:r>
      <w:r>
        <w:rPr>
          <w:rFonts w:eastAsia="黑体"/>
          <w:color w:val="auto"/>
          <w:sz w:val="24"/>
          <w:szCs w:val="24"/>
          <w:highlight w:val="none"/>
        </w:rPr>
        <w:t>-1：材料暂估价表</w:t>
      </w:r>
      <w:bookmarkEnd w:id="1031"/>
    </w:p>
    <w:tbl>
      <w:tblPr>
        <w:tblStyle w:val="18"/>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EA57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A92C474">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序号</w:t>
            </w:r>
          </w:p>
        </w:tc>
        <w:tc>
          <w:tcPr>
            <w:tcW w:w="1984" w:type="dxa"/>
            <w:tcBorders>
              <w:top w:val="single" w:color="auto" w:sz="12" w:space="0"/>
              <w:bottom w:val="double" w:color="auto" w:sz="6" w:space="0"/>
            </w:tcBorders>
            <w:noWrap w:val="0"/>
            <w:vAlign w:val="top"/>
          </w:tcPr>
          <w:p w14:paraId="426BD01A">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名称</w:t>
            </w:r>
          </w:p>
        </w:tc>
        <w:tc>
          <w:tcPr>
            <w:tcW w:w="851" w:type="dxa"/>
            <w:tcBorders>
              <w:top w:val="single" w:color="auto" w:sz="12" w:space="0"/>
              <w:bottom w:val="double" w:color="auto" w:sz="6" w:space="0"/>
            </w:tcBorders>
            <w:noWrap w:val="0"/>
            <w:vAlign w:val="top"/>
          </w:tcPr>
          <w:p w14:paraId="6A683235">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单位</w:t>
            </w:r>
          </w:p>
        </w:tc>
        <w:tc>
          <w:tcPr>
            <w:tcW w:w="774" w:type="dxa"/>
            <w:tcBorders>
              <w:top w:val="single" w:color="auto" w:sz="12" w:space="0"/>
              <w:bottom w:val="double" w:color="auto" w:sz="6" w:space="0"/>
            </w:tcBorders>
            <w:noWrap w:val="0"/>
            <w:vAlign w:val="top"/>
          </w:tcPr>
          <w:p w14:paraId="2E8F604E">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数量</w:t>
            </w:r>
          </w:p>
        </w:tc>
        <w:tc>
          <w:tcPr>
            <w:tcW w:w="1352" w:type="dxa"/>
            <w:tcBorders>
              <w:top w:val="single" w:color="auto" w:sz="12" w:space="0"/>
              <w:bottom w:val="double" w:color="auto" w:sz="6" w:space="0"/>
            </w:tcBorders>
            <w:noWrap w:val="0"/>
            <w:vAlign w:val="top"/>
          </w:tcPr>
          <w:p w14:paraId="03ABF481">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单价</w:t>
            </w:r>
            <w:r>
              <w:rPr>
                <w:rFonts w:hint="eastAsia" w:ascii="Calibri" w:hAnsi="Calibri" w:eastAsia="仿宋_GB2312"/>
                <w:color w:val="auto"/>
                <w:kern w:val="2"/>
                <w:sz w:val="22"/>
                <w:szCs w:val="24"/>
                <w:highlight w:val="none"/>
              </w:rPr>
              <w:t>（元）</w:t>
            </w:r>
          </w:p>
        </w:tc>
        <w:tc>
          <w:tcPr>
            <w:tcW w:w="1418" w:type="dxa"/>
            <w:tcBorders>
              <w:top w:val="single" w:color="auto" w:sz="12" w:space="0"/>
              <w:bottom w:val="double" w:color="auto" w:sz="6" w:space="0"/>
            </w:tcBorders>
            <w:noWrap w:val="0"/>
            <w:vAlign w:val="top"/>
          </w:tcPr>
          <w:p w14:paraId="4C50FB68">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合价</w:t>
            </w:r>
            <w:r>
              <w:rPr>
                <w:rFonts w:hint="eastAsia" w:ascii="Calibri" w:hAnsi="Calibri" w:eastAsia="仿宋_GB2312"/>
                <w:color w:val="auto"/>
                <w:kern w:val="2"/>
                <w:sz w:val="22"/>
                <w:szCs w:val="24"/>
                <w:highlight w:val="none"/>
              </w:rPr>
              <w:t>（元）</w:t>
            </w:r>
          </w:p>
        </w:tc>
        <w:tc>
          <w:tcPr>
            <w:tcW w:w="1701" w:type="dxa"/>
            <w:tcBorders>
              <w:top w:val="single" w:color="auto" w:sz="12" w:space="0"/>
              <w:bottom w:val="double" w:color="auto" w:sz="6" w:space="0"/>
            </w:tcBorders>
            <w:noWrap w:val="0"/>
            <w:vAlign w:val="top"/>
          </w:tcPr>
          <w:p w14:paraId="148BC7B1">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备注</w:t>
            </w:r>
          </w:p>
        </w:tc>
      </w:tr>
      <w:tr w14:paraId="26D83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758D87DA">
            <w:pPr>
              <w:pStyle w:val="9"/>
              <w:keepNext/>
              <w:spacing w:after="0" w:line="440" w:lineRule="exact"/>
              <w:ind w:left="63" w:right="63"/>
              <w:rPr>
                <w:rFonts w:ascii="Calibri" w:hAnsi="Calibri" w:eastAsia="仿宋_GB2312"/>
                <w:color w:val="auto"/>
                <w:kern w:val="2"/>
                <w:sz w:val="22"/>
                <w:szCs w:val="24"/>
                <w:highlight w:val="none"/>
              </w:rPr>
            </w:pPr>
          </w:p>
        </w:tc>
        <w:tc>
          <w:tcPr>
            <w:tcW w:w="1984" w:type="dxa"/>
            <w:tcBorders>
              <w:top w:val="double" w:color="auto" w:sz="6" w:space="0"/>
              <w:bottom w:val="single" w:color="auto" w:sz="6" w:space="0"/>
            </w:tcBorders>
            <w:noWrap w:val="0"/>
            <w:vAlign w:val="top"/>
          </w:tcPr>
          <w:p w14:paraId="53FC145A">
            <w:pPr>
              <w:pStyle w:val="9"/>
              <w:keepNext/>
              <w:spacing w:after="0" w:line="440" w:lineRule="exact"/>
              <w:ind w:left="63" w:right="63"/>
              <w:rPr>
                <w:rFonts w:ascii="Calibri" w:hAnsi="Calibri" w:eastAsia="仿宋_GB2312"/>
                <w:color w:val="auto"/>
                <w:kern w:val="2"/>
                <w:sz w:val="22"/>
                <w:szCs w:val="24"/>
                <w:highlight w:val="none"/>
              </w:rPr>
            </w:pPr>
          </w:p>
        </w:tc>
        <w:tc>
          <w:tcPr>
            <w:tcW w:w="851" w:type="dxa"/>
            <w:tcBorders>
              <w:top w:val="double" w:color="auto" w:sz="6" w:space="0"/>
              <w:bottom w:val="single" w:color="auto" w:sz="6" w:space="0"/>
            </w:tcBorders>
            <w:noWrap w:val="0"/>
            <w:vAlign w:val="top"/>
          </w:tcPr>
          <w:p w14:paraId="53292673">
            <w:pPr>
              <w:pStyle w:val="9"/>
              <w:keepNext/>
              <w:spacing w:after="0" w:line="440" w:lineRule="exact"/>
              <w:ind w:left="63" w:right="63"/>
              <w:rPr>
                <w:rFonts w:ascii="Calibri" w:hAnsi="Calibri" w:eastAsia="仿宋_GB2312"/>
                <w:color w:val="auto"/>
                <w:kern w:val="2"/>
                <w:sz w:val="22"/>
                <w:szCs w:val="24"/>
                <w:highlight w:val="none"/>
              </w:rPr>
            </w:pPr>
          </w:p>
        </w:tc>
        <w:tc>
          <w:tcPr>
            <w:tcW w:w="774" w:type="dxa"/>
            <w:tcBorders>
              <w:top w:val="double" w:color="auto" w:sz="6" w:space="0"/>
              <w:bottom w:val="single" w:color="auto" w:sz="6" w:space="0"/>
            </w:tcBorders>
            <w:noWrap w:val="0"/>
            <w:vAlign w:val="top"/>
          </w:tcPr>
          <w:p w14:paraId="7BE5BB5B">
            <w:pPr>
              <w:pStyle w:val="9"/>
              <w:keepNext/>
              <w:spacing w:after="0" w:line="440" w:lineRule="exact"/>
              <w:ind w:left="63" w:right="63"/>
              <w:rPr>
                <w:rFonts w:ascii="Calibri" w:hAnsi="Calibri" w:eastAsia="仿宋_GB2312"/>
                <w:color w:val="auto"/>
                <w:kern w:val="2"/>
                <w:sz w:val="22"/>
                <w:szCs w:val="24"/>
                <w:highlight w:val="none"/>
              </w:rPr>
            </w:pPr>
          </w:p>
        </w:tc>
        <w:tc>
          <w:tcPr>
            <w:tcW w:w="1352" w:type="dxa"/>
            <w:tcBorders>
              <w:top w:val="double" w:color="auto" w:sz="6" w:space="0"/>
              <w:bottom w:val="single" w:color="auto" w:sz="6" w:space="0"/>
            </w:tcBorders>
            <w:noWrap w:val="0"/>
            <w:vAlign w:val="top"/>
          </w:tcPr>
          <w:p w14:paraId="56EC2BC8">
            <w:pPr>
              <w:pStyle w:val="9"/>
              <w:keepNext/>
              <w:spacing w:after="0" w:line="440" w:lineRule="exact"/>
              <w:ind w:left="63" w:right="63"/>
              <w:rPr>
                <w:rFonts w:ascii="Calibri" w:hAnsi="Calibri" w:eastAsia="仿宋_GB2312"/>
                <w:color w:val="auto"/>
                <w:kern w:val="2"/>
                <w:sz w:val="22"/>
                <w:szCs w:val="24"/>
                <w:highlight w:val="none"/>
              </w:rPr>
            </w:pPr>
          </w:p>
        </w:tc>
        <w:tc>
          <w:tcPr>
            <w:tcW w:w="1418" w:type="dxa"/>
            <w:tcBorders>
              <w:top w:val="double" w:color="auto" w:sz="6" w:space="0"/>
              <w:bottom w:val="single" w:color="auto" w:sz="6" w:space="0"/>
            </w:tcBorders>
            <w:noWrap w:val="0"/>
            <w:vAlign w:val="top"/>
          </w:tcPr>
          <w:p w14:paraId="181CE624">
            <w:pPr>
              <w:pStyle w:val="9"/>
              <w:keepNext/>
              <w:spacing w:after="0" w:line="440" w:lineRule="exact"/>
              <w:ind w:left="63" w:right="63"/>
              <w:rPr>
                <w:rFonts w:ascii="Calibri" w:hAnsi="Calibri" w:eastAsia="仿宋_GB2312"/>
                <w:color w:val="auto"/>
                <w:kern w:val="2"/>
                <w:sz w:val="22"/>
                <w:szCs w:val="24"/>
                <w:highlight w:val="none"/>
              </w:rPr>
            </w:pPr>
          </w:p>
        </w:tc>
        <w:tc>
          <w:tcPr>
            <w:tcW w:w="1701" w:type="dxa"/>
            <w:tcBorders>
              <w:top w:val="double" w:color="auto" w:sz="6" w:space="0"/>
              <w:bottom w:val="single" w:color="auto" w:sz="6" w:space="0"/>
            </w:tcBorders>
            <w:noWrap w:val="0"/>
            <w:vAlign w:val="top"/>
          </w:tcPr>
          <w:p w14:paraId="2DADDE30">
            <w:pPr>
              <w:pStyle w:val="9"/>
              <w:keepNext/>
              <w:spacing w:after="0" w:line="440" w:lineRule="exact"/>
              <w:ind w:left="63" w:right="63"/>
              <w:rPr>
                <w:rFonts w:ascii="Calibri" w:hAnsi="Calibri" w:eastAsia="仿宋_GB2312"/>
                <w:color w:val="auto"/>
                <w:kern w:val="2"/>
                <w:sz w:val="22"/>
                <w:szCs w:val="24"/>
                <w:highlight w:val="none"/>
              </w:rPr>
            </w:pPr>
          </w:p>
        </w:tc>
      </w:tr>
      <w:tr w14:paraId="10D46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025EFB9D">
            <w:pPr>
              <w:pStyle w:val="9"/>
              <w:keepNext/>
              <w:spacing w:after="0" w:line="440" w:lineRule="exact"/>
              <w:ind w:left="63" w:right="63"/>
              <w:rPr>
                <w:rFonts w:ascii="Calibri" w:hAnsi="Calibri" w:eastAsia="仿宋_GB2312"/>
                <w:color w:val="auto"/>
                <w:kern w:val="2"/>
                <w:sz w:val="22"/>
                <w:szCs w:val="24"/>
                <w:highlight w:val="none"/>
              </w:rPr>
            </w:pPr>
          </w:p>
        </w:tc>
        <w:tc>
          <w:tcPr>
            <w:tcW w:w="1984" w:type="dxa"/>
            <w:tcBorders>
              <w:top w:val="nil"/>
            </w:tcBorders>
            <w:noWrap w:val="0"/>
            <w:vAlign w:val="top"/>
          </w:tcPr>
          <w:p w14:paraId="639A6884">
            <w:pPr>
              <w:pStyle w:val="9"/>
              <w:keepNext/>
              <w:spacing w:after="0" w:line="440" w:lineRule="exact"/>
              <w:ind w:left="63" w:right="63"/>
              <w:rPr>
                <w:rFonts w:ascii="Calibri" w:hAnsi="Calibri" w:eastAsia="仿宋_GB2312"/>
                <w:color w:val="auto"/>
                <w:kern w:val="2"/>
                <w:sz w:val="22"/>
                <w:szCs w:val="24"/>
                <w:highlight w:val="none"/>
              </w:rPr>
            </w:pPr>
          </w:p>
        </w:tc>
        <w:tc>
          <w:tcPr>
            <w:tcW w:w="851" w:type="dxa"/>
            <w:tcBorders>
              <w:top w:val="nil"/>
            </w:tcBorders>
            <w:noWrap w:val="0"/>
            <w:vAlign w:val="top"/>
          </w:tcPr>
          <w:p w14:paraId="12C8ACF2">
            <w:pPr>
              <w:pStyle w:val="9"/>
              <w:keepNext/>
              <w:spacing w:after="0" w:line="440" w:lineRule="exact"/>
              <w:ind w:left="63" w:right="63"/>
              <w:rPr>
                <w:rFonts w:ascii="Calibri" w:hAnsi="Calibri" w:eastAsia="仿宋_GB2312"/>
                <w:color w:val="auto"/>
                <w:kern w:val="2"/>
                <w:sz w:val="22"/>
                <w:szCs w:val="24"/>
                <w:highlight w:val="none"/>
              </w:rPr>
            </w:pPr>
          </w:p>
        </w:tc>
        <w:tc>
          <w:tcPr>
            <w:tcW w:w="774" w:type="dxa"/>
            <w:tcBorders>
              <w:top w:val="nil"/>
            </w:tcBorders>
            <w:noWrap w:val="0"/>
            <w:vAlign w:val="top"/>
          </w:tcPr>
          <w:p w14:paraId="4E1C2C47">
            <w:pPr>
              <w:pStyle w:val="9"/>
              <w:keepNext/>
              <w:spacing w:after="0" w:line="440" w:lineRule="exact"/>
              <w:ind w:left="63" w:right="63"/>
              <w:rPr>
                <w:rFonts w:ascii="Calibri" w:hAnsi="Calibri" w:eastAsia="仿宋_GB2312"/>
                <w:color w:val="auto"/>
                <w:kern w:val="2"/>
                <w:sz w:val="22"/>
                <w:szCs w:val="24"/>
                <w:highlight w:val="none"/>
              </w:rPr>
            </w:pPr>
          </w:p>
        </w:tc>
        <w:tc>
          <w:tcPr>
            <w:tcW w:w="1352" w:type="dxa"/>
            <w:tcBorders>
              <w:top w:val="nil"/>
            </w:tcBorders>
            <w:noWrap w:val="0"/>
            <w:vAlign w:val="top"/>
          </w:tcPr>
          <w:p w14:paraId="2855BBB1">
            <w:pPr>
              <w:pStyle w:val="9"/>
              <w:keepNext/>
              <w:spacing w:after="0" w:line="440" w:lineRule="exact"/>
              <w:ind w:left="63" w:right="63"/>
              <w:rPr>
                <w:rFonts w:ascii="Calibri" w:hAnsi="Calibri" w:eastAsia="仿宋_GB2312"/>
                <w:color w:val="auto"/>
                <w:kern w:val="2"/>
                <w:sz w:val="22"/>
                <w:szCs w:val="24"/>
                <w:highlight w:val="none"/>
              </w:rPr>
            </w:pPr>
          </w:p>
        </w:tc>
        <w:tc>
          <w:tcPr>
            <w:tcW w:w="1418" w:type="dxa"/>
            <w:tcBorders>
              <w:top w:val="nil"/>
            </w:tcBorders>
            <w:noWrap w:val="0"/>
            <w:vAlign w:val="top"/>
          </w:tcPr>
          <w:p w14:paraId="230E7DC2">
            <w:pPr>
              <w:pStyle w:val="9"/>
              <w:keepNext/>
              <w:spacing w:after="0" w:line="440" w:lineRule="exact"/>
              <w:ind w:left="63" w:right="63"/>
              <w:rPr>
                <w:rFonts w:ascii="Calibri" w:hAnsi="Calibri" w:eastAsia="仿宋_GB2312"/>
                <w:color w:val="auto"/>
                <w:kern w:val="2"/>
                <w:sz w:val="22"/>
                <w:szCs w:val="24"/>
                <w:highlight w:val="none"/>
              </w:rPr>
            </w:pPr>
          </w:p>
        </w:tc>
        <w:tc>
          <w:tcPr>
            <w:tcW w:w="1701" w:type="dxa"/>
            <w:tcBorders>
              <w:top w:val="nil"/>
            </w:tcBorders>
            <w:noWrap w:val="0"/>
            <w:vAlign w:val="top"/>
          </w:tcPr>
          <w:p w14:paraId="258437B3">
            <w:pPr>
              <w:pStyle w:val="9"/>
              <w:keepNext/>
              <w:spacing w:after="0" w:line="440" w:lineRule="exact"/>
              <w:ind w:left="63" w:right="63"/>
              <w:rPr>
                <w:rFonts w:ascii="Calibri" w:hAnsi="Calibri" w:eastAsia="仿宋_GB2312"/>
                <w:color w:val="auto"/>
                <w:kern w:val="2"/>
                <w:sz w:val="22"/>
                <w:szCs w:val="24"/>
                <w:highlight w:val="none"/>
              </w:rPr>
            </w:pPr>
          </w:p>
        </w:tc>
      </w:tr>
      <w:tr w14:paraId="641FF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6B490E6">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1AA8E679">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18397EE7">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0FB613C2">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2DDF61CF">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671C46A0">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51B89EA0">
            <w:pPr>
              <w:pStyle w:val="9"/>
              <w:keepNext/>
              <w:spacing w:after="0" w:line="440" w:lineRule="exact"/>
              <w:ind w:left="63" w:right="63"/>
              <w:rPr>
                <w:rFonts w:ascii="Calibri" w:hAnsi="Calibri" w:eastAsia="仿宋_GB2312"/>
                <w:color w:val="auto"/>
                <w:kern w:val="2"/>
                <w:sz w:val="22"/>
                <w:szCs w:val="24"/>
                <w:highlight w:val="none"/>
              </w:rPr>
            </w:pPr>
          </w:p>
        </w:tc>
      </w:tr>
      <w:tr w14:paraId="56880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D2CCEFF">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2318B2F2">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136D833F">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0A13DD49">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2410C003">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6B34D942">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3E3C0965">
            <w:pPr>
              <w:pStyle w:val="9"/>
              <w:keepNext/>
              <w:spacing w:after="0" w:line="440" w:lineRule="exact"/>
              <w:ind w:left="63" w:right="63"/>
              <w:rPr>
                <w:rFonts w:ascii="Calibri" w:hAnsi="Calibri" w:eastAsia="仿宋_GB2312"/>
                <w:color w:val="auto"/>
                <w:kern w:val="2"/>
                <w:sz w:val="22"/>
                <w:szCs w:val="24"/>
                <w:highlight w:val="none"/>
              </w:rPr>
            </w:pPr>
          </w:p>
        </w:tc>
      </w:tr>
      <w:tr w14:paraId="7C1D6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D25836F">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14AAC9E9">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4097EF9C">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6F8D0604">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3E4F04E4">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0935EF04">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2431900A">
            <w:pPr>
              <w:pStyle w:val="9"/>
              <w:keepNext/>
              <w:spacing w:after="0" w:line="440" w:lineRule="exact"/>
              <w:ind w:left="63" w:right="63"/>
              <w:rPr>
                <w:rFonts w:ascii="Calibri" w:hAnsi="Calibri" w:eastAsia="仿宋_GB2312"/>
                <w:color w:val="auto"/>
                <w:kern w:val="2"/>
                <w:sz w:val="22"/>
                <w:szCs w:val="24"/>
                <w:highlight w:val="none"/>
              </w:rPr>
            </w:pPr>
          </w:p>
        </w:tc>
      </w:tr>
      <w:tr w14:paraId="1AC62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42564E">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645B7F8D">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52AC46CF">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5767BEF2">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4394DE1A">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36FFFCE7">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114CFB3C">
            <w:pPr>
              <w:pStyle w:val="9"/>
              <w:keepNext/>
              <w:spacing w:after="0" w:line="440" w:lineRule="exact"/>
              <w:ind w:left="63" w:right="63"/>
              <w:rPr>
                <w:rFonts w:ascii="Calibri" w:hAnsi="Calibri" w:eastAsia="仿宋_GB2312"/>
                <w:color w:val="auto"/>
                <w:kern w:val="2"/>
                <w:sz w:val="22"/>
                <w:szCs w:val="24"/>
                <w:highlight w:val="none"/>
              </w:rPr>
            </w:pPr>
          </w:p>
        </w:tc>
      </w:tr>
      <w:tr w14:paraId="6DF74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7DA0FB8">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562F27E9">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7566D12C">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60AF779F">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42C211F4">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289A560E">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1D9004EC">
            <w:pPr>
              <w:pStyle w:val="9"/>
              <w:keepNext/>
              <w:spacing w:after="0" w:line="440" w:lineRule="exact"/>
              <w:ind w:left="63" w:right="63"/>
              <w:rPr>
                <w:rFonts w:ascii="Calibri" w:hAnsi="Calibri" w:eastAsia="仿宋_GB2312"/>
                <w:color w:val="auto"/>
                <w:kern w:val="2"/>
                <w:sz w:val="22"/>
                <w:szCs w:val="24"/>
                <w:highlight w:val="none"/>
              </w:rPr>
            </w:pPr>
          </w:p>
        </w:tc>
      </w:tr>
      <w:tr w14:paraId="0D413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D0C547">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2B17F42D">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02063753">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76EDEF0D">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2B3E7430">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1C5C7E27">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70428074">
            <w:pPr>
              <w:pStyle w:val="9"/>
              <w:keepNext/>
              <w:spacing w:after="0" w:line="440" w:lineRule="exact"/>
              <w:ind w:left="63" w:right="63"/>
              <w:rPr>
                <w:rFonts w:ascii="Calibri" w:hAnsi="Calibri" w:eastAsia="仿宋_GB2312"/>
                <w:color w:val="auto"/>
                <w:kern w:val="2"/>
                <w:sz w:val="22"/>
                <w:szCs w:val="24"/>
                <w:highlight w:val="none"/>
              </w:rPr>
            </w:pPr>
          </w:p>
        </w:tc>
      </w:tr>
      <w:tr w14:paraId="1D277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06B4C0">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1F139F00">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3B4EBE0F">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2F560EBB">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667BCB47">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3AC4546E">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4C5A3F39">
            <w:pPr>
              <w:pStyle w:val="9"/>
              <w:keepNext/>
              <w:spacing w:after="0" w:line="440" w:lineRule="exact"/>
              <w:ind w:left="63" w:right="63"/>
              <w:rPr>
                <w:rFonts w:ascii="Calibri" w:hAnsi="Calibri" w:eastAsia="仿宋_GB2312"/>
                <w:color w:val="auto"/>
                <w:kern w:val="2"/>
                <w:sz w:val="22"/>
                <w:szCs w:val="24"/>
                <w:highlight w:val="none"/>
              </w:rPr>
            </w:pPr>
          </w:p>
        </w:tc>
      </w:tr>
      <w:tr w14:paraId="4CC9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229FC27">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2CB980F4">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0B74AEC8">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1B5E01AC">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281E577C">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484458BF">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1D1D4CED">
            <w:pPr>
              <w:pStyle w:val="9"/>
              <w:keepNext/>
              <w:spacing w:after="0" w:line="440" w:lineRule="exact"/>
              <w:ind w:left="63" w:right="63"/>
              <w:rPr>
                <w:rFonts w:ascii="Calibri" w:hAnsi="Calibri" w:eastAsia="仿宋_GB2312"/>
                <w:color w:val="auto"/>
                <w:kern w:val="2"/>
                <w:sz w:val="22"/>
                <w:szCs w:val="24"/>
                <w:highlight w:val="none"/>
              </w:rPr>
            </w:pPr>
          </w:p>
        </w:tc>
      </w:tr>
      <w:tr w14:paraId="5A24C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61DB552">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165E6174">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6F60A36A">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08842E16">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13426083">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78361A00">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2B335768">
            <w:pPr>
              <w:pStyle w:val="9"/>
              <w:keepNext/>
              <w:spacing w:after="0" w:line="440" w:lineRule="exact"/>
              <w:ind w:left="63" w:right="63"/>
              <w:rPr>
                <w:rFonts w:ascii="Calibri" w:hAnsi="Calibri" w:eastAsia="仿宋_GB2312"/>
                <w:color w:val="auto"/>
                <w:kern w:val="2"/>
                <w:sz w:val="22"/>
                <w:szCs w:val="24"/>
                <w:highlight w:val="none"/>
              </w:rPr>
            </w:pPr>
          </w:p>
        </w:tc>
      </w:tr>
      <w:tr w14:paraId="19C9F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0FF581">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7589F63D">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18D97EAE">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61D5A873">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7A84C1DF">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5A343AFF">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3487BEE0">
            <w:pPr>
              <w:pStyle w:val="9"/>
              <w:keepNext/>
              <w:spacing w:after="0" w:line="440" w:lineRule="exact"/>
              <w:ind w:left="63" w:right="63"/>
              <w:rPr>
                <w:rFonts w:ascii="Calibri" w:hAnsi="Calibri" w:eastAsia="仿宋_GB2312"/>
                <w:color w:val="auto"/>
                <w:kern w:val="2"/>
                <w:sz w:val="22"/>
                <w:szCs w:val="24"/>
                <w:highlight w:val="none"/>
              </w:rPr>
            </w:pPr>
          </w:p>
        </w:tc>
      </w:tr>
      <w:tr w14:paraId="71B67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9E40C1">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03C7454E">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5D2F3379">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42BC16BA">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1497D656">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7F6D4A5D">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3047E94F">
            <w:pPr>
              <w:pStyle w:val="9"/>
              <w:keepNext/>
              <w:spacing w:after="0" w:line="440" w:lineRule="exact"/>
              <w:ind w:left="63" w:right="63"/>
              <w:rPr>
                <w:rFonts w:ascii="Calibri" w:hAnsi="Calibri" w:eastAsia="仿宋_GB2312"/>
                <w:color w:val="auto"/>
                <w:kern w:val="2"/>
                <w:sz w:val="22"/>
                <w:szCs w:val="24"/>
                <w:highlight w:val="none"/>
              </w:rPr>
            </w:pPr>
          </w:p>
        </w:tc>
      </w:tr>
      <w:tr w14:paraId="70DC7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13F55F0">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4F097217">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201A7A53">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0049157A">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1A5122C4">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7EDCDA44">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3BC3C5C6">
            <w:pPr>
              <w:pStyle w:val="9"/>
              <w:keepNext/>
              <w:spacing w:after="0" w:line="440" w:lineRule="exact"/>
              <w:ind w:left="63" w:right="63"/>
              <w:rPr>
                <w:rFonts w:ascii="Calibri" w:hAnsi="Calibri" w:eastAsia="仿宋_GB2312"/>
                <w:color w:val="auto"/>
                <w:kern w:val="2"/>
                <w:sz w:val="22"/>
                <w:szCs w:val="24"/>
                <w:highlight w:val="none"/>
              </w:rPr>
            </w:pPr>
          </w:p>
        </w:tc>
      </w:tr>
      <w:tr w14:paraId="0B027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6CF97F">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41F635AF">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56C2C862">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3D328F5C">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63B6CB1D">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0489C54D">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3E1AE063">
            <w:pPr>
              <w:pStyle w:val="9"/>
              <w:keepNext/>
              <w:spacing w:after="0" w:line="440" w:lineRule="exact"/>
              <w:ind w:left="63" w:right="63"/>
              <w:rPr>
                <w:rFonts w:ascii="Calibri" w:hAnsi="Calibri" w:eastAsia="仿宋_GB2312"/>
                <w:color w:val="auto"/>
                <w:kern w:val="2"/>
                <w:sz w:val="22"/>
                <w:szCs w:val="24"/>
                <w:highlight w:val="none"/>
              </w:rPr>
            </w:pPr>
          </w:p>
        </w:tc>
      </w:tr>
      <w:tr w14:paraId="1DE80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10B40B">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55EF1F44">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12222A05">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2F1CFDEC">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65FE2CAD">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48BAE97B">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3AB42AE4">
            <w:pPr>
              <w:pStyle w:val="9"/>
              <w:keepNext/>
              <w:spacing w:after="0" w:line="440" w:lineRule="exact"/>
              <w:ind w:left="63" w:right="63"/>
              <w:rPr>
                <w:rFonts w:ascii="Calibri" w:hAnsi="Calibri" w:eastAsia="仿宋_GB2312"/>
                <w:color w:val="auto"/>
                <w:kern w:val="2"/>
                <w:sz w:val="22"/>
                <w:szCs w:val="24"/>
                <w:highlight w:val="none"/>
              </w:rPr>
            </w:pPr>
          </w:p>
        </w:tc>
      </w:tr>
      <w:tr w14:paraId="089C2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3DF97D">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6DF3B191">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48B8648B">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6137004B">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1638AE1E">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587B653D">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5469F3BA">
            <w:pPr>
              <w:pStyle w:val="9"/>
              <w:keepNext/>
              <w:spacing w:after="0" w:line="440" w:lineRule="exact"/>
              <w:ind w:left="63" w:right="63"/>
              <w:rPr>
                <w:rFonts w:ascii="Calibri" w:hAnsi="Calibri" w:eastAsia="仿宋_GB2312"/>
                <w:color w:val="auto"/>
                <w:kern w:val="2"/>
                <w:sz w:val="22"/>
                <w:szCs w:val="24"/>
                <w:highlight w:val="none"/>
              </w:rPr>
            </w:pPr>
          </w:p>
        </w:tc>
      </w:tr>
      <w:tr w14:paraId="07AA5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AE7699">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6A27F1AD">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5D627B61">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26728C38">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29156E39">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65185083">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4A641F77">
            <w:pPr>
              <w:pStyle w:val="9"/>
              <w:keepNext/>
              <w:spacing w:after="0" w:line="440" w:lineRule="exact"/>
              <w:ind w:left="63" w:right="63"/>
              <w:rPr>
                <w:rFonts w:ascii="Calibri" w:hAnsi="Calibri" w:eastAsia="仿宋_GB2312"/>
                <w:color w:val="auto"/>
                <w:kern w:val="2"/>
                <w:sz w:val="22"/>
                <w:szCs w:val="24"/>
                <w:highlight w:val="none"/>
              </w:rPr>
            </w:pPr>
          </w:p>
        </w:tc>
      </w:tr>
      <w:tr w14:paraId="6E075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1799C7">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0AC05A78">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55E67AE3">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3EBFF5FF">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50723CA7">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38B53AEA">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4AF0DF48">
            <w:pPr>
              <w:pStyle w:val="9"/>
              <w:keepNext/>
              <w:spacing w:after="0" w:line="440" w:lineRule="exact"/>
              <w:ind w:left="63" w:right="63"/>
              <w:rPr>
                <w:rFonts w:ascii="Calibri" w:hAnsi="Calibri" w:eastAsia="仿宋_GB2312"/>
                <w:color w:val="auto"/>
                <w:kern w:val="2"/>
                <w:sz w:val="22"/>
                <w:szCs w:val="24"/>
                <w:highlight w:val="none"/>
              </w:rPr>
            </w:pPr>
          </w:p>
        </w:tc>
      </w:tr>
      <w:tr w14:paraId="5FE8F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01A5F6">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2A259E84">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43F400EB">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1E32219F">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57532277">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1AC78C4C">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23AC9174">
            <w:pPr>
              <w:pStyle w:val="9"/>
              <w:keepNext/>
              <w:spacing w:after="0" w:line="440" w:lineRule="exact"/>
              <w:ind w:left="63" w:right="63"/>
              <w:rPr>
                <w:rFonts w:ascii="Calibri" w:hAnsi="Calibri" w:eastAsia="仿宋_GB2312"/>
                <w:color w:val="auto"/>
                <w:kern w:val="2"/>
                <w:sz w:val="22"/>
                <w:szCs w:val="24"/>
                <w:highlight w:val="none"/>
              </w:rPr>
            </w:pPr>
          </w:p>
        </w:tc>
      </w:tr>
      <w:tr w14:paraId="3F5B4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F5E86C">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72EAFE42">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6D9A772C">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0F45731C">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66110981">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6778896B">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1AAACF59">
            <w:pPr>
              <w:pStyle w:val="9"/>
              <w:keepNext/>
              <w:spacing w:after="0" w:line="440" w:lineRule="exact"/>
              <w:ind w:left="63" w:right="63"/>
              <w:rPr>
                <w:rFonts w:ascii="Calibri" w:hAnsi="Calibri" w:eastAsia="仿宋_GB2312"/>
                <w:color w:val="auto"/>
                <w:kern w:val="2"/>
                <w:sz w:val="22"/>
                <w:szCs w:val="24"/>
                <w:highlight w:val="none"/>
              </w:rPr>
            </w:pPr>
          </w:p>
        </w:tc>
      </w:tr>
      <w:tr w14:paraId="1F4BC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D39484">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3D6B3289">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1E66B957">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3B9D6ED7">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7B7498EC">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36024936">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334DB830">
            <w:pPr>
              <w:pStyle w:val="9"/>
              <w:keepNext/>
              <w:spacing w:after="0" w:line="440" w:lineRule="exact"/>
              <w:ind w:left="63" w:right="63"/>
              <w:rPr>
                <w:rFonts w:ascii="Calibri" w:hAnsi="Calibri" w:eastAsia="仿宋_GB2312"/>
                <w:color w:val="auto"/>
                <w:kern w:val="2"/>
                <w:sz w:val="22"/>
                <w:szCs w:val="24"/>
                <w:highlight w:val="none"/>
              </w:rPr>
            </w:pPr>
          </w:p>
        </w:tc>
      </w:tr>
      <w:tr w14:paraId="4A6267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8DBEAD0">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2A38516B">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36748F23">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3E697FEF">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01DBE5E3">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53AFD6EB">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1D0252A1">
            <w:pPr>
              <w:pStyle w:val="9"/>
              <w:keepNext/>
              <w:spacing w:after="0" w:line="440" w:lineRule="exact"/>
              <w:ind w:left="63" w:right="63"/>
              <w:rPr>
                <w:rFonts w:ascii="Calibri" w:hAnsi="Calibri" w:eastAsia="仿宋_GB2312"/>
                <w:color w:val="auto"/>
                <w:kern w:val="2"/>
                <w:sz w:val="22"/>
                <w:szCs w:val="24"/>
                <w:highlight w:val="none"/>
              </w:rPr>
            </w:pPr>
          </w:p>
        </w:tc>
      </w:tr>
      <w:tr w14:paraId="3866E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15311F5">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52745E1D">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283CA573">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0930BB01">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62DB5B67">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32ED3E09">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5981125E">
            <w:pPr>
              <w:pStyle w:val="9"/>
              <w:keepNext/>
              <w:spacing w:after="0" w:line="440" w:lineRule="exact"/>
              <w:ind w:left="63" w:right="63"/>
              <w:rPr>
                <w:rFonts w:ascii="Calibri" w:hAnsi="Calibri" w:eastAsia="仿宋_GB2312"/>
                <w:color w:val="auto"/>
                <w:kern w:val="2"/>
                <w:sz w:val="22"/>
                <w:szCs w:val="24"/>
                <w:highlight w:val="none"/>
              </w:rPr>
            </w:pPr>
          </w:p>
        </w:tc>
      </w:tr>
      <w:tr w14:paraId="09C89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D52125">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2D48051F">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4B526A06">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6981CA91">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7C3DBE1E">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712DFEDA">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1F64D7BF">
            <w:pPr>
              <w:pStyle w:val="9"/>
              <w:keepNext/>
              <w:spacing w:after="0" w:line="440" w:lineRule="exact"/>
              <w:ind w:left="63" w:right="63"/>
              <w:rPr>
                <w:rFonts w:ascii="Calibri" w:hAnsi="Calibri" w:eastAsia="仿宋_GB2312"/>
                <w:color w:val="auto"/>
                <w:kern w:val="2"/>
                <w:sz w:val="22"/>
                <w:szCs w:val="24"/>
                <w:highlight w:val="none"/>
              </w:rPr>
            </w:pPr>
          </w:p>
        </w:tc>
      </w:tr>
    </w:tbl>
    <w:p w14:paraId="25B41797">
      <w:pPr>
        <w:spacing w:before="120" w:beforeLines="50" w:after="120" w:afterLines="50" w:line="440" w:lineRule="exact"/>
        <w:rPr>
          <w:rFonts w:hint="eastAsia" w:eastAsia="黑体"/>
          <w:color w:val="auto"/>
          <w:sz w:val="24"/>
          <w:szCs w:val="24"/>
          <w:highlight w:val="none"/>
        </w:rPr>
      </w:pPr>
    </w:p>
    <w:p w14:paraId="73E26096">
      <w:pPr>
        <w:spacing w:before="120" w:beforeLines="50" w:after="120" w:afterLines="50" w:line="440" w:lineRule="exact"/>
        <w:jc w:val="center"/>
        <w:rPr>
          <w:rFonts w:eastAsia="黑体"/>
          <w:color w:val="auto"/>
          <w:sz w:val="24"/>
          <w:szCs w:val="24"/>
          <w:highlight w:val="none"/>
        </w:rPr>
      </w:pPr>
      <w:r>
        <w:rPr>
          <w:rFonts w:hint="eastAsia" w:eastAsia="黑体"/>
          <w:color w:val="auto"/>
          <w:sz w:val="24"/>
          <w:szCs w:val="24"/>
          <w:highlight w:val="none"/>
        </w:rPr>
        <w:t>4</w:t>
      </w:r>
      <w:r>
        <w:rPr>
          <w:rFonts w:eastAsia="黑体"/>
          <w:color w:val="auto"/>
          <w:sz w:val="24"/>
          <w:szCs w:val="24"/>
          <w:highlight w:val="none"/>
        </w:rPr>
        <w:t>-2：工程设备暂估价表</w:t>
      </w:r>
    </w:p>
    <w:tbl>
      <w:tblPr>
        <w:tblStyle w:val="18"/>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652F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6635D27A">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序号</w:t>
            </w:r>
          </w:p>
        </w:tc>
        <w:tc>
          <w:tcPr>
            <w:tcW w:w="1984" w:type="dxa"/>
            <w:tcBorders>
              <w:top w:val="single" w:color="auto" w:sz="12" w:space="0"/>
              <w:bottom w:val="double" w:color="auto" w:sz="6" w:space="0"/>
            </w:tcBorders>
            <w:noWrap w:val="0"/>
            <w:vAlign w:val="top"/>
          </w:tcPr>
          <w:p w14:paraId="2AC9BAC4">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名称</w:t>
            </w:r>
          </w:p>
        </w:tc>
        <w:tc>
          <w:tcPr>
            <w:tcW w:w="851" w:type="dxa"/>
            <w:tcBorders>
              <w:top w:val="single" w:color="auto" w:sz="12" w:space="0"/>
              <w:bottom w:val="double" w:color="auto" w:sz="6" w:space="0"/>
            </w:tcBorders>
            <w:noWrap w:val="0"/>
            <w:vAlign w:val="top"/>
          </w:tcPr>
          <w:p w14:paraId="63DC1C47">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单位</w:t>
            </w:r>
          </w:p>
        </w:tc>
        <w:tc>
          <w:tcPr>
            <w:tcW w:w="774" w:type="dxa"/>
            <w:tcBorders>
              <w:top w:val="single" w:color="auto" w:sz="12" w:space="0"/>
              <w:bottom w:val="double" w:color="auto" w:sz="6" w:space="0"/>
            </w:tcBorders>
            <w:noWrap w:val="0"/>
            <w:vAlign w:val="top"/>
          </w:tcPr>
          <w:p w14:paraId="6A333724">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数量</w:t>
            </w:r>
          </w:p>
        </w:tc>
        <w:tc>
          <w:tcPr>
            <w:tcW w:w="1352" w:type="dxa"/>
            <w:tcBorders>
              <w:top w:val="single" w:color="auto" w:sz="12" w:space="0"/>
              <w:bottom w:val="double" w:color="auto" w:sz="6" w:space="0"/>
            </w:tcBorders>
            <w:noWrap w:val="0"/>
            <w:vAlign w:val="top"/>
          </w:tcPr>
          <w:p w14:paraId="548FF059">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单价</w:t>
            </w:r>
            <w:r>
              <w:rPr>
                <w:rFonts w:hint="eastAsia" w:ascii="Calibri" w:hAnsi="Calibri" w:eastAsia="仿宋_GB2312"/>
                <w:color w:val="auto"/>
                <w:kern w:val="2"/>
                <w:sz w:val="22"/>
                <w:szCs w:val="24"/>
                <w:highlight w:val="none"/>
              </w:rPr>
              <w:t>（元）</w:t>
            </w:r>
          </w:p>
        </w:tc>
        <w:tc>
          <w:tcPr>
            <w:tcW w:w="1418" w:type="dxa"/>
            <w:tcBorders>
              <w:top w:val="single" w:color="auto" w:sz="12" w:space="0"/>
              <w:bottom w:val="double" w:color="auto" w:sz="6" w:space="0"/>
            </w:tcBorders>
            <w:noWrap w:val="0"/>
            <w:vAlign w:val="top"/>
          </w:tcPr>
          <w:p w14:paraId="6931C8F6">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合价</w:t>
            </w:r>
            <w:r>
              <w:rPr>
                <w:rFonts w:hint="eastAsia" w:ascii="Calibri" w:hAnsi="Calibri" w:eastAsia="仿宋_GB2312"/>
                <w:color w:val="auto"/>
                <w:kern w:val="2"/>
                <w:sz w:val="22"/>
                <w:szCs w:val="24"/>
                <w:highlight w:val="none"/>
              </w:rPr>
              <w:t>（元）</w:t>
            </w:r>
          </w:p>
        </w:tc>
        <w:tc>
          <w:tcPr>
            <w:tcW w:w="1701" w:type="dxa"/>
            <w:tcBorders>
              <w:top w:val="single" w:color="auto" w:sz="12" w:space="0"/>
              <w:bottom w:val="double" w:color="auto" w:sz="6" w:space="0"/>
            </w:tcBorders>
            <w:noWrap w:val="0"/>
            <w:vAlign w:val="top"/>
          </w:tcPr>
          <w:p w14:paraId="4F6390AB">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备注</w:t>
            </w:r>
          </w:p>
        </w:tc>
      </w:tr>
      <w:tr w14:paraId="3FA7B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AC1FA8B">
            <w:pPr>
              <w:pStyle w:val="9"/>
              <w:keepNext/>
              <w:spacing w:after="0" w:line="440" w:lineRule="exact"/>
              <w:ind w:left="63" w:right="63"/>
              <w:rPr>
                <w:rFonts w:ascii="Calibri" w:hAnsi="Calibri" w:eastAsia="仿宋_GB2312"/>
                <w:color w:val="auto"/>
                <w:kern w:val="2"/>
                <w:sz w:val="22"/>
                <w:szCs w:val="24"/>
                <w:highlight w:val="none"/>
              </w:rPr>
            </w:pPr>
          </w:p>
        </w:tc>
        <w:tc>
          <w:tcPr>
            <w:tcW w:w="1984" w:type="dxa"/>
            <w:tcBorders>
              <w:top w:val="double" w:color="auto" w:sz="6" w:space="0"/>
              <w:bottom w:val="single" w:color="auto" w:sz="6" w:space="0"/>
            </w:tcBorders>
            <w:noWrap w:val="0"/>
            <w:vAlign w:val="top"/>
          </w:tcPr>
          <w:p w14:paraId="01541C76">
            <w:pPr>
              <w:pStyle w:val="9"/>
              <w:keepNext/>
              <w:spacing w:after="0" w:line="440" w:lineRule="exact"/>
              <w:ind w:left="63" w:right="63"/>
              <w:rPr>
                <w:rFonts w:ascii="Calibri" w:hAnsi="Calibri" w:eastAsia="仿宋_GB2312"/>
                <w:color w:val="auto"/>
                <w:kern w:val="2"/>
                <w:sz w:val="22"/>
                <w:szCs w:val="24"/>
                <w:highlight w:val="none"/>
              </w:rPr>
            </w:pPr>
          </w:p>
        </w:tc>
        <w:tc>
          <w:tcPr>
            <w:tcW w:w="851" w:type="dxa"/>
            <w:tcBorders>
              <w:top w:val="double" w:color="auto" w:sz="6" w:space="0"/>
              <w:bottom w:val="single" w:color="auto" w:sz="6" w:space="0"/>
            </w:tcBorders>
            <w:noWrap w:val="0"/>
            <w:vAlign w:val="top"/>
          </w:tcPr>
          <w:p w14:paraId="68910605">
            <w:pPr>
              <w:pStyle w:val="9"/>
              <w:keepNext/>
              <w:spacing w:after="0" w:line="440" w:lineRule="exact"/>
              <w:ind w:left="63" w:right="63"/>
              <w:rPr>
                <w:rFonts w:ascii="Calibri" w:hAnsi="Calibri" w:eastAsia="仿宋_GB2312"/>
                <w:color w:val="auto"/>
                <w:kern w:val="2"/>
                <w:sz w:val="22"/>
                <w:szCs w:val="24"/>
                <w:highlight w:val="none"/>
              </w:rPr>
            </w:pPr>
          </w:p>
        </w:tc>
        <w:tc>
          <w:tcPr>
            <w:tcW w:w="774" w:type="dxa"/>
            <w:tcBorders>
              <w:top w:val="double" w:color="auto" w:sz="6" w:space="0"/>
              <w:bottom w:val="single" w:color="auto" w:sz="6" w:space="0"/>
            </w:tcBorders>
            <w:noWrap w:val="0"/>
            <w:vAlign w:val="top"/>
          </w:tcPr>
          <w:p w14:paraId="51F82AF7">
            <w:pPr>
              <w:pStyle w:val="9"/>
              <w:keepNext/>
              <w:spacing w:after="0" w:line="440" w:lineRule="exact"/>
              <w:ind w:left="63" w:right="63"/>
              <w:rPr>
                <w:rFonts w:ascii="Calibri" w:hAnsi="Calibri" w:eastAsia="仿宋_GB2312"/>
                <w:color w:val="auto"/>
                <w:kern w:val="2"/>
                <w:sz w:val="22"/>
                <w:szCs w:val="24"/>
                <w:highlight w:val="none"/>
              </w:rPr>
            </w:pPr>
          </w:p>
        </w:tc>
        <w:tc>
          <w:tcPr>
            <w:tcW w:w="1352" w:type="dxa"/>
            <w:tcBorders>
              <w:top w:val="double" w:color="auto" w:sz="6" w:space="0"/>
              <w:bottom w:val="single" w:color="auto" w:sz="6" w:space="0"/>
            </w:tcBorders>
            <w:noWrap w:val="0"/>
            <w:vAlign w:val="top"/>
          </w:tcPr>
          <w:p w14:paraId="633BB199">
            <w:pPr>
              <w:pStyle w:val="9"/>
              <w:keepNext/>
              <w:spacing w:after="0" w:line="440" w:lineRule="exact"/>
              <w:ind w:left="63" w:right="63"/>
              <w:rPr>
                <w:rFonts w:ascii="Calibri" w:hAnsi="Calibri" w:eastAsia="仿宋_GB2312"/>
                <w:color w:val="auto"/>
                <w:kern w:val="2"/>
                <w:sz w:val="22"/>
                <w:szCs w:val="24"/>
                <w:highlight w:val="none"/>
              </w:rPr>
            </w:pPr>
          </w:p>
        </w:tc>
        <w:tc>
          <w:tcPr>
            <w:tcW w:w="1418" w:type="dxa"/>
            <w:tcBorders>
              <w:top w:val="double" w:color="auto" w:sz="6" w:space="0"/>
              <w:bottom w:val="single" w:color="auto" w:sz="6" w:space="0"/>
            </w:tcBorders>
            <w:noWrap w:val="0"/>
            <w:vAlign w:val="top"/>
          </w:tcPr>
          <w:p w14:paraId="46501A12">
            <w:pPr>
              <w:pStyle w:val="9"/>
              <w:keepNext/>
              <w:spacing w:after="0" w:line="440" w:lineRule="exact"/>
              <w:ind w:left="63" w:right="63"/>
              <w:rPr>
                <w:rFonts w:ascii="Calibri" w:hAnsi="Calibri" w:eastAsia="仿宋_GB2312"/>
                <w:color w:val="auto"/>
                <w:kern w:val="2"/>
                <w:sz w:val="22"/>
                <w:szCs w:val="24"/>
                <w:highlight w:val="none"/>
              </w:rPr>
            </w:pPr>
          </w:p>
        </w:tc>
        <w:tc>
          <w:tcPr>
            <w:tcW w:w="1701" w:type="dxa"/>
            <w:tcBorders>
              <w:top w:val="double" w:color="auto" w:sz="6" w:space="0"/>
              <w:bottom w:val="single" w:color="auto" w:sz="6" w:space="0"/>
            </w:tcBorders>
            <w:noWrap w:val="0"/>
            <w:vAlign w:val="top"/>
          </w:tcPr>
          <w:p w14:paraId="08E04B95">
            <w:pPr>
              <w:pStyle w:val="9"/>
              <w:keepNext/>
              <w:spacing w:after="0" w:line="440" w:lineRule="exact"/>
              <w:ind w:left="63" w:right="63"/>
              <w:rPr>
                <w:rFonts w:ascii="Calibri" w:hAnsi="Calibri" w:eastAsia="仿宋_GB2312"/>
                <w:color w:val="auto"/>
                <w:kern w:val="2"/>
                <w:sz w:val="22"/>
                <w:szCs w:val="24"/>
                <w:highlight w:val="none"/>
              </w:rPr>
            </w:pPr>
          </w:p>
        </w:tc>
      </w:tr>
      <w:tr w14:paraId="5CC14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99F43E1">
            <w:pPr>
              <w:pStyle w:val="9"/>
              <w:keepNext/>
              <w:spacing w:after="0" w:line="440" w:lineRule="exact"/>
              <w:ind w:left="63" w:right="63"/>
              <w:rPr>
                <w:rFonts w:ascii="Calibri" w:hAnsi="Calibri" w:eastAsia="仿宋_GB2312"/>
                <w:color w:val="auto"/>
                <w:kern w:val="2"/>
                <w:sz w:val="22"/>
                <w:szCs w:val="24"/>
                <w:highlight w:val="none"/>
              </w:rPr>
            </w:pPr>
          </w:p>
        </w:tc>
        <w:tc>
          <w:tcPr>
            <w:tcW w:w="1984" w:type="dxa"/>
            <w:tcBorders>
              <w:top w:val="nil"/>
            </w:tcBorders>
            <w:noWrap w:val="0"/>
            <w:vAlign w:val="top"/>
          </w:tcPr>
          <w:p w14:paraId="17D6781B">
            <w:pPr>
              <w:pStyle w:val="9"/>
              <w:keepNext/>
              <w:spacing w:after="0" w:line="440" w:lineRule="exact"/>
              <w:ind w:left="63" w:right="63"/>
              <w:rPr>
                <w:rFonts w:ascii="Calibri" w:hAnsi="Calibri" w:eastAsia="仿宋_GB2312"/>
                <w:color w:val="auto"/>
                <w:kern w:val="2"/>
                <w:sz w:val="22"/>
                <w:szCs w:val="24"/>
                <w:highlight w:val="none"/>
              </w:rPr>
            </w:pPr>
          </w:p>
        </w:tc>
        <w:tc>
          <w:tcPr>
            <w:tcW w:w="851" w:type="dxa"/>
            <w:tcBorders>
              <w:top w:val="nil"/>
            </w:tcBorders>
            <w:noWrap w:val="0"/>
            <w:vAlign w:val="top"/>
          </w:tcPr>
          <w:p w14:paraId="76999901">
            <w:pPr>
              <w:pStyle w:val="9"/>
              <w:keepNext/>
              <w:spacing w:after="0" w:line="440" w:lineRule="exact"/>
              <w:ind w:left="63" w:right="63"/>
              <w:rPr>
                <w:rFonts w:ascii="Calibri" w:hAnsi="Calibri" w:eastAsia="仿宋_GB2312"/>
                <w:color w:val="auto"/>
                <w:kern w:val="2"/>
                <w:sz w:val="22"/>
                <w:szCs w:val="24"/>
                <w:highlight w:val="none"/>
              </w:rPr>
            </w:pPr>
          </w:p>
        </w:tc>
        <w:tc>
          <w:tcPr>
            <w:tcW w:w="774" w:type="dxa"/>
            <w:tcBorders>
              <w:top w:val="nil"/>
            </w:tcBorders>
            <w:noWrap w:val="0"/>
            <w:vAlign w:val="top"/>
          </w:tcPr>
          <w:p w14:paraId="2FA93FB1">
            <w:pPr>
              <w:pStyle w:val="9"/>
              <w:keepNext/>
              <w:spacing w:after="0" w:line="440" w:lineRule="exact"/>
              <w:ind w:left="63" w:right="63"/>
              <w:rPr>
                <w:rFonts w:ascii="Calibri" w:hAnsi="Calibri" w:eastAsia="仿宋_GB2312"/>
                <w:color w:val="auto"/>
                <w:kern w:val="2"/>
                <w:sz w:val="22"/>
                <w:szCs w:val="24"/>
                <w:highlight w:val="none"/>
              </w:rPr>
            </w:pPr>
          </w:p>
        </w:tc>
        <w:tc>
          <w:tcPr>
            <w:tcW w:w="1352" w:type="dxa"/>
            <w:tcBorders>
              <w:top w:val="nil"/>
            </w:tcBorders>
            <w:noWrap w:val="0"/>
            <w:vAlign w:val="top"/>
          </w:tcPr>
          <w:p w14:paraId="124BF926">
            <w:pPr>
              <w:pStyle w:val="9"/>
              <w:keepNext/>
              <w:spacing w:after="0" w:line="440" w:lineRule="exact"/>
              <w:ind w:left="63" w:right="63"/>
              <w:rPr>
                <w:rFonts w:ascii="Calibri" w:hAnsi="Calibri" w:eastAsia="仿宋_GB2312"/>
                <w:color w:val="auto"/>
                <w:kern w:val="2"/>
                <w:sz w:val="22"/>
                <w:szCs w:val="24"/>
                <w:highlight w:val="none"/>
              </w:rPr>
            </w:pPr>
          </w:p>
        </w:tc>
        <w:tc>
          <w:tcPr>
            <w:tcW w:w="1418" w:type="dxa"/>
            <w:tcBorders>
              <w:top w:val="nil"/>
            </w:tcBorders>
            <w:noWrap w:val="0"/>
            <w:vAlign w:val="top"/>
          </w:tcPr>
          <w:p w14:paraId="49B044C0">
            <w:pPr>
              <w:pStyle w:val="9"/>
              <w:keepNext/>
              <w:spacing w:after="0" w:line="440" w:lineRule="exact"/>
              <w:ind w:left="63" w:right="63"/>
              <w:rPr>
                <w:rFonts w:ascii="Calibri" w:hAnsi="Calibri" w:eastAsia="仿宋_GB2312"/>
                <w:color w:val="auto"/>
                <w:kern w:val="2"/>
                <w:sz w:val="22"/>
                <w:szCs w:val="24"/>
                <w:highlight w:val="none"/>
              </w:rPr>
            </w:pPr>
          </w:p>
        </w:tc>
        <w:tc>
          <w:tcPr>
            <w:tcW w:w="1701" w:type="dxa"/>
            <w:tcBorders>
              <w:top w:val="nil"/>
            </w:tcBorders>
            <w:noWrap w:val="0"/>
            <w:vAlign w:val="top"/>
          </w:tcPr>
          <w:p w14:paraId="3F368802">
            <w:pPr>
              <w:pStyle w:val="9"/>
              <w:keepNext/>
              <w:spacing w:after="0" w:line="440" w:lineRule="exact"/>
              <w:ind w:left="63" w:right="63"/>
              <w:rPr>
                <w:rFonts w:ascii="Calibri" w:hAnsi="Calibri" w:eastAsia="仿宋_GB2312"/>
                <w:color w:val="auto"/>
                <w:kern w:val="2"/>
                <w:sz w:val="22"/>
                <w:szCs w:val="24"/>
                <w:highlight w:val="none"/>
              </w:rPr>
            </w:pPr>
          </w:p>
        </w:tc>
      </w:tr>
      <w:tr w14:paraId="32D46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C41BC5">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2459991C">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59923F25">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1BB2C3E3">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7054F6B8">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0858E0B8">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23AAB9C3">
            <w:pPr>
              <w:pStyle w:val="9"/>
              <w:keepNext/>
              <w:spacing w:after="0" w:line="440" w:lineRule="exact"/>
              <w:ind w:left="63" w:right="63"/>
              <w:rPr>
                <w:rFonts w:ascii="Calibri" w:hAnsi="Calibri" w:eastAsia="仿宋_GB2312"/>
                <w:color w:val="auto"/>
                <w:kern w:val="2"/>
                <w:sz w:val="22"/>
                <w:szCs w:val="24"/>
                <w:highlight w:val="none"/>
              </w:rPr>
            </w:pPr>
          </w:p>
        </w:tc>
      </w:tr>
      <w:tr w14:paraId="6D034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5AC9748">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18B60F85">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476BD3F4">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6102164E">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1BFEBFD0">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06EA1B6A">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19D98435">
            <w:pPr>
              <w:pStyle w:val="9"/>
              <w:keepNext/>
              <w:spacing w:after="0" w:line="440" w:lineRule="exact"/>
              <w:ind w:left="63" w:right="63"/>
              <w:rPr>
                <w:rFonts w:ascii="Calibri" w:hAnsi="Calibri" w:eastAsia="仿宋_GB2312"/>
                <w:color w:val="auto"/>
                <w:kern w:val="2"/>
                <w:sz w:val="22"/>
                <w:szCs w:val="24"/>
                <w:highlight w:val="none"/>
              </w:rPr>
            </w:pPr>
          </w:p>
        </w:tc>
      </w:tr>
      <w:tr w14:paraId="446DF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30B988">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3594155F">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3E9696D8">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45EF99D1">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74CFD947">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43DF2CB8">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61A8E9F0">
            <w:pPr>
              <w:pStyle w:val="9"/>
              <w:keepNext/>
              <w:spacing w:after="0" w:line="440" w:lineRule="exact"/>
              <w:ind w:left="63" w:right="63"/>
              <w:rPr>
                <w:rFonts w:ascii="Calibri" w:hAnsi="Calibri" w:eastAsia="仿宋_GB2312"/>
                <w:color w:val="auto"/>
                <w:kern w:val="2"/>
                <w:sz w:val="22"/>
                <w:szCs w:val="24"/>
                <w:highlight w:val="none"/>
              </w:rPr>
            </w:pPr>
          </w:p>
        </w:tc>
      </w:tr>
      <w:tr w14:paraId="20474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1A6333">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5C25E1C3">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3A860156">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26067CCF">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486FD110">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0FFF30AF">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582F53E4">
            <w:pPr>
              <w:pStyle w:val="9"/>
              <w:keepNext/>
              <w:spacing w:after="0" w:line="440" w:lineRule="exact"/>
              <w:ind w:left="63" w:right="63"/>
              <w:rPr>
                <w:rFonts w:ascii="Calibri" w:hAnsi="Calibri" w:eastAsia="仿宋_GB2312"/>
                <w:color w:val="auto"/>
                <w:kern w:val="2"/>
                <w:sz w:val="22"/>
                <w:szCs w:val="24"/>
                <w:highlight w:val="none"/>
              </w:rPr>
            </w:pPr>
          </w:p>
        </w:tc>
      </w:tr>
      <w:tr w14:paraId="6D9D3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D775CE4">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3E294F63">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32C63A17">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18A02878">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014E1191">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3219B4D5">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39BFBB4F">
            <w:pPr>
              <w:pStyle w:val="9"/>
              <w:keepNext/>
              <w:spacing w:after="0" w:line="440" w:lineRule="exact"/>
              <w:ind w:left="63" w:right="63"/>
              <w:rPr>
                <w:rFonts w:ascii="Calibri" w:hAnsi="Calibri" w:eastAsia="仿宋_GB2312"/>
                <w:color w:val="auto"/>
                <w:kern w:val="2"/>
                <w:sz w:val="22"/>
                <w:szCs w:val="24"/>
                <w:highlight w:val="none"/>
              </w:rPr>
            </w:pPr>
          </w:p>
        </w:tc>
      </w:tr>
      <w:tr w14:paraId="71861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A88145">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2D1152F0">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08370918">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403BAB2E">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192294B9">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6A09B90D">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666B7D4C">
            <w:pPr>
              <w:pStyle w:val="9"/>
              <w:keepNext/>
              <w:spacing w:after="0" w:line="440" w:lineRule="exact"/>
              <w:ind w:left="63" w:right="63"/>
              <w:rPr>
                <w:rFonts w:ascii="Calibri" w:hAnsi="Calibri" w:eastAsia="仿宋_GB2312"/>
                <w:color w:val="auto"/>
                <w:kern w:val="2"/>
                <w:sz w:val="22"/>
                <w:szCs w:val="24"/>
                <w:highlight w:val="none"/>
              </w:rPr>
            </w:pPr>
          </w:p>
        </w:tc>
      </w:tr>
      <w:tr w14:paraId="32164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C2F7D5">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5467B93D">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189F3366">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6131D2E8">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2CB246A5">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21C0AC4C">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70E9D240">
            <w:pPr>
              <w:pStyle w:val="9"/>
              <w:keepNext/>
              <w:spacing w:after="0" w:line="440" w:lineRule="exact"/>
              <w:ind w:left="63" w:right="63"/>
              <w:rPr>
                <w:rFonts w:ascii="Calibri" w:hAnsi="Calibri" w:eastAsia="仿宋_GB2312"/>
                <w:color w:val="auto"/>
                <w:kern w:val="2"/>
                <w:sz w:val="22"/>
                <w:szCs w:val="24"/>
                <w:highlight w:val="none"/>
              </w:rPr>
            </w:pPr>
          </w:p>
        </w:tc>
      </w:tr>
      <w:tr w14:paraId="56D02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EA39D5">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7149026E">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6DFC2404">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2E2D3D68">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5BC5A503">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3857F06E">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3F029F2E">
            <w:pPr>
              <w:pStyle w:val="9"/>
              <w:keepNext/>
              <w:spacing w:after="0" w:line="440" w:lineRule="exact"/>
              <w:ind w:left="63" w:right="63"/>
              <w:rPr>
                <w:rFonts w:ascii="Calibri" w:hAnsi="Calibri" w:eastAsia="仿宋_GB2312"/>
                <w:color w:val="auto"/>
                <w:kern w:val="2"/>
                <w:sz w:val="22"/>
                <w:szCs w:val="24"/>
                <w:highlight w:val="none"/>
              </w:rPr>
            </w:pPr>
          </w:p>
        </w:tc>
      </w:tr>
      <w:tr w14:paraId="6031E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0ACF13">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3A63FB08">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0BF5562B">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1C554728">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0192F924">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763CD02B">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4D5B1907">
            <w:pPr>
              <w:pStyle w:val="9"/>
              <w:keepNext/>
              <w:spacing w:after="0" w:line="440" w:lineRule="exact"/>
              <w:ind w:left="63" w:right="63"/>
              <w:rPr>
                <w:rFonts w:ascii="Calibri" w:hAnsi="Calibri" w:eastAsia="仿宋_GB2312"/>
                <w:color w:val="auto"/>
                <w:kern w:val="2"/>
                <w:sz w:val="22"/>
                <w:szCs w:val="24"/>
                <w:highlight w:val="none"/>
              </w:rPr>
            </w:pPr>
          </w:p>
        </w:tc>
      </w:tr>
      <w:tr w14:paraId="63714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167B324">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73703AA3">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213C0702">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5C07194E">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5EF0A02E">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4C6D9848">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4197BE33">
            <w:pPr>
              <w:pStyle w:val="9"/>
              <w:keepNext/>
              <w:spacing w:after="0" w:line="440" w:lineRule="exact"/>
              <w:ind w:left="63" w:right="63"/>
              <w:rPr>
                <w:rFonts w:ascii="Calibri" w:hAnsi="Calibri" w:eastAsia="仿宋_GB2312"/>
                <w:color w:val="auto"/>
                <w:kern w:val="2"/>
                <w:sz w:val="22"/>
                <w:szCs w:val="24"/>
                <w:highlight w:val="none"/>
              </w:rPr>
            </w:pPr>
          </w:p>
        </w:tc>
      </w:tr>
      <w:tr w14:paraId="7B9D6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F758448">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69853872">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0DBF7AB8">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30258181">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2AC36DA1">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1DDA3A5B">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420024D4">
            <w:pPr>
              <w:pStyle w:val="9"/>
              <w:keepNext/>
              <w:spacing w:after="0" w:line="440" w:lineRule="exact"/>
              <w:ind w:left="63" w:right="63"/>
              <w:rPr>
                <w:rFonts w:ascii="Calibri" w:hAnsi="Calibri" w:eastAsia="仿宋_GB2312"/>
                <w:color w:val="auto"/>
                <w:kern w:val="2"/>
                <w:sz w:val="22"/>
                <w:szCs w:val="24"/>
                <w:highlight w:val="none"/>
              </w:rPr>
            </w:pPr>
          </w:p>
        </w:tc>
      </w:tr>
      <w:tr w14:paraId="2CC87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19E9C7">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718CB05A">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62DB7351">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209A8F86">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126985E2">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77EB47AC">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2D9DF104">
            <w:pPr>
              <w:pStyle w:val="9"/>
              <w:keepNext/>
              <w:spacing w:after="0" w:line="440" w:lineRule="exact"/>
              <w:ind w:left="63" w:right="63"/>
              <w:rPr>
                <w:rFonts w:ascii="Calibri" w:hAnsi="Calibri" w:eastAsia="仿宋_GB2312"/>
                <w:color w:val="auto"/>
                <w:kern w:val="2"/>
                <w:sz w:val="22"/>
                <w:szCs w:val="24"/>
                <w:highlight w:val="none"/>
              </w:rPr>
            </w:pPr>
          </w:p>
        </w:tc>
      </w:tr>
      <w:tr w14:paraId="167AC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222022">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72A7FAB2">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0615D874">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5D4D461A">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0CC76097">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7D0E6B3E">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2B6D359B">
            <w:pPr>
              <w:pStyle w:val="9"/>
              <w:keepNext/>
              <w:spacing w:after="0" w:line="440" w:lineRule="exact"/>
              <w:ind w:left="63" w:right="63"/>
              <w:rPr>
                <w:rFonts w:ascii="Calibri" w:hAnsi="Calibri" w:eastAsia="仿宋_GB2312"/>
                <w:color w:val="auto"/>
                <w:kern w:val="2"/>
                <w:sz w:val="22"/>
                <w:szCs w:val="24"/>
                <w:highlight w:val="none"/>
              </w:rPr>
            </w:pPr>
          </w:p>
        </w:tc>
      </w:tr>
      <w:tr w14:paraId="6783C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16EF4A6">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06476AD2">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04BAD5D5">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2F71BEDA">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0C9D9D23">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115849EF">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16E5CEAB">
            <w:pPr>
              <w:pStyle w:val="9"/>
              <w:keepNext/>
              <w:spacing w:after="0" w:line="440" w:lineRule="exact"/>
              <w:ind w:left="63" w:right="63"/>
              <w:rPr>
                <w:rFonts w:ascii="Calibri" w:hAnsi="Calibri" w:eastAsia="仿宋_GB2312"/>
                <w:color w:val="auto"/>
                <w:kern w:val="2"/>
                <w:sz w:val="22"/>
                <w:szCs w:val="24"/>
                <w:highlight w:val="none"/>
              </w:rPr>
            </w:pPr>
          </w:p>
        </w:tc>
      </w:tr>
      <w:tr w14:paraId="4C3A8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1F8650">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09EC0F34">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3D39001B">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3BB38004">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3A00471D">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5FB226F9">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398777DB">
            <w:pPr>
              <w:pStyle w:val="9"/>
              <w:keepNext/>
              <w:spacing w:after="0" w:line="440" w:lineRule="exact"/>
              <w:ind w:left="63" w:right="63"/>
              <w:rPr>
                <w:rFonts w:ascii="Calibri" w:hAnsi="Calibri" w:eastAsia="仿宋_GB2312"/>
                <w:color w:val="auto"/>
                <w:kern w:val="2"/>
                <w:sz w:val="22"/>
                <w:szCs w:val="24"/>
                <w:highlight w:val="none"/>
              </w:rPr>
            </w:pPr>
          </w:p>
        </w:tc>
      </w:tr>
      <w:tr w14:paraId="1D3D7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AE65DB">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6D2BCEC4">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5891BC2C">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0FA6FF36">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21703AEE">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2B7A6227">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355EED99">
            <w:pPr>
              <w:pStyle w:val="9"/>
              <w:keepNext/>
              <w:spacing w:after="0" w:line="440" w:lineRule="exact"/>
              <w:ind w:left="63" w:right="63"/>
              <w:rPr>
                <w:rFonts w:ascii="Calibri" w:hAnsi="Calibri" w:eastAsia="仿宋_GB2312"/>
                <w:color w:val="auto"/>
                <w:kern w:val="2"/>
                <w:sz w:val="22"/>
                <w:szCs w:val="24"/>
                <w:highlight w:val="none"/>
              </w:rPr>
            </w:pPr>
          </w:p>
        </w:tc>
      </w:tr>
      <w:tr w14:paraId="58233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FDAC78A">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07B86AA8">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53B03D98">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21727B69">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42CCF195">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57BEA0E5">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1128276C">
            <w:pPr>
              <w:pStyle w:val="9"/>
              <w:keepNext/>
              <w:spacing w:after="0" w:line="440" w:lineRule="exact"/>
              <w:ind w:left="63" w:right="63"/>
              <w:rPr>
                <w:rFonts w:ascii="Calibri" w:hAnsi="Calibri" w:eastAsia="仿宋_GB2312"/>
                <w:color w:val="auto"/>
                <w:kern w:val="2"/>
                <w:sz w:val="22"/>
                <w:szCs w:val="24"/>
                <w:highlight w:val="none"/>
              </w:rPr>
            </w:pPr>
          </w:p>
        </w:tc>
      </w:tr>
      <w:tr w14:paraId="76530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7CF206">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718F9A0A">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3BF04EAF">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1396A43C">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72AD4713">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17A7D62A">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245D28FC">
            <w:pPr>
              <w:pStyle w:val="9"/>
              <w:keepNext/>
              <w:spacing w:after="0" w:line="440" w:lineRule="exact"/>
              <w:ind w:left="63" w:right="63"/>
              <w:rPr>
                <w:rFonts w:ascii="Calibri" w:hAnsi="Calibri" w:eastAsia="仿宋_GB2312"/>
                <w:color w:val="auto"/>
                <w:kern w:val="2"/>
                <w:sz w:val="22"/>
                <w:szCs w:val="24"/>
                <w:highlight w:val="none"/>
              </w:rPr>
            </w:pPr>
          </w:p>
        </w:tc>
      </w:tr>
      <w:tr w14:paraId="64F65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5ED1BB6">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795E737F">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2873014C">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69B67A82">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16BAA696">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772943A3">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3545E5A9">
            <w:pPr>
              <w:pStyle w:val="9"/>
              <w:keepNext/>
              <w:spacing w:after="0" w:line="440" w:lineRule="exact"/>
              <w:ind w:left="63" w:right="63"/>
              <w:rPr>
                <w:rFonts w:ascii="Calibri" w:hAnsi="Calibri" w:eastAsia="仿宋_GB2312"/>
                <w:color w:val="auto"/>
                <w:kern w:val="2"/>
                <w:sz w:val="22"/>
                <w:szCs w:val="24"/>
                <w:highlight w:val="none"/>
              </w:rPr>
            </w:pPr>
          </w:p>
        </w:tc>
      </w:tr>
      <w:tr w14:paraId="37D9F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D2B466">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48420B67">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26E6EF1F">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0D2EFEB1">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2A904309">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4BD4DC0C">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07CBE2AE">
            <w:pPr>
              <w:pStyle w:val="9"/>
              <w:keepNext/>
              <w:spacing w:after="0" w:line="440" w:lineRule="exact"/>
              <w:ind w:left="63" w:right="63"/>
              <w:rPr>
                <w:rFonts w:ascii="Calibri" w:hAnsi="Calibri" w:eastAsia="仿宋_GB2312"/>
                <w:color w:val="auto"/>
                <w:kern w:val="2"/>
                <w:sz w:val="22"/>
                <w:szCs w:val="24"/>
                <w:highlight w:val="none"/>
              </w:rPr>
            </w:pPr>
          </w:p>
        </w:tc>
      </w:tr>
      <w:tr w14:paraId="4ABBF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DC0D0B">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6B8E1652">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2DE53D8F">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1F59D235">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08C9FD5F">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04722776">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3443CE71">
            <w:pPr>
              <w:pStyle w:val="9"/>
              <w:keepNext/>
              <w:spacing w:after="0" w:line="440" w:lineRule="exact"/>
              <w:ind w:left="63" w:right="63"/>
              <w:rPr>
                <w:rFonts w:ascii="Calibri" w:hAnsi="Calibri" w:eastAsia="仿宋_GB2312"/>
                <w:color w:val="auto"/>
                <w:kern w:val="2"/>
                <w:sz w:val="22"/>
                <w:szCs w:val="24"/>
                <w:highlight w:val="none"/>
              </w:rPr>
            </w:pPr>
          </w:p>
        </w:tc>
      </w:tr>
      <w:tr w14:paraId="20F06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9B48BA">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5A38E2B4">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20BDC240">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26B09477">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03BBFF85">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6434C867">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2D20D06A">
            <w:pPr>
              <w:pStyle w:val="9"/>
              <w:keepNext/>
              <w:spacing w:after="0" w:line="440" w:lineRule="exact"/>
              <w:ind w:left="63" w:right="63"/>
              <w:rPr>
                <w:rFonts w:ascii="Calibri" w:hAnsi="Calibri" w:eastAsia="仿宋_GB2312"/>
                <w:color w:val="auto"/>
                <w:kern w:val="2"/>
                <w:sz w:val="22"/>
                <w:szCs w:val="24"/>
                <w:highlight w:val="none"/>
              </w:rPr>
            </w:pPr>
          </w:p>
        </w:tc>
      </w:tr>
      <w:tr w14:paraId="52553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324A190">
            <w:pPr>
              <w:pStyle w:val="9"/>
              <w:keepNext/>
              <w:spacing w:after="0" w:line="440" w:lineRule="exact"/>
              <w:ind w:left="63" w:right="63"/>
              <w:rPr>
                <w:rFonts w:ascii="Calibri" w:hAnsi="Calibri" w:eastAsia="仿宋_GB2312"/>
                <w:color w:val="auto"/>
                <w:kern w:val="2"/>
                <w:sz w:val="22"/>
                <w:szCs w:val="24"/>
                <w:highlight w:val="none"/>
              </w:rPr>
            </w:pPr>
          </w:p>
        </w:tc>
        <w:tc>
          <w:tcPr>
            <w:tcW w:w="1984" w:type="dxa"/>
            <w:noWrap w:val="0"/>
            <w:vAlign w:val="top"/>
          </w:tcPr>
          <w:p w14:paraId="0E61402F">
            <w:pPr>
              <w:pStyle w:val="9"/>
              <w:keepNext/>
              <w:spacing w:after="0" w:line="440" w:lineRule="exact"/>
              <w:ind w:left="63" w:right="63"/>
              <w:rPr>
                <w:rFonts w:ascii="Calibri" w:hAnsi="Calibri" w:eastAsia="仿宋_GB2312"/>
                <w:color w:val="auto"/>
                <w:kern w:val="2"/>
                <w:sz w:val="22"/>
                <w:szCs w:val="24"/>
                <w:highlight w:val="none"/>
              </w:rPr>
            </w:pPr>
          </w:p>
        </w:tc>
        <w:tc>
          <w:tcPr>
            <w:tcW w:w="851" w:type="dxa"/>
            <w:noWrap w:val="0"/>
            <w:vAlign w:val="top"/>
          </w:tcPr>
          <w:p w14:paraId="6A685B96">
            <w:pPr>
              <w:pStyle w:val="9"/>
              <w:keepNext/>
              <w:spacing w:after="0" w:line="440" w:lineRule="exact"/>
              <w:ind w:left="63" w:right="63"/>
              <w:rPr>
                <w:rFonts w:ascii="Calibri" w:hAnsi="Calibri" w:eastAsia="仿宋_GB2312"/>
                <w:color w:val="auto"/>
                <w:kern w:val="2"/>
                <w:sz w:val="22"/>
                <w:szCs w:val="24"/>
                <w:highlight w:val="none"/>
              </w:rPr>
            </w:pPr>
          </w:p>
        </w:tc>
        <w:tc>
          <w:tcPr>
            <w:tcW w:w="774" w:type="dxa"/>
            <w:noWrap w:val="0"/>
            <w:vAlign w:val="top"/>
          </w:tcPr>
          <w:p w14:paraId="6082B97A">
            <w:pPr>
              <w:pStyle w:val="9"/>
              <w:keepNext/>
              <w:spacing w:after="0" w:line="440" w:lineRule="exact"/>
              <w:ind w:left="63" w:right="63"/>
              <w:rPr>
                <w:rFonts w:ascii="Calibri" w:hAnsi="Calibri" w:eastAsia="仿宋_GB2312"/>
                <w:color w:val="auto"/>
                <w:kern w:val="2"/>
                <w:sz w:val="22"/>
                <w:szCs w:val="24"/>
                <w:highlight w:val="none"/>
              </w:rPr>
            </w:pPr>
          </w:p>
        </w:tc>
        <w:tc>
          <w:tcPr>
            <w:tcW w:w="1352" w:type="dxa"/>
            <w:noWrap w:val="0"/>
            <w:vAlign w:val="top"/>
          </w:tcPr>
          <w:p w14:paraId="1835C279">
            <w:pPr>
              <w:pStyle w:val="9"/>
              <w:keepNext/>
              <w:spacing w:after="0" w:line="440" w:lineRule="exact"/>
              <w:ind w:left="63" w:right="63"/>
              <w:rPr>
                <w:rFonts w:ascii="Calibri" w:hAnsi="Calibri" w:eastAsia="仿宋_GB2312"/>
                <w:color w:val="auto"/>
                <w:kern w:val="2"/>
                <w:sz w:val="22"/>
                <w:szCs w:val="24"/>
                <w:highlight w:val="none"/>
              </w:rPr>
            </w:pPr>
          </w:p>
        </w:tc>
        <w:tc>
          <w:tcPr>
            <w:tcW w:w="1418" w:type="dxa"/>
            <w:noWrap w:val="0"/>
            <w:vAlign w:val="top"/>
          </w:tcPr>
          <w:p w14:paraId="0FAD740E">
            <w:pPr>
              <w:pStyle w:val="9"/>
              <w:keepNext/>
              <w:spacing w:after="0" w:line="440" w:lineRule="exact"/>
              <w:ind w:left="63" w:right="63"/>
              <w:rPr>
                <w:rFonts w:ascii="Calibri" w:hAnsi="Calibri" w:eastAsia="仿宋_GB2312"/>
                <w:color w:val="auto"/>
                <w:kern w:val="2"/>
                <w:sz w:val="22"/>
                <w:szCs w:val="24"/>
                <w:highlight w:val="none"/>
              </w:rPr>
            </w:pPr>
          </w:p>
        </w:tc>
        <w:tc>
          <w:tcPr>
            <w:tcW w:w="1701" w:type="dxa"/>
            <w:noWrap w:val="0"/>
            <w:vAlign w:val="top"/>
          </w:tcPr>
          <w:p w14:paraId="23B789F0">
            <w:pPr>
              <w:pStyle w:val="9"/>
              <w:keepNext/>
              <w:spacing w:after="0" w:line="440" w:lineRule="exact"/>
              <w:ind w:left="63" w:right="63"/>
              <w:rPr>
                <w:rFonts w:ascii="Calibri" w:hAnsi="Calibri" w:eastAsia="仿宋_GB2312"/>
                <w:color w:val="auto"/>
                <w:kern w:val="2"/>
                <w:sz w:val="22"/>
                <w:szCs w:val="24"/>
                <w:highlight w:val="none"/>
              </w:rPr>
            </w:pPr>
          </w:p>
        </w:tc>
      </w:tr>
    </w:tbl>
    <w:p w14:paraId="3A5729CC">
      <w:pPr>
        <w:spacing w:line="440" w:lineRule="exact"/>
        <w:rPr>
          <w:rFonts w:eastAsia="仿宋_GB2312"/>
          <w:color w:val="auto"/>
          <w:sz w:val="24"/>
          <w:szCs w:val="24"/>
          <w:highlight w:val="none"/>
        </w:rPr>
      </w:pPr>
    </w:p>
    <w:p w14:paraId="668AF6B9">
      <w:pPr>
        <w:spacing w:before="120" w:beforeLines="50" w:after="120" w:afterLines="50" w:line="440" w:lineRule="exact"/>
        <w:jc w:val="center"/>
        <w:rPr>
          <w:rFonts w:eastAsia="黑体"/>
          <w:color w:val="auto"/>
          <w:sz w:val="24"/>
          <w:szCs w:val="24"/>
          <w:highlight w:val="none"/>
        </w:rPr>
      </w:pPr>
      <w:r>
        <w:rPr>
          <w:rFonts w:eastAsia="仿宋_GB2312"/>
          <w:color w:val="auto"/>
          <w:sz w:val="24"/>
          <w:szCs w:val="24"/>
          <w:highlight w:val="none"/>
        </w:rPr>
        <w:br w:type="page"/>
      </w:r>
      <w:r>
        <w:rPr>
          <w:rFonts w:hint="eastAsia" w:eastAsia="黑体"/>
          <w:color w:val="auto"/>
          <w:sz w:val="24"/>
          <w:szCs w:val="24"/>
          <w:highlight w:val="none"/>
        </w:rPr>
        <w:t>4</w:t>
      </w:r>
      <w:r>
        <w:rPr>
          <w:rFonts w:eastAsia="黑体"/>
          <w:color w:val="auto"/>
          <w:sz w:val="24"/>
          <w:szCs w:val="24"/>
          <w:highlight w:val="none"/>
        </w:rPr>
        <w:t>-3：专业工程暂估价表</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38F1E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27BB4BE1">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序号</w:t>
            </w:r>
          </w:p>
        </w:tc>
        <w:tc>
          <w:tcPr>
            <w:tcW w:w="1984" w:type="dxa"/>
            <w:tcBorders>
              <w:top w:val="single" w:color="auto" w:sz="12" w:space="0"/>
              <w:bottom w:val="double" w:color="auto" w:sz="6" w:space="0"/>
            </w:tcBorders>
            <w:noWrap w:val="0"/>
            <w:vAlign w:val="top"/>
          </w:tcPr>
          <w:p w14:paraId="24EFA3C3">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专业工程名称</w:t>
            </w:r>
          </w:p>
        </w:tc>
        <w:tc>
          <w:tcPr>
            <w:tcW w:w="4678" w:type="dxa"/>
            <w:tcBorders>
              <w:top w:val="single" w:color="auto" w:sz="12" w:space="0"/>
              <w:bottom w:val="double" w:color="auto" w:sz="6" w:space="0"/>
            </w:tcBorders>
            <w:noWrap w:val="0"/>
            <w:vAlign w:val="top"/>
          </w:tcPr>
          <w:p w14:paraId="1311EBB7">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工程内容</w:t>
            </w:r>
          </w:p>
        </w:tc>
        <w:tc>
          <w:tcPr>
            <w:tcW w:w="1276" w:type="dxa"/>
            <w:tcBorders>
              <w:top w:val="single" w:color="auto" w:sz="12" w:space="0"/>
              <w:bottom w:val="double" w:color="auto" w:sz="6" w:space="0"/>
            </w:tcBorders>
            <w:noWrap w:val="0"/>
            <w:vAlign w:val="top"/>
          </w:tcPr>
          <w:p w14:paraId="2A60AAEF">
            <w:pPr>
              <w:pStyle w:val="9"/>
              <w:keepNext/>
              <w:spacing w:after="0" w:line="440" w:lineRule="exact"/>
              <w:ind w:left="63" w:right="63"/>
              <w:rPr>
                <w:rFonts w:ascii="Calibri" w:hAnsi="Calibri" w:eastAsia="仿宋_GB2312"/>
                <w:color w:val="auto"/>
                <w:kern w:val="2"/>
                <w:sz w:val="22"/>
                <w:szCs w:val="24"/>
                <w:highlight w:val="none"/>
              </w:rPr>
            </w:pPr>
            <w:r>
              <w:rPr>
                <w:rFonts w:ascii="Calibri" w:hAnsi="Calibri" w:eastAsia="仿宋_GB2312"/>
                <w:color w:val="auto"/>
                <w:kern w:val="2"/>
                <w:sz w:val="22"/>
                <w:szCs w:val="24"/>
                <w:highlight w:val="none"/>
              </w:rPr>
              <w:t>金额</w:t>
            </w:r>
          </w:p>
        </w:tc>
      </w:tr>
      <w:tr w14:paraId="35714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13A8FA8C">
            <w:pPr>
              <w:pStyle w:val="9"/>
              <w:keepNext/>
              <w:spacing w:after="0" w:line="440" w:lineRule="exact"/>
              <w:ind w:left="63" w:right="63"/>
              <w:rPr>
                <w:rFonts w:ascii="Calibri" w:hAnsi="Calibri"/>
                <w:color w:val="auto"/>
                <w:kern w:val="2"/>
                <w:sz w:val="18"/>
                <w:szCs w:val="18"/>
                <w:highlight w:val="none"/>
              </w:rPr>
            </w:pPr>
          </w:p>
        </w:tc>
        <w:tc>
          <w:tcPr>
            <w:tcW w:w="1984" w:type="dxa"/>
            <w:tcBorders>
              <w:top w:val="double" w:color="auto" w:sz="6" w:space="0"/>
              <w:bottom w:val="single" w:color="auto" w:sz="6" w:space="0"/>
            </w:tcBorders>
            <w:noWrap w:val="0"/>
            <w:vAlign w:val="top"/>
          </w:tcPr>
          <w:p w14:paraId="358C8184">
            <w:pPr>
              <w:pStyle w:val="9"/>
              <w:keepNext/>
              <w:spacing w:after="0" w:line="440" w:lineRule="exact"/>
              <w:ind w:left="63" w:right="63"/>
              <w:rPr>
                <w:rFonts w:ascii="Calibri" w:hAnsi="Calibri"/>
                <w:color w:val="auto"/>
                <w:kern w:val="2"/>
                <w:sz w:val="18"/>
                <w:szCs w:val="18"/>
                <w:highlight w:val="none"/>
              </w:rPr>
            </w:pPr>
          </w:p>
        </w:tc>
        <w:tc>
          <w:tcPr>
            <w:tcW w:w="4678" w:type="dxa"/>
            <w:tcBorders>
              <w:top w:val="double" w:color="auto" w:sz="6" w:space="0"/>
              <w:bottom w:val="single" w:color="auto" w:sz="6" w:space="0"/>
            </w:tcBorders>
            <w:noWrap w:val="0"/>
            <w:vAlign w:val="top"/>
          </w:tcPr>
          <w:p w14:paraId="4B6B6BC6">
            <w:pPr>
              <w:pStyle w:val="9"/>
              <w:keepNext/>
              <w:spacing w:after="0" w:line="440" w:lineRule="exact"/>
              <w:ind w:left="63" w:right="63"/>
              <w:rPr>
                <w:rFonts w:ascii="Calibri" w:hAnsi="Calibri"/>
                <w:color w:val="auto"/>
                <w:kern w:val="2"/>
                <w:sz w:val="18"/>
                <w:szCs w:val="18"/>
                <w:highlight w:val="none"/>
              </w:rPr>
            </w:pPr>
          </w:p>
        </w:tc>
        <w:tc>
          <w:tcPr>
            <w:tcW w:w="1276" w:type="dxa"/>
            <w:tcBorders>
              <w:top w:val="double" w:color="auto" w:sz="6" w:space="0"/>
              <w:bottom w:val="single" w:color="auto" w:sz="6" w:space="0"/>
            </w:tcBorders>
            <w:noWrap w:val="0"/>
            <w:vAlign w:val="top"/>
          </w:tcPr>
          <w:p w14:paraId="386796D5">
            <w:pPr>
              <w:pStyle w:val="9"/>
              <w:keepNext/>
              <w:spacing w:after="0" w:line="440" w:lineRule="exact"/>
              <w:ind w:left="63" w:right="63"/>
              <w:rPr>
                <w:rFonts w:ascii="Calibri" w:hAnsi="Calibri"/>
                <w:color w:val="auto"/>
                <w:kern w:val="2"/>
                <w:sz w:val="18"/>
                <w:szCs w:val="18"/>
                <w:highlight w:val="none"/>
              </w:rPr>
            </w:pPr>
          </w:p>
        </w:tc>
      </w:tr>
      <w:tr w14:paraId="00DD7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14958ED0">
            <w:pPr>
              <w:pStyle w:val="9"/>
              <w:keepNext/>
              <w:spacing w:after="0" w:line="440" w:lineRule="exact"/>
              <w:ind w:left="63" w:right="63"/>
              <w:rPr>
                <w:rFonts w:ascii="Calibri" w:hAnsi="Calibri"/>
                <w:color w:val="auto"/>
                <w:kern w:val="2"/>
                <w:sz w:val="18"/>
                <w:szCs w:val="18"/>
                <w:highlight w:val="none"/>
              </w:rPr>
            </w:pPr>
          </w:p>
        </w:tc>
        <w:tc>
          <w:tcPr>
            <w:tcW w:w="1984" w:type="dxa"/>
            <w:tcBorders>
              <w:top w:val="nil"/>
            </w:tcBorders>
            <w:noWrap w:val="0"/>
            <w:vAlign w:val="top"/>
          </w:tcPr>
          <w:p w14:paraId="586D2A19">
            <w:pPr>
              <w:pStyle w:val="9"/>
              <w:keepNext/>
              <w:spacing w:after="0" w:line="440" w:lineRule="exact"/>
              <w:ind w:left="63" w:right="63"/>
              <w:rPr>
                <w:rFonts w:ascii="Calibri" w:hAnsi="Calibri"/>
                <w:color w:val="auto"/>
                <w:kern w:val="2"/>
                <w:sz w:val="18"/>
                <w:szCs w:val="18"/>
                <w:highlight w:val="none"/>
              </w:rPr>
            </w:pPr>
          </w:p>
        </w:tc>
        <w:tc>
          <w:tcPr>
            <w:tcW w:w="4678" w:type="dxa"/>
            <w:tcBorders>
              <w:top w:val="nil"/>
            </w:tcBorders>
            <w:noWrap w:val="0"/>
            <w:vAlign w:val="top"/>
          </w:tcPr>
          <w:p w14:paraId="54F30295">
            <w:pPr>
              <w:pStyle w:val="9"/>
              <w:keepNext/>
              <w:spacing w:after="0" w:line="440" w:lineRule="exact"/>
              <w:ind w:left="63" w:right="63"/>
              <w:rPr>
                <w:rFonts w:ascii="Calibri" w:hAnsi="Calibri"/>
                <w:color w:val="auto"/>
                <w:kern w:val="2"/>
                <w:sz w:val="18"/>
                <w:szCs w:val="18"/>
                <w:highlight w:val="none"/>
              </w:rPr>
            </w:pPr>
          </w:p>
        </w:tc>
        <w:tc>
          <w:tcPr>
            <w:tcW w:w="1276" w:type="dxa"/>
            <w:tcBorders>
              <w:top w:val="nil"/>
            </w:tcBorders>
            <w:noWrap w:val="0"/>
            <w:vAlign w:val="top"/>
          </w:tcPr>
          <w:p w14:paraId="2B831BB0">
            <w:pPr>
              <w:pStyle w:val="9"/>
              <w:keepNext/>
              <w:spacing w:after="0" w:line="440" w:lineRule="exact"/>
              <w:ind w:left="63" w:right="63"/>
              <w:rPr>
                <w:rFonts w:ascii="Calibri" w:hAnsi="Calibri"/>
                <w:color w:val="auto"/>
                <w:kern w:val="2"/>
                <w:sz w:val="18"/>
                <w:szCs w:val="18"/>
                <w:highlight w:val="none"/>
              </w:rPr>
            </w:pPr>
          </w:p>
        </w:tc>
      </w:tr>
      <w:tr w14:paraId="6F6D5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39463488">
            <w:pPr>
              <w:pStyle w:val="9"/>
              <w:keepNext/>
              <w:spacing w:after="0" w:line="440" w:lineRule="exact"/>
              <w:ind w:left="63" w:right="63"/>
              <w:rPr>
                <w:rFonts w:ascii="Calibri" w:hAnsi="Calibri"/>
                <w:color w:val="auto"/>
                <w:kern w:val="2"/>
                <w:sz w:val="18"/>
                <w:szCs w:val="18"/>
                <w:highlight w:val="none"/>
              </w:rPr>
            </w:pPr>
          </w:p>
        </w:tc>
        <w:tc>
          <w:tcPr>
            <w:tcW w:w="1984" w:type="dxa"/>
            <w:tcBorders>
              <w:top w:val="nil"/>
            </w:tcBorders>
            <w:noWrap w:val="0"/>
            <w:vAlign w:val="top"/>
          </w:tcPr>
          <w:p w14:paraId="06813AAC">
            <w:pPr>
              <w:pStyle w:val="9"/>
              <w:keepNext/>
              <w:spacing w:after="0" w:line="440" w:lineRule="exact"/>
              <w:ind w:left="63" w:right="63"/>
              <w:rPr>
                <w:rFonts w:ascii="Calibri" w:hAnsi="Calibri"/>
                <w:color w:val="auto"/>
                <w:kern w:val="2"/>
                <w:sz w:val="18"/>
                <w:szCs w:val="18"/>
                <w:highlight w:val="none"/>
              </w:rPr>
            </w:pPr>
          </w:p>
        </w:tc>
        <w:tc>
          <w:tcPr>
            <w:tcW w:w="4678" w:type="dxa"/>
            <w:tcBorders>
              <w:top w:val="nil"/>
            </w:tcBorders>
            <w:noWrap w:val="0"/>
            <w:vAlign w:val="top"/>
          </w:tcPr>
          <w:p w14:paraId="5F8ED0E0">
            <w:pPr>
              <w:pStyle w:val="9"/>
              <w:keepNext/>
              <w:spacing w:after="0" w:line="440" w:lineRule="exact"/>
              <w:ind w:left="63" w:right="63"/>
              <w:rPr>
                <w:rFonts w:ascii="Calibri" w:hAnsi="Calibri"/>
                <w:color w:val="auto"/>
                <w:kern w:val="2"/>
                <w:sz w:val="18"/>
                <w:szCs w:val="18"/>
                <w:highlight w:val="none"/>
              </w:rPr>
            </w:pPr>
          </w:p>
        </w:tc>
        <w:tc>
          <w:tcPr>
            <w:tcW w:w="1276" w:type="dxa"/>
            <w:tcBorders>
              <w:top w:val="nil"/>
            </w:tcBorders>
            <w:noWrap w:val="0"/>
            <w:vAlign w:val="top"/>
          </w:tcPr>
          <w:p w14:paraId="10F60733">
            <w:pPr>
              <w:pStyle w:val="9"/>
              <w:keepNext/>
              <w:spacing w:after="0" w:line="440" w:lineRule="exact"/>
              <w:ind w:left="63" w:right="63"/>
              <w:rPr>
                <w:rFonts w:ascii="Calibri" w:hAnsi="Calibri"/>
                <w:color w:val="auto"/>
                <w:kern w:val="2"/>
                <w:sz w:val="18"/>
                <w:szCs w:val="18"/>
                <w:highlight w:val="none"/>
              </w:rPr>
            </w:pPr>
          </w:p>
        </w:tc>
      </w:tr>
      <w:tr w14:paraId="62ACB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D598158">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02F7C1BB">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75FB0DBE">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23F92550">
            <w:pPr>
              <w:pStyle w:val="9"/>
              <w:keepNext/>
              <w:spacing w:after="0" w:line="440" w:lineRule="exact"/>
              <w:ind w:left="63" w:right="63"/>
              <w:rPr>
                <w:rFonts w:ascii="Calibri" w:hAnsi="Calibri"/>
                <w:color w:val="auto"/>
                <w:kern w:val="2"/>
                <w:sz w:val="18"/>
                <w:szCs w:val="18"/>
                <w:highlight w:val="none"/>
              </w:rPr>
            </w:pPr>
          </w:p>
        </w:tc>
      </w:tr>
      <w:tr w14:paraId="60D74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C5F4253">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3164704B">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52830171">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165207EE">
            <w:pPr>
              <w:pStyle w:val="9"/>
              <w:keepNext/>
              <w:spacing w:after="0" w:line="440" w:lineRule="exact"/>
              <w:ind w:left="63" w:right="63"/>
              <w:rPr>
                <w:rFonts w:ascii="Calibri" w:hAnsi="Calibri"/>
                <w:color w:val="auto"/>
                <w:kern w:val="2"/>
                <w:sz w:val="18"/>
                <w:szCs w:val="18"/>
                <w:highlight w:val="none"/>
              </w:rPr>
            </w:pPr>
          </w:p>
        </w:tc>
      </w:tr>
      <w:tr w14:paraId="6122E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8E892DA">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57EA730C">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6A0E08A3">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0CF9122B">
            <w:pPr>
              <w:pStyle w:val="9"/>
              <w:keepNext/>
              <w:spacing w:after="0" w:line="440" w:lineRule="exact"/>
              <w:ind w:left="63" w:right="63"/>
              <w:rPr>
                <w:rFonts w:ascii="Calibri" w:hAnsi="Calibri"/>
                <w:color w:val="auto"/>
                <w:kern w:val="2"/>
                <w:sz w:val="18"/>
                <w:szCs w:val="18"/>
                <w:highlight w:val="none"/>
              </w:rPr>
            </w:pPr>
          </w:p>
        </w:tc>
      </w:tr>
      <w:tr w14:paraId="77F96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B844304">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4FB09E00">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7989612F">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45D4681A">
            <w:pPr>
              <w:pStyle w:val="9"/>
              <w:keepNext/>
              <w:spacing w:after="0" w:line="440" w:lineRule="exact"/>
              <w:ind w:left="63" w:right="63"/>
              <w:rPr>
                <w:rFonts w:ascii="Calibri" w:hAnsi="Calibri"/>
                <w:color w:val="auto"/>
                <w:kern w:val="2"/>
                <w:sz w:val="18"/>
                <w:szCs w:val="18"/>
                <w:highlight w:val="none"/>
              </w:rPr>
            </w:pPr>
          </w:p>
        </w:tc>
      </w:tr>
      <w:tr w14:paraId="4F26D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9E04FF2">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39FFE8AF">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71D50BCB">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394710E9">
            <w:pPr>
              <w:pStyle w:val="9"/>
              <w:keepNext/>
              <w:spacing w:after="0" w:line="440" w:lineRule="exact"/>
              <w:ind w:left="63" w:right="63"/>
              <w:rPr>
                <w:rFonts w:ascii="Calibri" w:hAnsi="Calibri"/>
                <w:color w:val="auto"/>
                <w:kern w:val="2"/>
                <w:sz w:val="18"/>
                <w:szCs w:val="18"/>
                <w:highlight w:val="none"/>
              </w:rPr>
            </w:pPr>
          </w:p>
        </w:tc>
      </w:tr>
      <w:tr w14:paraId="24791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9AAB0DF">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5DF2735D">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78EED71F">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441558EF">
            <w:pPr>
              <w:pStyle w:val="9"/>
              <w:keepNext/>
              <w:spacing w:after="0" w:line="440" w:lineRule="exact"/>
              <w:ind w:left="63" w:right="63"/>
              <w:rPr>
                <w:rFonts w:ascii="Calibri" w:hAnsi="Calibri"/>
                <w:color w:val="auto"/>
                <w:kern w:val="2"/>
                <w:sz w:val="18"/>
                <w:szCs w:val="18"/>
                <w:highlight w:val="none"/>
              </w:rPr>
            </w:pPr>
          </w:p>
        </w:tc>
      </w:tr>
      <w:tr w14:paraId="3126F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D469DA4">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296F892C">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4F3EA61D">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24B317B7">
            <w:pPr>
              <w:pStyle w:val="9"/>
              <w:keepNext/>
              <w:spacing w:after="0" w:line="440" w:lineRule="exact"/>
              <w:ind w:left="63" w:right="63"/>
              <w:rPr>
                <w:rFonts w:ascii="Calibri" w:hAnsi="Calibri"/>
                <w:color w:val="auto"/>
                <w:kern w:val="2"/>
                <w:sz w:val="18"/>
                <w:szCs w:val="18"/>
                <w:highlight w:val="none"/>
              </w:rPr>
            </w:pPr>
          </w:p>
        </w:tc>
      </w:tr>
      <w:tr w14:paraId="187CF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A1DF0A9">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64F177DE">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63709752">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18B7AD01">
            <w:pPr>
              <w:pStyle w:val="9"/>
              <w:keepNext/>
              <w:spacing w:after="0" w:line="440" w:lineRule="exact"/>
              <w:ind w:left="63" w:right="63"/>
              <w:rPr>
                <w:rFonts w:ascii="Calibri" w:hAnsi="Calibri"/>
                <w:color w:val="auto"/>
                <w:kern w:val="2"/>
                <w:sz w:val="18"/>
                <w:szCs w:val="18"/>
                <w:highlight w:val="none"/>
              </w:rPr>
            </w:pPr>
          </w:p>
        </w:tc>
      </w:tr>
      <w:tr w14:paraId="2170D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0F80B98">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4EAA74D2">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1E50FEBC">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24787329">
            <w:pPr>
              <w:pStyle w:val="9"/>
              <w:keepNext/>
              <w:spacing w:after="0" w:line="440" w:lineRule="exact"/>
              <w:ind w:left="63" w:right="63"/>
              <w:rPr>
                <w:rFonts w:ascii="Calibri" w:hAnsi="Calibri"/>
                <w:color w:val="auto"/>
                <w:kern w:val="2"/>
                <w:sz w:val="18"/>
                <w:szCs w:val="18"/>
                <w:highlight w:val="none"/>
              </w:rPr>
            </w:pPr>
          </w:p>
        </w:tc>
      </w:tr>
      <w:tr w14:paraId="4344F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AE03A32">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173B5BDA">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7E4EB36B">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3084E1F1">
            <w:pPr>
              <w:pStyle w:val="9"/>
              <w:keepNext/>
              <w:spacing w:after="0" w:line="440" w:lineRule="exact"/>
              <w:ind w:left="63" w:right="63"/>
              <w:rPr>
                <w:rFonts w:ascii="Calibri" w:hAnsi="Calibri"/>
                <w:color w:val="auto"/>
                <w:kern w:val="2"/>
                <w:sz w:val="18"/>
                <w:szCs w:val="18"/>
                <w:highlight w:val="none"/>
              </w:rPr>
            </w:pPr>
          </w:p>
        </w:tc>
      </w:tr>
      <w:tr w14:paraId="20DB3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A76D0AA">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7EF05FA5">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7390F9C0">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4877FA5A">
            <w:pPr>
              <w:pStyle w:val="9"/>
              <w:keepNext/>
              <w:spacing w:after="0" w:line="440" w:lineRule="exact"/>
              <w:ind w:left="63" w:right="63"/>
              <w:rPr>
                <w:rFonts w:ascii="Calibri" w:hAnsi="Calibri"/>
                <w:color w:val="auto"/>
                <w:kern w:val="2"/>
                <w:sz w:val="18"/>
                <w:szCs w:val="18"/>
                <w:highlight w:val="none"/>
              </w:rPr>
            </w:pPr>
          </w:p>
        </w:tc>
      </w:tr>
      <w:tr w14:paraId="5B2F2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9E08678">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6F5128A4">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4F2CF6B0">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5FE89E81">
            <w:pPr>
              <w:pStyle w:val="9"/>
              <w:keepNext/>
              <w:spacing w:after="0" w:line="440" w:lineRule="exact"/>
              <w:ind w:left="63" w:right="63"/>
              <w:rPr>
                <w:rFonts w:ascii="Calibri" w:hAnsi="Calibri"/>
                <w:color w:val="auto"/>
                <w:kern w:val="2"/>
                <w:sz w:val="18"/>
                <w:szCs w:val="18"/>
                <w:highlight w:val="none"/>
              </w:rPr>
            </w:pPr>
          </w:p>
        </w:tc>
      </w:tr>
      <w:tr w14:paraId="28B37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935E2BB">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674954CC">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745099CB">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64A8EA75">
            <w:pPr>
              <w:pStyle w:val="9"/>
              <w:keepNext/>
              <w:spacing w:after="0" w:line="440" w:lineRule="exact"/>
              <w:ind w:left="63" w:right="63"/>
              <w:rPr>
                <w:rFonts w:ascii="Calibri" w:hAnsi="Calibri"/>
                <w:color w:val="auto"/>
                <w:kern w:val="2"/>
                <w:sz w:val="18"/>
                <w:szCs w:val="18"/>
                <w:highlight w:val="none"/>
              </w:rPr>
            </w:pPr>
          </w:p>
        </w:tc>
      </w:tr>
      <w:tr w14:paraId="5D76F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111A0C4">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46C98C23">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14139092">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5BDEA85E">
            <w:pPr>
              <w:pStyle w:val="9"/>
              <w:keepNext/>
              <w:spacing w:after="0" w:line="440" w:lineRule="exact"/>
              <w:ind w:left="63" w:right="63"/>
              <w:rPr>
                <w:rFonts w:ascii="Calibri" w:hAnsi="Calibri"/>
                <w:color w:val="auto"/>
                <w:kern w:val="2"/>
                <w:sz w:val="18"/>
                <w:szCs w:val="18"/>
                <w:highlight w:val="none"/>
              </w:rPr>
            </w:pPr>
          </w:p>
        </w:tc>
      </w:tr>
      <w:tr w14:paraId="684A4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3D045B0">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211A947E">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7C92682A">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2C3344AF">
            <w:pPr>
              <w:pStyle w:val="9"/>
              <w:keepNext/>
              <w:spacing w:after="0" w:line="440" w:lineRule="exact"/>
              <w:ind w:left="63" w:right="63"/>
              <w:rPr>
                <w:rFonts w:ascii="Calibri" w:hAnsi="Calibri"/>
                <w:color w:val="auto"/>
                <w:kern w:val="2"/>
                <w:sz w:val="18"/>
                <w:szCs w:val="18"/>
                <w:highlight w:val="none"/>
              </w:rPr>
            </w:pPr>
          </w:p>
        </w:tc>
      </w:tr>
      <w:tr w14:paraId="25F09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636AF11">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5A29E4BB">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50EDC3AD">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02A2B940">
            <w:pPr>
              <w:pStyle w:val="9"/>
              <w:keepNext/>
              <w:spacing w:after="0" w:line="440" w:lineRule="exact"/>
              <w:ind w:left="63" w:right="63"/>
              <w:rPr>
                <w:rFonts w:ascii="Calibri" w:hAnsi="Calibri"/>
                <w:color w:val="auto"/>
                <w:kern w:val="2"/>
                <w:sz w:val="18"/>
                <w:szCs w:val="18"/>
                <w:highlight w:val="none"/>
              </w:rPr>
            </w:pPr>
          </w:p>
        </w:tc>
      </w:tr>
      <w:tr w14:paraId="0633A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0A53417">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0B28B8C2">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7DEAF2E7">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59DB8C16">
            <w:pPr>
              <w:pStyle w:val="9"/>
              <w:keepNext/>
              <w:spacing w:after="0" w:line="440" w:lineRule="exact"/>
              <w:ind w:left="63" w:right="63"/>
              <w:rPr>
                <w:rFonts w:ascii="Calibri" w:hAnsi="Calibri"/>
                <w:color w:val="auto"/>
                <w:kern w:val="2"/>
                <w:sz w:val="18"/>
                <w:szCs w:val="18"/>
                <w:highlight w:val="none"/>
              </w:rPr>
            </w:pPr>
          </w:p>
        </w:tc>
      </w:tr>
      <w:tr w14:paraId="7D138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D253BE4">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7605061A">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33D4AD22">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5DF67A7A">
            <w:pPr>
              <w:pStyle w:val="9"/>
              <w:keepNext/>
              <w:spacing w:after="0" w:line="440" w:lineRule="exact"/>
              <w:ind w:left="63" w:right="63"/>
              <w:rPr>
                <w:rFonts w:ascii="Calibri" w:hAnsi="Calibri"/>
                <w:color w:val="auto"/>
                <w:kern w:val="2"/>
                <w:sz w:val="18"/>
                <w:szCs w:val="18"/>
                <w:highlight w:val="none"/>
              </w:rPr>
            </w:pPr>
          </w:p>
        </w:tc>
      </w:tr>
      <w:tr w14:paraId="7630A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D7BC6CB">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643C7A35">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64085623">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1FFF2ED2">
            <w:pPr>
              <w:pStyle w:val="9"/>
              <w:keepNext/>
              <w:spacing w:after="0" w:line="440" w:lineRule="exact"/>
              <w:ind w:left="63" w:right="63"/>
              <w:rPr>
                <w:rFonts w:ascii="Calibri" w:hAnsi="Calibri"/>
                <w:color w:val="auto"/>
                <w:kern w:val="2"/>
                <w:sz w:val="18"/>
                <w:szCs w:val="18"/>
                <w:highlight w:val="none"/>
              </w:rPr>
            </w:pPr>
          </w:p>
        </w:tc>
      </w:tr>
      <w:tr w14:paraId="445E7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13534B2">
            <w:pPr>
              <w:pStyle w:val="9"/>
              <w:keepNext/>
              <w:spacing w:after="0" w:line="440" w:lineRule="exact"/>
              <w:ind w:left="63" w:right="63"/>
              <w:rPr>
                <w:rFonts w:ascii="Calibri" w:hAnsi="Calibri"/>
                <w:color w:val="auto"/>
                <w:kern w:val="2"/>
                <w:sz w:val="18"/>
                <w:szCs w:val="18"/>
                <w:highlight w:val="none"/>
              </w:rPr>
            </w:pPr>
          </w:p>
        </w:tc>
        <w:tc>
          <w:tcPr>
            <w:tcW w:w="1984" w:type="dxa"/>
            <w:noWrap w:val="0"/>
            <w:vAlign w:val="top"/>
          </w:tcPr>
          <w:p w14:paraId="258781CA">
            <w:pPr>
              <w:pStyle w:val="9"/>
              <w:keepNext/>
              <w:spacing w:after="0" w:line="440" w:lineRule="exact"/>
              <w:ind w:left="63" w:right="63"/>
              <w:rPr>
                <w:rFonts w:ascii="Calibri" w:hAnsi="Calibri"/>
                <w:color w:val="auto"/>
                <w:kern w:val="2"/>
                <w:sz w:val="18"/>
                <w:szCs w:val="18"/>
                <w:highlight w:val="none"/>
              </w:rPr>
            </w:pPr>
          </w:p>
        </w:tc>
        <w:tc>
          <w:tcPr>
            <w:tcW w:w="4678" w:type="dxa"/>
            <w:noWrap w:val="0"/>
            <w:vAlign w:val="top"/>
          </w:tcPr>
          <w:p w14:paraId="283CB99B">
            <w:pPr>
              <w:pStyle w:val="9"/>
              <w:keepNext/>
              <w:spacing w:after="0" w:line="440" w:lineRule="exact"/>
              <w:ind w:left="63" w:right="63"/>
              <w:rPr>
                <w:rFonts w:ascii="Calibri" w:hAnsi="Calibri"/>
                <w:color w:val="auto"/>
                <w:kern w:val="2"/>
                <w:sz w:val="18"/>
                <w:szCs w:val="18"/>
                <w:highlight w:val="none"/>
              </w:rPr>
            </w:pPr>
          </w:p>
        </w:tc>
        <w:tc>
          <w:tcPr>
            <w:tcW w:w="1276" w:type="dxa"/>
            <w:noWrap w:val="0"/>
            <w:vAlign w:val="top"/>
          </w:tcPr>
          <w:p w14:paraId="0E8BF8D7">
            <w:pPr>
              <w:pStyle w:val="9"/>
              <w:keepNext/>
              <w:spacing w:after="0" w:line="440" w:lineRule="exact"/>
              <w:ind w:left="63" w:right="63"/>
              <w:rPr>
                <w:rFonts w:ascii="Calibri" w:hAnsi="Calibri"/>
                <w:color w:val="auto"/>
                <w:kern w:val="2"/>
                <w:sz w:val="18"/>
                <w:szCs w:val="18"/>
                <w:highlight w:val="none"/>
              </w:rPr>
            </w:pPr>
          </w:p>
        </w:tc>
      </w:tr>
      <w:tr w14:paraId="05ACC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001E9D62">
            <w:pPr>
              <w:pStyle w:val="9"/>
              <w:keepNext/>
              <w:spacing w:after="0" w:line="440" w:lineRule="exact"/>
              <w:ind w:left="63" w:right="63"/>
              <w:rPr>
                <w:rFonts w:ascii="Calibri" w:hAnsi="Calibri"/>
                <w:color w:val="auto"/>
                <w:kern w:val="2"/>
                <w:sz w:val="18"/>
                <w:szCs w:val="18"/>
                <w:highlight w:val="none"/>
              </w:rPr>
            </w:pPr>
            <w:r>
              <w:rPr>
                <w:rFonts w:ascii="Calibri" w:hAnsi="Calibri" w:eastAsia="仿宋_GB2312"/>
                <w:color w:val="auto"/>
                <w:kern w:val="2"/>
                <w:sz w:val="22"/>
                <w:szCs w:val="24"/>
                <w:highlight w:val="none"/>
              </w:rPr>
              <w:t>小计：</w:t>
            </w:r>
          </w:p>
        </w:tc>
      </w:tr>
    </w:tbl>
    <w:p w14:paraId="1881F39F">
      <w:pPr>
        <w:rPr>
          <w:rFonts w:hint="eastAsia"/>
          <w:color w:val="auto"/>
          <w:sz w:val="18"/>
          <w:szCs w:val="20"/>
          <w:highlight w:val="none"/>
        </w:rPr>
      </w:pPr>
    </w:p>
    <w:p w14:paraId="0529CFF3">
      <w:pPr>
        <w:rPr>
          <w:rFonts w:hint="eastAsia"/>
          <w:color w:val="auto"/>
          <w:sz w:val="18"/>
          <w:szCs w:val="20"/>
          <w:highlight w:val="none"/>
        </w:rPr>
      </w:pPr>
    </w:p>
    <w:p w14:paraId="2C48A77E">
      <w:pPr>
        <w:rPr>
          <w:rFonts w:hint="eastAsia"/>
          <w:color w:val="auto"/>
          <w:sz w:val="18"/>
          <w:szCs w:val="20"/>
          <w:highlight w:val="none"/>
        </w:rPr>
      </w:pPr>
    </w:p>
    <w:p w14:paraId="045AECFE">
      <w:pPr>
        <w:rPr>
          <w:rFonts w:hint="eastAsia"/>
          <w:color w:val="auto"/>
          <w:sz w:val="18"/>
          <w:szCs w:val="20"/>
          <w:highlight w:val="none"/>
        </w:rPr>
        <w:sectPr>
          <w:footerReference r:id="rId8" w:type="default"/>
          <w:pgSz w:w="11906" w:h="16838"/>
          <w:pgMar w:top="1418" w:right="1531" w:bottom="1418" w:left="1554" w:header="851" w:footer="992" w:gutter="0"/>
          <w:pgNumType w:fmt="numberInDash"/>
          <w:cols w:space="720" w:num="1"/>
          <w:docGrid w:linePitch="312" w:charSpace="0"/>
        </w:sectPr>
      </w:pPr>
    </w:p>
    <w:p w14:paraId="660EFA88">
      <w:pPr>
        <w:spacing w:line="360" w:lineRule="auto"/>
        <w:rPr>
          <w:rFonts w:hint="eastAsia" w:eastAsia="仿宋_GB2312"/>
          <w:color w:val="auto"/>
          <w:sz w:val="24"/>
          <w:szCs w:val="24"/>
          <w:highlight w:val="none"/>
        </w:rPr>
      </w:pPr>
      <w:r>
        <w:rPr>
          <w:rFonts w:hint="eastAsia" w:eastAsia="仿宋_GB2312"/>
          <w:color w:val="auto"/>
          <w:sz w:val="24"/>
          <w:szCs w:val="24"/>
          <w:highlight w:val="none"/>
        </w:rPr>
        <w:t>附件5：</w:t>
      </w:r>
    </w:p>
    <w:p w14:paraId="4C507276">
      <w:pPr>
        <w:spacing w:line="360" w:lineRule="auto"/>
        <w:jc w:val="center"/>
        <w:rPr>
          <w:rFonts w:hint="eastAsia" w:eastAsia="仿宋_GB2312"/>
          <w:b/>
          <w:color w:val="auto"/>
          <w:sz w:val="24"/>
          <w:szCs w:val="24"/>
          <w:highlight w:val="none"/>
        </w:rPr>
      </w:pPr>
      <w:r>
        <w:rPr>
          <w:rFonts w:hint="eastAsia" w:eastAsia="仿宋_GB2312"/>
          <w:b/>
          <w:color w:val="auto"/>
          <w:sz w:val="24"/>
          <w:szCs w:val="24"/>
          <w:highlight w:val="none"/>
        </w:rPr>
        <w:t xml:space="preserve"> 工程主要设备材料推荐品牌表</w:t>
      </w:r>
    </w:p>
    <w:p w14:paraId="45431E54">
      <w:pPr>
        <w:spacing w:line="360" w:lineRule="auto"/>
        <w:jc w:val="center"/>
        <w:rPr>
          <w:rFonts w:eastAsia="仿宋_GB2312"/>
          <w:color w:val="auto"/>
          <w:sz w:val="24"/>
          <w:szCs w:val="24"/>
          <w:highlight w:val="none"/>
        </w:rPr>
      </w:pPr>
    </w:p>
    <w:tbl>
      <w:tblPr>
        <w:tblStyle w:val="18"/>
        <w:tblW w:w="9020" w:type="dxa"/>
        <w:tblInd w:w="94" w:type="dxa"/>
        <w:tblLayout w:type="fixed"/>
        <w:tblCellMar>
          <w:top w:w="0" w:type="dxa"/>
          <w:left w:w="108" w:type="dxa"/>
          <w:bottom w:w="0" w:type="dxa"/>
          <w:right w:w="108" w:type="dxa"/>
        </w:tblCellMar>
      </w:tblPr>
      <w:tblGrid>
        <w:gridCol w:w="920"/>
        <w:gridCol w:w="3308"/>
        <w:gridCol w:w="3871"/>
        <w:gridCol w:w="921"/>
      </w:tblGrid>
      <w:tr w14:paraId="2CD1D55B">
        <w:tblPrEx>
          <w:tblCellMar>
            <w:top w:w="0" w:type="dxa"/>
            <w:left w:w="108" w:type="dxa"/>
            <w:bottom w:w="0" w:type="dxa"/>
            <w:right w:w="108" w:type="dxa"/>
          </w:tblCellMar>
        </w:tblPrEx>
        <w:trPr>
          <w:trHeight w:val="540" w:hRule="atLeast"/>
        </w:trPr>
        <w:tc>
          <w:tcPr>
            <w:tcW w:w="9020" w:type="dxa"/>
            <w:gridSpan w:val="4"/>
            <w:tcBorders>
              <w:top w:val="nil"/>
              <w:left w:val="nil"/>
              <w:bottom w:val="nil"/>
              <w:right w:val="nil"/>
            </w:tcBorders>
            <w:noWrap w:val="0"/>
            <w:vAlign w:val="center"/>
          </w:tcPr>
          <w:p w14:paraId="440E4134">
            <w:pPr>
              <w:jc w:val="center"/>
              <w:rPr>
                <w:rFonts w:ascii="宋体" w:hAnsi="宋体" w:cs="宋体"/>
                <w:b/>
                <w:bCs/>
                <w:color w:val="auto"/>
                <w:szCs w:val="21"/>
                <w:highlight w:val="none"/>
              </w:rPr>
            </w:pPr>
            <w:r>
              <w:rPr>
                <w:rFonts w:hint="eastAsia" w:ascii="宋体" w:hAnsi="宋体" w:cs="宋体"/>
                <w:b/>
                <w:bCs/>
                <w:color w:val="auto"/>
                <w:szCs w:val="21"/>
                <w:highlight w:val="none"/>
              </w:rPr>
              <w:t>新华书店综合楼项目主材、设备选型品牌表</w:t>
            </w:r>
          </w:p>
        </w:tc>
      </w:tr>
      <w:tr w14:paraId="1D114031">
        <w:tblPrEx>
          <w:tblCellMar>
            <w:top w:w="0" w:type="dxa"/>
            <w:left w:w="108" w:type="dxa"/>
            <w:bottom w:w="0" w:type="dxa"/>
            <w:right w:w="108"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14:paraId="7B1D3352">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308" w:type="dxa"/>
            <w:tcBorders>
              <w:top w:val="single" w:color="auto" w:sz="4" w:space="0"/>
              <w:left w:val="nil"/>
              <w:bottom w:val="single" w:color="auto" w:sz="4" w:space="0"/>
              <w:right w:val="single" w:color="auto" w:sz="4" w:space="0"/>
            </w:tcBorders>
            <w:noWrap w:val="0"/>
            <w:vAlign w:val="center"/>
          </w:tcPr>
          <w:p w14:paraId="050E8608">
            <w:pPr>
              <w:jc w:val="center"/>
              <w:rPr>
                <w:rFonts w:ascii="宋体" w:hAnsi="宋体" w:cs="宋体"/>
                <w:b/>
                <w:bCs/>
                <w:color w:val="auto"/>
                <w:szCs w:val="21"/>
                <w:highlight w:val="none"/>
              </w:rPr>
            </w:pPr>
            <w:r>
              <w:rPr>
                <w:rFonts w:hint="eastAsia" w:ascii="宋体" w:hAnsi="宋体" w:cs="宋体"/>
                <w:b/>
                <w:bCs/>
                <w:color w:val="auto"/>
                <w:szCs w:val="21"/>
                <w:highlight w:val="none"/>
              </w:rPr>
              <w:t>名称</w:t>
            </w:r>
          </w:p>
        </w:tc>
        <w:tc>
          <w:tcPr>
            <w:tcW w:w="3871" w:type="dxa"/>
            <w:tcBorders>
              <w:top w:val="single" w:color="auto" w:sz="4" w:space="0"/>
              <w:left w:val="nil"/>
              <w:bottom w:val="single" w:color="auto" w:sz="4" w:space="0"/>
              <w:right w:val="single" w:color="auto" w:sz="4" w:space="0"/>
            </w:tcBorders>
            <w:noWrap w:val="0"/>
            <w:vAlign w:val="center"/>
          </w:tcPr>
          <w:p w14:paraId="63FA59EA">
            <w:pPr>
              <w:jc w:val="center"/>
              <w:rPr>
                <w:rFonts w:ascii="宋体" w:hAnsi="宋体" w:cs="宋体"/>
                <w:b/>
                <w:bCs/>
                <w:color w:val="auto"/>
                <w:szCs w:val="21"/>
                <w:highlight w:val="none"/>
              </w:rPr>
            </w:pPr>
            <w:r>
              <w:rPr>
                <w:rFonts w:hint="eastAsia" w:ascii="宋体" w:hAnsi="宋体" w:cs="宋体"/>
                <w:b/>
                <w:bCs/>
                <w:color w:val="auto"/>
                <w:szCs w:val="21"/>
                <w:highlight w:val="none"/>
              </w:rPr>
              <w:t>品牌或同档次品牌</w:t>
            </w:r>
          </w:p>
        </w:tc>
        <w:tc>
          <w:tcPr>
            <w:tcW w:w="921" w:type="dxa"/>
            <w:tcBorders>
              <w:top w:val="single" w:color="auto" w:sz="4" w:space="0"/>
              <w:left w:val="nil"/>
              <w:bottom w:val="single" w:color="auto" w:sz="4" w:space="0"/>
              <w:right w:val="single" w:color="auto" w:sz="4" w:space="0"/>
            </w:tcBorders>
            <w:noWrap w:val="0"/>
            <w:vAlign w:val="center"/>
          </w:tcPr>
          <w:p w14:paraId="2FE4240F">
            <w:pPr>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69D12812">
        <w:tblPrEx>
          <w:tblCellMar>
            <w:top w:w="0" w:type="dxa"/>
            <w:left w:w="108" w:type="dxa"/>
            <w:bottom w:w="0" w:type="dxa"/>
            <w:right w:w="108" w:type="dxa"/>
          </w:tblCellMar>
        </w:tblPrEx>
        <w:trPr>
          <w:trHeight w:val="480" w:hRule="atLeast"/>
        </w:trPr>
        <w:tc>
          <w:tcPr>
            <w:tcW w:w="920" w:type="dxa"/>
            <w:tcBorders>
              <w:top w:val="nil"/>
              <w:left w:val="single" w:color="auto" w:sz="4" w:space="0"/>
              <w:bottom w:val="single" w:color="auto" w:sz="4" w:space="0"/>
              <w:right w:val="single" w:color="auto" w:sz="4" w:space="0"/>
            </w:tcBorders>
            <w:noWrap w:val="0"/>
            <w:vAlign w:val="center"/>
          </w:tcPr>
          <w:p w14:paraId="6664B335">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3308" w:type="dxa"/>
            <w:tcBorders>
              <w:top w:val="nil"/>
              <w:left w:val="nil"/>
              <w:bottom w:val="single" w:color="auto" w:sz="4" w:space="0"/>
              <w:right w:val="single" w:color="auto" w:sz="4" w:space="0"/>
            </w:tcBorders>
            <w:noWrap w:val="0"/>
            <w:vAlign w:val="center"/>
          </w:tcPr>
          <w:p w14:paraId="54928FFD">
            <w:pPr>
              <w:rPr>
                <w:rFonts w:ascii="宋体" w:hAnsi="宋体" w:cs="宋体"/>
                <w:color w:val="auto"/>
                <w:szCs w:val="21"/>
                <w:highlight w:val="none"/>
              </w:rPr>
            </w:pPr>
            <w:r>
              <w:rPr>
                <w:rFonts w:hint="eastAsia" w:ascii="宋体" w:hAnsi="宋体" w:cs="宋体"/>
                <w:color w:val="auto"/>
                <w:szCs w:val="21"/>
                <w:highlight w:val="none"/>
              </w:rPr>
              <w:t>钢筋、钢材</w:t>
            </w:r>
          </w:p>
        </w:tc>
        <w:tc>
          <w:tcPr>
            <w:tcW w:w="3871" w:type="dxa"/>
            <w:tcBorders>
              <w:top w:val="nil"/>
              <w:left w:val="nil"/>
              <w:bottom w:val="single" w:color="auto" w:sz="4" w:space="0"/>
              <w:right w:val="single" w:color="auto" w:sz="4" w:space="0"/>
            </w:tcBorders>
            <w:noWrap w:val="0"/>
            <w:vAlign w:val="center"/>
          </w:tcPr>
          <w:p w14:paraId="26F3873C">
            <w:pPr>
              <w:rPr>
                <w:rFonts w:ascii="宋体" w:hAnsi="宋体" w:cs="宋体"/>
                <w:color w:val="auto"/>
                <w:szCs w:val="21"/>
                <w:highlight w:val="none"/>
              </w:rPr>
            </w:pPr>
            <w:r>
              <w:rPr>
                <w:rFonts w:hint="eastAsia" w:ascii="宋体" w:hAnsi="宋体" w:cs="宋体"/>
                <w:color w:val="auto"/>
                <w:szCs w:val="21"/>
                <w:highlight w:val="none"/>
              </w:rPr>
              <w:t>鞍钢、宝钢、韶钢、首钢</w:t>
            </w:r>
          </w:p>
        </w:tc>
        <w:tc>
          <w:tcPr>
            <w:tcW w:w="921" w:type="dxa"/>
            <w:tcBorders>
              <w:top w:val="nil"/>
              <w:left w:val="nil"/>
              <w:bottom w:val="single" w:color="auto" w:sz="4" w:space="0"/>
              <w:right w:val="single" w:color="auto" w:sz="4" w:space="0"/>
            </w:tcBorders>
            <w:noWrap w:val="0"/>
            <w:vAlign w:val="center"/>
          </w:tcPr>
          <w:p w14:paraId="738D0D76">
            <w:pPr>
              <w:rPr>
                <w:rFonts w:ascii="宋体" w:hAnsi="宋体" w:cs="宋体"/>
                <w:color w:val="auto"/>
                <w:szCs w:val="21"/>
                <w:highlight w:val="none"/>
              </w:rPr>
            </w:pPr>
            <w:r>
              <w:rPr>
                <w:rFonts w:hint="eastAsia" w:ascii="宋体" w:hAnsi="宋体" w:cs="宋体"/>
                <w:color w:val="auto"/>
                <w:szCs w:val="21"/>
                <w:highlight w:val="none"/>
              </w:rPr>
              <w:t>　</w:t>
            </w:r>
          </w:p>
        </w:tc>
      </w:tr>
      <w:tr w14:paraId="2003D920">
        <w:tblPrEx>
          <w:tblCellMar>
            <w:top w:w="0" w:type="dxa"/>
            <w:left w:w="108" w:type="dxa"/>
            <w:bottom w:w="0" w:type="dxa"/>
            <w:right w:w="108" w:type="dxa"/>
          </w:tblCellMar>
        </w:tblPrEx>
        <w:trPr>
          <w:trHeight w:val="480" w:hRule="atLeast"/>
        </w:trPr>
        <w:tc>
          <w:tcPr>
            <w:tcW w:w="920" w:type="dxa"/>
            <w:tcBorders>
              <w:top w:val="nil"/>
              <w:left w:val="single" w:color="auto" w:sz="4" w:space="0"/>
              <w:bottom w:val="single" w:color="auto" w:sz="4" w:space="0"/>
              <w:right w:val="single" w:color="auto" w:sz="4" w:space="0"/>
            </w:tcBorders>
            <w:noWrap w:val="0"/>
            <w:vAlign w:val="center"/>
          </w:tcPr>
          <w:p w14:paraId="3BBAB516">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3308" w:type="dxa"/>
            <w:tcBorders>
              <w:top w:val="nil"/>
              <w:left w:val="nil"/>
              <w:bottom w:val="single" w:color="auto" w:sz="4" w:space="0"/>
              <w:right w:val="single" w:color="auto" w:sz="4" w:space="0"/>
            </w:tcBorders>
            <w:noWrap w:val="0"/>
            <w:vAlign w:val="center"/>
          </w:tcPr>
          <w:p w14:paraId="71B5C6BB">
            <w:pPr>
              <w:rPr>
                <w:rFonts w:ascii="宋体" w:hAnsi="宋体" w:cs="宋体"/>
                <w:color w:val="auto"/>
                <w:szCs w:val="21"/>
                <w:highlight w:val="none"/>
              </w:rPr>
            </w:pPr>
            <w:r>
              <w:rPr>
                <w:rFonts w:hint="eastAsia" w:ascii="宋体" w:hAnsi="宋体" w:cs="宋体"/>
                <w:color w:val="auto"/>
                <w:szCs w:val="21"/>
                <w:highlight w:val="none"/>
              </w:rPr>
              <w:t>水泥</w:t>
            </w:r>
          </w:p>
        </w:tc>
        <w:tc>
          <w:tcPr>
            <w:tcW w:w="3871" w:type="dxa"/>
            <w:tcBorders>
              <w:top w:val="nil"/>
              <w:left w:val="nil"/>
              <w:bottom w:val="single" w:color="auto" w:sz="4" w:space="0"/>
              <w:right w:val="single" w:color="auto" w:sz="4" w:space="0"/>
            </w:tcBorders>
            <w:noWrap w:val="0"/>
            <w:vAlign w:val="center"/>
          </w:tcPr>
          <w:p w14:paraId="45F819AA">
            <w:pPr>
              <w:rPr>
                <w:rFonts w:ascii="宋体" w:hAnsi="宋体" w:cs="宋体"/>
                <w:color w:val="auto"/>
                <w:szCs w:val="21"/>
                <w:highlight w:val="none"/>
              </w:rPr>
            </w:pPr>
            <w:r>
              <w:rPr>
                <w:rFonts w:hint="eastAsia" w:ascii="宋体" w:hAnsi="宋体" w:cs="宋体"/>
                <w:color w:val="auto"/>
                <w:szCs w:val="21"/>
                <w:highlight w:val="none"/>
              </w:rPr>
              <w:t>海螺、红狮、华润、</w:t>
            </w:r>
            <w:r>
              <w:rPr>
                <w:rFonts w:hint="eastAsia" w:ascii="宋体" w:hAnsi="宋体" w:cs="宋体"/>
                <w:color w:val="auto"/>
                <w:kern w:val="0"/>
                <w:szCs w:val="21"/>
                <w:highlight w:val="none"/>
                <w:lang w:bidi="ar"/>
              </w:rPr>
              <w:t>润丰</w:t>
            </w:r>
          </w:p>
        </w:tc>
        <w:tc>
          <w:tcPr>
            <w:tcW w:w="921" w:type="dxa"/>
            <w:tcBorders>
              <w:top w:val="nil"/>
              <w:left w:val="nil"/>
              <w:bottom w:val="single" w:color="auto" w:sz="4" w:space="0"/>
              <w:right w:val="single" w:color="auto" w:sz="4" w:space="0"/>
            </w:tcBorders>
            <w:noWrap w:val="0"/>
            <w:vAlign w:val="center"/>
          </w:tcPr>
          <w:p w14:paraId="0ABA7E76">
            <w:pPr>
              <w:rPr>
                <w:rFonts w:ascii="宋体" w:hAnsi="宋体" w:cs="宋体"/>
                <w:color w:val="auto"/>
                <w:szCs w:val="21"/>
                <w:highlight w:val="none"/>
              </w:rPr>
            </w:pPr>
            <w:r>
              <w:rPr>
                <w:rFonts w:hint="eastAsia" w:ascii="宋体" w:hAnsi="宋体" w:cs="宋体"/>
                <w:color w:val="auto"/>
                <w:szCs w:val="21"/>
                <w:highlight w:val="none"/>
              </w:rPr>
              <w:t>　</w:t>
            </w:r>
          </w:p>
        </w:tc>
      </w:tr>
      <w:tr w14:paraId="60B83C3E">
        <w:tblPrEx>
          <w:tblCellMar>
            <w:top w:w="0" w:type="dxa"/>
            <w:left w:w="108" w:type="dxa"/>
            <w:bottom w:w="0" w:type="dxa"/>
            <w:right w:w="108" w:type="dxa"/>
          </w:tblCellMar>
        </w:tblPrEx>
        <w:trPr>
          <w:trHeight w:val="480" w:hRule="atLeast"/>
        </w:trPr>
        <w:tc>
          <w:tcPr>
            <w:tcW w:w="920" w:type="dxa"/>
            <w:tcBorders>
              <w:top w:val="nil"/>
              <w:left w:val="single" w:color="auto" w:sz="4" w:space="0"/>
              <w:bottom w:val="single" w:color="auto" w:sz="4" w:space="0"/>
              <w:right w:val="single" w:color="auto" w:sz="4" w:space="0"/>
            </w:tcBorders>
            <w:noWrap w:val="0"/>
            <w:vAlign w:val="center"/>
          </w:tcPr>
          <w:p w14:paraId="3DD08FF3">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3308" w:type="dxa"/>
            <w:tcBorders>
              <w:top w:val="nil"/>
              <w:left w:val="nil"/>
              <w:bottom w:val="single" w:color="auto" w:sz="4" w:space="0"/>
              <w:right w:val="single" w:color="auto" w:sz="4" w:space="0"/>
            </w:tcBorders>
            <w:noWrap w:val="0"/>
            <w:vAlign w:val="center"/>
          </w:tcPr>
          <w:p w14:paraId="56D32A77">
            <w:pPr>
              <w:rPr>
                <w:rFonts w:ascii="宋体" w:hAnsi="宋体" w:cs="宋体"/>
                <w:color w:val="auto"/>
                <w:szCs w:val="21"/>
                <w:highlight w:val="none"/>
              </w:rPr>
            </w:pPr>
            <w:r>
              <w:rPr>
                <w:rFonts w:hint="eastAsia" w:ascii="宋体" w:hAnsi="宋体" w:cs="宋体"/>
                <w:color w:val="auto"/>
                <w:szCs w:val="21"/>
                <w:highlight w:val="none"/>
              </w:rPr>
              <w:t>玻璃</w:t>
            </w:r>
          </w:p>
        </w:tc>
        <w:tc>
          <w:tcPr>
            <w:tcW w:w="3871" w:type="dxa"/>
            <w:tcBorders>
              <w:top w:val="nil"/>
              <w:left w:val="nil"/>
              <w:bottom w:val="single" w:color="auto" w:sz="4" w:space="0"/>
              <w:right w:val="single" w:color="auto" w:sz="4" w:space="0"/>
            </w:tcBorders>
            <w:noWrap w:val="0"/>
            <w:vAlign w:val="center"/>
          </w:tcPr>
          <w:p w14:paraId="277F64F5">
            <w:pPr>
              <w:rPr>
                <w:rFonts w:ascii="宋体" w:hAnsi="宋体" w:cs="宋体"/>
                <w:color w:val="auto"/>
                <w:szCs w:val="21"/>
                <w:highlight w:val="none"/>
              </w:rPr>
            </w:pPr>
            <w:r>
              <w:rPr>
                <w:rFonts w:hint="eastAsia" w:ascii="宋体" w:hAnsi="宋体" w:cs="宋体"/>
                <w:color w:val="auto"/>
                <w:szCs w:val="21"/>
                <w:highlight w:val="none"/>
              </w:rPr>
              <w:t>南玻、沙玻、格兰特、</w:t>
            </w:r>
            <w:r>
              <w:rPr>
                <w:rFonts w:hint="eastAsia" w:ascii="宋体" w:hAnsi="宋体" w:cs="宋体"/>
                <w:color w:val="auto"/>
                <w:kern w:val="0"/>
                <w:szCs w:val="21"/>
                <w:highlight w:val="none"/>
                <w:lang w:bidi="ar"/>
              </w:rPr>
              <w:t>信义</w:t>
            </w:r>
          </w:p>
        </w:tc>
        <w:tc>
          <w:tcPr>
            <w:tcW w:w="921" w:type="dxa"/>
            <w:tcBorders>
              <w:top w:val="nil"/>
              <w:left w:val="nil"/>
              <w:bottom w:val="single" w:color="auto" w:sz="4" w:space="0"/>
              <w:right w:val="single" w:color="auto" w:sz="4" w:space="0"/>
            </w:tcBorders>
            <w:noWrap w:val="0"/>
            <w:vAlign w:val="center"/>
          </w:tcPr>
          <w:p w14:paraId="3703D4A1">
            <w:pPr>
              <w:rPr>
                <w:rFonts w:ascii="宋体" w:hAnsi="宋体" w:cs="宋体"/>
                <w:color w:val="auto"/>
                <w:szCs w:val="21"/>
                <w:highlight w:val="none"/>
              </w:rPr>
            </w:pPr>
            <w:r>
              <w:rPr>
                <w:rFonts w:hint="eastAsia" w:ascii="宋体" w:hAnsi="宋体" w:cs="宋体"/>
                <w:color w:val="auto"/>
                <w:szCs w:val="21"/>
                <w:highlight w:val="none"/>
              </w:rPr>
              <w:t>　</w:t>
            </w:r>
          </w:p>
        </w:tc>
      </w:tr>
      <w:tr w14:paraId="4D1007DD">
        <w:tblPrEx>
          <w:tblCellMar>
            <w:top w:w="0" w:type="dxa"/>
            <w:left w:w="108" w:type="dxa"/>
            <w:bottom w:w="0" w:type="dxa"/>
            <w:right w:w="108" w:type="dxa"/>
          </w:tblCellMar>
        </w:tblPrEx>
        <w:trPr>
          <w:trHeight w:val="480" w:hRule="atLeast"/>
        </w:trPr>
        <w:tc>
          <w:tcPr>
            <w:tcW w:w="920" w:type="dxa"/>
            <w:tcBorders>
              <w:top w:val="nil"/>
              <w:left w:val="single" w:color="auto" w:sz="4" w:space="0"/>
              <w:bottom w:val="single" w:color="auto" w:sz="4" w:space="0"/>
              <w:right w:val="single" w:color="auto" w:sz="4" w:space="0"/>
            </w:tcBorders>
            <w:noWrap w:val="0"/>
            <w:vAlign w:val="center"/>
          </w:tcPr>
          <w:p w14:paraId="14EE9980">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3308" w:type="dxa"/>
            <w:tcBorders>
              <w:top w:val="nil"/>
              <w:left w:val="nil"/>
              <w:bottom w:val="single" w:color="auto" w:sz="4" w:space="0"/>
              <w:right w:val="single" w:color="auto" w:sz="4" w:space="0"/>
            </w:tcBorders>
            <w:noWrap w:val="0"/>
            <w:vAlign w:val="center"/>
          </w:tcPr>
          <w:p w14:paraId="3B5BBB92">
            <w:pPr>
              <w:rPr>
                <w:rFonts w:ascii="宋体" w:hAnsi="宋体" w:cs="宋体"/>
                <w:color w:val="auto"/>
                <w:szCs w:val="21"/>
                <w:highlight w:val="none"/>
              </w:rPr>
            </w:pPr>
            <w:r>
              <w:rPr>
                <w:rFonts w:hint="eastAsia" w:ascii="宋体" w:hAnsi="宋体" w:cs="宋体"/>
                <w:color w:val="auto"/>
                <w:szCs w:val="21"/>
                <w:highlight w:val="none"/>
              </w:rPr>
              <w:t>卷材</w:t>
            </w:r>
          </w:p>
        </w:tc>
        <w:tc>
          <w:tcPr>
            <w:tcW w:w="3871" w:type="dxa"/>
            <w:tcBorders>
              <w:top w:val="nil"/>
              <w:left w:val="nil"/>
              <w:bottom w:val="single" w:color="auto" w:sz="4" w:space="0"/>
              <w:right w:val="single" w:color="auto" w:sz="4" w:space="0"/>
            </w:tcBorders>
            <w:noWrap w:val="0"/>
            <w:vAlign w:val="center"/>
          </w:tcPr>
          <w:p w14:paraId="5253DC8D">
            <w:pPr>
              <w:rPr>
                <w:rFonts w:ascii="宋体" w:hAnsi="宋体" w:cs="宋体"/>
                <w:color w:val="auto"/>
                <w:szCs w:val="21"/>
                <w:highlight w:val="none"/>
              </w:rPr>
            </w:pPr>
            <w:r>
              <w:rPr>
                <w:rFonts w:hint="eastAsia" w:ascii="宋体" w:hAnsi="宋体" w:cs="宋体"/>
                <w:color w:val="auto"/>
                <w:szCs w:val="21"/>
                <w:highlight w:val="none"/>
              </w:rPr>
              <w:t>禹王、大禹、东方、</w:t>
            </w:r>
            <w:r>
              <w:rPr>
                <w:rFonts w:hint="eastAsia" w:ascii="宋体" w:hAnsi="宋体" w:cs="宋体"/>
                <w:color w:val="auto"/>
                <w:kern w:val="0"/>
                <w:szCs w:val="21"/>
                <w:highlight w:val="none"/>
                <w:lang w:bidi="ar"/>
              </w:rPr>
              <w:t>科顺</w:t>
            </w:r>
          </w:p>
        </w:tc>
        <w:tc>
          <w:tcPr>
            <w:tcW w:w="921" w:type="dxa"/>
            <w:tcBorders>
              <w:top w:val="nil"/>
              <w:left w:val="nil"/>
              <w:bottom w:val="single" w:color="auto" w:sz="4" w:space="0"/>
              <w:right w:val="single" w:color="auto" w:sz="4" w:space="0"/>
            </w:tcBorders>
            <w:noWrap w:val="0"/>
            <w:vAlign w:val="center"/>
          </w:tcPr>
          <w:p w14:paraId="603E0F3C">
            <w:pPr>
              <w:rPr>
                <w:rFonts w:ascii="宋体" w:hAnsi="宋体" w:cs="宋体"/>
                <w:color w:val="auto"/>
                <w:szCs w:val="21"/>
                <w:highlight w:val="none"/>
              </w:rPr>
            </w:pPr>
            <w:r>
              <w:rPr>
                <w:rFonts w:hint="eastAsia" w:ascii="宋体" w:hAnsi="宋体" w:cs="宋体"/>
                <w:color w:val="auto"/>
                <w:szCs w:val="21"/>
                <w:highlight w:val="none"/>
              </w:rPr>
              <w:t>　</w:t>
            </w:r>
          </w:p>
        </w:tc>
      </w:tr>
      <w:tr w14:paraId="08B40A14">
        <w:tblPrEx>
          <w:tblCellMar>
            <w:top w:w="0" w:type="dxa"/>
            <w:left w:w="108" w:type="dxa"/>
            <w:bottom w:w="0" w:type="dxa"/>
            <w:right w:w="108" w:type="dxa"/>
          </w:tblCellMar>
        </w:tblPrEx>
        <w:trPr>
          <w:trHeight w:val="480" w:hRule="atLeast"/>
        </w:trPr>
        <w:tc>
          <w:tcPr>
            <w:tcW w:w="920" w:type="dxa"/>
            <w:tcBorders>
              <w:top w:val="nil"/>
              <w:left w:val="single" w:color="auto" w:sz="4" w:space="0"/>
              <w:bottom w:val="single" w:color="auto" w:sz="4" w:space="0"/>
              <w:right w:val="single" w:color="auto" w:sz="4" w:space="0"/>
            </w:tcBorders>
            <w:noWrap w:val="0"/>
            <w:vAlign w:val="center"/>
          </w:tcPr>
          <w:p w14:paraId="1C2565C0">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3308" w:type="dxa"/>
            <w:tcBorders>
              <w:top w:val="nil"/>
              <w:left w:val="nil"/>
              <w:bottom w:val="single" w:color="auto" w:sz="4" w:space="0"/>
              <w:right w:val="single" w:color="auto" w:sz="4" w:space="0"/>
            </w:tcBorders>
            <w:noWrap w:val="0"/>
            <w:vAlign w:val="center"/>
          </w:tcPr>
          <w:p w14:paraId="21D69271">
            <w:pPr>
              <w:rPr>
                <w:rFonts w:ascii="宋体" w:hAnsi="宋体" w:cs="宋体"/>
                <w:color w:val="auto"/>
                <w:szCs w:val="21"/>
                <w:highlight w:val="none"/>
              </w:rPr>
            </w:pPr>
            <w:r>
              <w:rPr>
                <w:rFonts w:hint="eastAsia" w:ascii="宋体" w:hAnsi="宋体" w:cs="宋体"/>
                <w:color w:val="auto"/>
                <w:szCs w:val="21"/>
                <w:highlight w:val="none"/>
              </w:rPr>
              <w:t>瓷砖、抛光砖、防滑砖</w:t>
            </w:r>
          </w:p>
        </w:tc>
        <w:tc>
          <w:tcPr>
            <w:tcW w:w="3871" w:type="dxa"/>
            <w:tcBorders>
              <w:top w:val="nil"/>
              <w:left w:val="nil"/>
              <w:bottom w:val="single" w:color="auto" w:sz="4" w:space="0"/>
              <w:right w:val="single" w:color="auto" w:sz="4" w:space="0"/>
            </w:tcBorders>
            <w:noWrap w:val="0"/>
            <w:vAlign w:val="center"/>
          </w:tcPr>
          <w:p w14:paraId="35C9AFAD">
            <w:pPr>
              <w:rPr>
                <w:rFonts w:ascii="宋体" w:hAnsi="宋体" w:cs="宋体"/>
                <w:color w:val="auto"/>
                <w:szCs w:val="21"/>
                <w:highlight w:val="none"/>
              </w:rPr>
            </w:pPr>
            <w:r>
              <w:rPr>
                <w:rFonts w:hint="eastAsia" w:ascii="宋体" w:hAnsi="宋体" w:cs="宋体"/>
                <w:color w:val="auto"/>
                <w:szCs w:val="21"/>
                <w:highlight w:val="none"/>
              </w:rPr>
              <w:t>白兔、东鹏、冠珠、</w:t>
            </w:r>
            <w:r>
              <w:rPr>
                <w:rFonts w:hint="eastAsia" w:ascii="宋体" w:hAnsi="宋体" w:cs="宋体"/>
                <w:color w:val="auto"/>
                <w:kern w:val="0"/>
                <w:szCs w:val="21"/>
                <w:highlight w:val="none"/>
                <w:lang w:bidi="ar"/>
              </w:rPr>
              <w:t>新中源</w:t>
            </w:r>
          </w:p>
        </w:tc>
        <w:tc>
          <w:tcPr>
            <w:tcW w:w="921" w:type="dxa"/>
            <w:tcBorders>
              <w:top w:val="nil"/>
              <w:left w:val="nil"/>
              <w:bottom w:val="single" w:color="auto" w:sz="4" w:space="0"/>
              <w:right w:val="single" w:color="auto" w:sz="4" w:space="0"/>
            </w:tcBorders>
            <w:noWrap w:val="0"/>
            <w:vAlign w:val="center"/>
          </w:tcPr>
          <w:p w14:paraId="0527BB71">
            <w:pPr>
              <w:rPr>
                <w:rFonts w:ascii="宋体" w:hAnsi="宋体" w:cs="宋体"/>
                <w:color w:val="auto"/>
                <w:szCs w:val="21"/>
                <w:highlight w:val="none"/>
              </w:rPr>
            </w:pPr>
            <w:r>
              <w:rPr>
                <w:rFonts w:hint="eastAsia" w:ascii="宋体" w:hAnsi="宋体" w:cs="宋体"/>
                <w:color w:val="auto"/>
                <w:szCs w:val="21"/>
                <w:highlight w:val="none"/>
              </w:rPr>
              <w:t>　</w:t>
            </w:r>
          </w:p>
        </w:tc>
      </w:tr>
      <w:tr w14:paraId="06F9A864">
        <w:tblPrEx>
          <w:tblCellMar>
            <w:top w:w="0" w:type="dxa"/>
            <w:left w:w="108" w:type="dxa"/>
            <w:bottom w:w="0" w:type="dxa"/>
            <w:right w:w="108" w:type="dxa"/>
          </w:tblCellMar>
        </w:tblPrEx>
        <w:trPr>
          <w:trHeight w:val="480" w:hRule="atLeast"/>
        </w:trPr>
        <w:tc>
          <w:tcPr>
            <w:tcW w:w="920" w:type="dxa"/>
            <w:tcBorders>
              <w:top w:val="nil"/>
              <w:left w:val="single" w:color="auto" w:sz="4" w:space="0"/>
              <w:bottom w:val="single" w:color="auto" w:sz="4" w:space="0"/>
              <w:right w:val="single" w:color="auto" w:sz="4" w:space="0"/>
            </w:tcBorders>
            <w:noWrap w:val="0"/>
            <w:vAlign w:val="center"/>
          </w:tcPr>
          <w:p w14:paraId="38550837">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3308" w:type="dxa"/>
            <w:tcBorders>
              <w:top w:val="nil"/>
              <w:left w:val="nil"/>
              <w:bottom w:val="single" w:color="auto" w:sz="4" w:space="0"/>
              <w:right w:val="single" w:color="auto" w:sz="4" w:space="0"/>
            </w:tcBorders>
            <w:noWrap w:val="0"/>
            <w:vAlign w:val="center"/>
          </w:tcPr>
          <w:p w14:paraId="6A842BDB">
            <w:pPr>
              <w:rPr>
                <w:rFonts w:ascii="宋体" w:hAnsi="宋体" w:cs="宋体"/>
                <w:color w:val="auto"/>
                <w:szCs w:val="21"/>
                <w:highlight w:val="none"/>
              </w:rPr>
            </w:pPr>
            <w:r>
              <w:rPr>
                <w:rFonts w:hint="eastAsia" w:ascii="宋体" w:hAnsi="宋体" w:cs="宋体"/>
                <w:color w:val="auto"/>
                <w:szCs w:val="21"/>
                <w:highlight w:val="none"/>
              </w:rPr>
              <w:t>涂料</w:t>
            </w:r>
          </w:p>
        </w:tc>
        <w:tc>
          <w:tcPr>
            <w:tcW w:w="3871" w:type="dxa"/>
            <w:tcBorders>
              <w:top w:val="nil"/>
              <w:left w:val="nil"/>
              <w:bottom w:val="single" w:color="auto" w:sz="4" w:space="0"/>
              <w:right w:val="single" w:color="auto" w:sz="4" w:space="0"/>
            </w:tcBorders>
            <w:noWrap w:val="0"/>
            <w:vAlign w:val="center"/>
          </w:tcPr>
          <w:p w14:paraId="6EEFB7A1">
            <w:pPr>
              <w:rPr>
                <w:rFonts w:ascii="宋体" w:hAnsi="宋体" w:cs="宋体"/>
                <w:color w:val="auto"/>
                <w:szCs w:val="21"/>
                <w:highlight w:val="none"/>
              </w:rPr>
            </w:pPr>
            <w:r>
              <w:rPr>
                <w:rFonts w:hint="eastAsia" w:ascii="宋体" w:hAnsi="宋体" w:cs="宋体"/>
                <w:color w:val="auto"/>
                <w:szCs w:val="21"/>
                <w:highlight w:val="none"/>
              </w:rPr>
              <w:t>嘉宝莉、立邦、多乐士</w:t>
            </w:r>
          </w:p>
        </w:tc>
        <w:tc>
          <w:tcPr>
            <w:tcW w:w="921" w:type="dxa"/>
            <w:tcBorders>
              <w:top w:val="nil"/>
              <w:left w:val="nil"/>
              <w:bottom w:val="single" w:color="auto" w:sz="4" w:space="0"/>
              <w:right w:val="single" w:color="auto" w:sz="4" w:space="0"/>
            </w:tcBorders>
            <w:noWrap w:val="0"/>
            <w:vAlign w:val="center"/>
          </w:tcPr>
          <w:p w14:paraId="186B8312">
            <w:pPr>
              <w:rPr>
                <w:rFonts w:ascii="宋体" w:hAnsi="宋体" w:cs="宋体"/>
                <w:color w:val="auto"/>
                <w:szCs w:val="21"/>
                <w:highlight w:val="none"/>
              </w:rPr>
            </w:pPr>
            <w:r>
              <w:rPr>
                <w:rFonts w:hint="eastAsia" w:ascii="宋体" w:hAnsi="宋体" w:cs="宋体"/>
                <w:color w:val="auto"/>
                <w:szCs w:val="21"/>
                <w:highlight w:val="none"/>
              </w:rPr>
              <w:t>　</w:t>
            </w:r>
          </w:p>
        </w:tc>
      </w:tr>
      <w:tr w14:paraId="00A44728">
        <w:tblPrEx>
          <w:tblCellMar>
            <w:top w:w="0" w:type="dxa"/>
            <w:left w:w="108" w:type="dxa"/>
            <w:bottom w:w="0" w:type="dxa"/>
            <w:right w:w="108" w:type="dxa"/>
          </w:tblCellMar>
        </w:tblPrEx>
        <w:trPr>
          <w:trHeight w:val="480" w:hRule="atLeast"/>
        </w:trPr>
        <w:tc>
          <w:tcPr>
            <w:tcW w:w="920" w:type="dxa"/>
            <w:tcBorders>
              <w:top w:val="nil"/>
              <w:left w:val="single" w:color="auto" w:sz="4" w:space="0"/>
              <w:bottom w:val="single" w:color="auto" w:sz="4" w:space="0"/>
              <w:right w:val="single" w:color="auto" w:sz="4" w:space="0"/>
            </w:tcBorders>
            <w:noWrap w:val="0"/>
            <w:vAlign w:val="center"/>
          </w:tcPr>
          <w:p w14:paraId="6476DD3A">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3308" w:type="dxa"/>
            <w:tcBorders>
              <w:top w:val="nil"/>
              <w:left w:val="nil"/>
              <w:bottom w:val="single" w:color="auto" w:sz="4" w:space="0"/>
              <w:right w:val="single" w:color="auto" w:sz="4" w:space="0"/>
            </w:tcBorders>
            <w:noWrap w:val="0"/>
            <w:vAlign w:val="center"/>
          </w:tcPr>
          <w:p w14:paraId="586C5A3D">
            <w:pPr>
              <w:rPr>
                <w:rFonts w:ascii="宋体" w:hAnsi="宋体" w:cs="宋体"/>
                <w:color w:val="auto"/>
                <w:szCs w:val="21"/>
                <w:highlight w:val="none"/>
              </w:rPr>
            </w:pPr>
            <w:r>
              <w:rPr>
                <w:rFonts w:hint="eastAsia" w:ascii="宋体" w:hAnsi="宋体" w:cs="宋体"/>
                <w:color w:val="auto"/>
                <w:szCs w:val="21"/>
                <w:highlight w:val="none"/>
              </w:rPr>
              <w:t>铜芯电缆</w:t>
            </w:r>
          </w:p>
        </w:tc>
        <w:tc>
          <w:tcPr>
            <w:tcW w:w="3871" w:type="dxa"/>
            <w:tcBorders>
              <w:top w:val="nil"/>
              <w:left w:val="nil"/>
              <w:bottom w:val="single" w:color="auto" w:sz="4" w:space="0"/>
              <w:right w:val="single" w:color="auto" w:sz="4" w:space="0"/>
            </w:tcBorders>
            <w:noWrap w:val="0"/>
            <w:vAlign w:val="center"/>
          </w:tcPr>
          <w:p w14:paraId="3743F471">
            <w:pPr>
              <w:rPr>
                <w:rFonts w:ascii="宋体" w:hAnsi="宋体" w:cs="宋体"/>
                <w:color w:val="auto"/>
                <w:szCs w:val="21"/>
                <w:highlight w:val="none"/>
              </w:rPr>
            </w:pPr>
            <w:r>
              <w:rPr>
                <w:rFonts w:hint="eastAsia" w:ascii="宋体" w:hAnsi="宋体" w:cs="宋体"/>
                <w:color w:val="auto"/>
                <w:szCs w:val="21"/>
                <w:highlight w:val="none"/>
              </w:rPr>
              <w:t>广州、广东、南洋</w:t>
            </w:r>
          </w:p>
        </w:tc>
        <w:tc>
          <w:tcPr>
            <w:tcW w:w="921" w:type="dxa"/>
            <w:tcBorders>
              <w:top w:val="nil"/>
              <w:left w:val="nil"/>
              <w:bottom w:val="single" w:color="auto" w:sz="4" w:space="0"/>
              <w:right w:val="single" w:color="auto" w:sz="4" w:space="0"/>
            </w:tcBorders>
            <w:noWrap w:val="0"/>
            <w:vAlign w:val="center"/>
          </w:tcPr>
          <w:p w14:paraId="1F1E943B">
            <w:pPr>
              <w:rPr>
                <w:rFonts w:ascii="宋体" w:hAnsi="宋体" w:cs="宋体"/>
                <w:color w:val="auto"/>
                <w:szCs w:val="21"/>
                <w:highlight w:val="none"/>
              </w:rPr>
            </w:pPr>
            <w:r>
              <w:rPr>
                <w:rFonts w:hint="eastAsia" w:ascii="宋体" w:hAnsi="宋体" w:cs="宋体"/>
                <w:color w:val="auto"/>
                <w:szCs w:val="21"/>
                <w:highlight w:val="none"/>
              </w:rPr>
              <w:t>　</w:t>
            </w:r>
          </w:p>
        </w:tc>
      </w:tr>
      <w:tr w14:paraId="432D87CA">
        <w:tblPrEx>
          <w:tblCellMar>
            <w:top w:w="0" w:type="dxa"/>
            <w:left w:w="108" w:type="dxa"/>
            <w:bottom w:w="0" w:type="dxa"/>
            <w:right w:w="108" w:type="dxa"/>
          </w:tblCellMar>
        </w:tblPrEx>
        <w:trPr>
          <w:trHeight w:val="480" w:hRule="atLeast"/>
        </w:trPr>
        <w:tc>
          <w:tcPr>
            <w:tcW w:w="920" w:type="dxa"/>
            <w:tcBorders>
              <w:top w:val="nil"/>
              <w:left w:val="single" w:color="auto" w:sz="4" w:space="0"/>
              <w:bottom w:val="single" w:color="auto" w:sz="4" w:space="0"/>
              <w:right w:val="single" w:color="auto" w:sz="4" w:space="0"/>
            </w:tcBorders>
            <w:noWrap w:val="0"/>
            <w:vAlign w:val="center"/>
          </w:tcPr>
          <w:p w14:paraId="6316C73E">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3308" w:type="dxa"/>
            <w:tcBorders>
              <w:top w:val="nil"/>
              <w:left w:val="nil"/>
              <w:bottom w:val="single" w:color="auto" w:sz="4" w:space="0"/>
              <w:right w:val="single" w:color="auto" w:sz="4" w:space="0"/>
            </w:tcBorders>
            <w:noWrap w:val="0"/>
            <w:vAlign w:val="center"/>
          </w:tcPr>
          <w:p w14:paraId="0B21E7FC">
            <w:pPr>
              <w:rPr>
                <w:rFonts w:ascii="宋体" w:hAnsi="宋体" w:cs="宋体"/>
                <w:color w:val="auto"/>
                <w:szCs w:val="21"/>
                <w:highlight w:val="none"/>
              </w:rPr>
            </w:pPr>
            <w:r>
              <w:rPr>
                <w:rFonts w:hint="eastAsia" w:ascii="宋体" w:hAnsi="宋体" w:cs="宋体"/>
                <w:color w:val="auto"/>
                <w:szCs w:val="21"/>
                <w:highlight w:val="none"/>
              </w:rPr>
              <w:t>灯具</w:t>
            </w:r>
          </w:p>
        </w:tc>
        <w:tc>
          <w:tcPr>
            <w:tcW w:w="3871" w:type="dxa"/>
            <w:tcBorders>
              <w:top w:val="nil"/>
              <w:left w:val="nil"/>
              <w:bottom w:val="single" w:color="auto" w:sz="4" w:space="0"/>
              <w:right w:val="single" w:color="auto" w:sz="4" w:space="0"/>
            </w:tcBorders>
            <w:noWrap w:val="0"/>
            <w:vAlign w:val="center"/>
          </w:tcPr>
          <w:p w14:paraId="44C25DDE">
            <w:pPr>
              <w:rPr>
                <w:rFonts w:ascii="宋体" w:hAnsi="宋体" w:cs="宋体"/>
                <w:color w:val="auto"/>
                <w:szCs w:val="21"/>
                <w:highlight w:val="none"/>
              </w:rPr>
            </w:pPr>
            <w:r>
              <w:rPr>
                <w:rFonts w:hint="eastAsia" w:ascii="宋体" w:hAnsi="宋体" w:cs="宋体"/>
                <w:color w:val="auto"/>
                <w:szCs w:val="21"/>
                <w:highlight w:val="none"/>
              </w:rPr>
              <w:t>三雄、雷士、飞利浦、</w:t>
            </w:r>
            <w:r>
              <w:rPr>
                <w:rFonts w:hint="eastAsia" w:ascii="宋体" w:hAnsi="宋体" w:cs="宋体"/>
                <w:color w:val="auto"/>
                <w:kern w:val="0"/>
                <w:szCs w:val="21"/>
                <w:highlight w:val="none"/>
                <w:lang w:bidi="ar"/>
              </w:rPr>
              <w:t>欧普</w:t>
            </w:r>
          </w:p>
        </w:tc>
        <w:tc>
          <w:tcPr>
            <w:tcW w:w="921" w:type="dxa"/>
            <w:tcBorders>
              <w:top w:val="nil"/>
              <w:left w:val="nil"/>
              <w:bottom w:val="single" w:color="auto" w:sz="4" w:space="0"/>
              <w:right w:val="single" w:color="auto" w:sz="4" w:space="0"/>
            </w:tcBorders>
            <w:noWrap w:val="0"/>
            <w:vAlign w:val="center"/>
          </w:tcPr>
          <w:p w14:paraId="7E996977">
            <w:pPr>
              <w:rPr>
                <w:rFonts w:ascii="宋体" w:hAnsi="宋体" w:cs="宋体"/>
                <w:color w:val="auto"/>
                <w:szCs w:val="21"/>
                <w:highlight w:val="none"/>
              </w:rPr>
            </w:pPr>
            <w:r>
              <w:rPr>
                <w:rFonts w:hint="eastAsia" w:ascii="宋体" w:hAnsi="宋体" w:cs="宋体"/>
                <w:color w:val="auto"/>
                <w:szCs w:val="21"/>
                <w:highlight w:val="none"/>
              </w:rPr>
              <w:t>　</w:t>
            </w:r>
          </w:p>
        </w:tc>
      </w:tr>
      <w:tr w14:paraId="53C29347">
        <w:tblPrEx>
          <w:tblCellMar>
            <w:top w:w="0" w:type="dxa"/>
            <w:left w:w="108" w:type="dxa"/>
            <w:bottom w:w="0" w:type="dxa"/>
            <w:right w:w="108" w:type="dxa"/>
          </w:tblCellMar>
        </w:tblPrEx>
        <w:trPr>
          <w:trHeight w:val="480" w:hRule="atLeast"/>
        </w:trPr>
        <w:tc>
          <w:tcPr>
            <w:tcW w:w="920" w:type="dxa"/>
            <w:tcBorders>
              <w:top w:val="nil"/>
              <w:left w:val="single" w:color="auto" w:sz="4" w:space="0"/>
              <w:bottom w:val="single" w:color="auto" w:sz="4" w:space="0"/>
              <w:right w:val="single" w:color="auto" w:sz="4" w:space="0"/>
            </w:tcBorders>
            <w:noWrap w:val="0"/>
            <w:vAlign w:val="center"/>
          </w:tcPr>
          <w:p w14:paraId="66480257">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3308" w:type="dxa"/>
            <w:tcBorders>
              <w:top w:val="nil"/>
              <w:left w:val="nil"/>
              <w:bottom w:val="single" w:color="auto" w:sz="4" w:space="0"/>
              <w:right w:val="single" w:color="auto" w:sz="4" w:space="0"/>
            </w:tcBorders>
            <w:noWrap w:val="0"/>
            <w:vAlign w:val="center"/>
          </w:tcPr>
          <w:p w14:paraId="525DDCA0">
            <w:pPr>
              <w:rPr>
                <w:rFonts w:ascii="宋体" w:hAnsi="宋体" w:cs="宋体"/>
                <w:color w:val="auto"/>
                <w:szCs w:val="21"/>
                <w:highlight w:val="none"/>
              </w:rPr>
            </w:pPr>
            <w:r>
              <w:rPr>
                <w:rFonts w:hint="eastAsia" w:ascii="宋体" w:hAnsi="宋体" w:cs="宋体"/>
                <w:color w:val="auto"/>
                <w:szCs w:val="21"/>
                <w:highlight w:val="none"/>
              </w:rPr>
              <w:t>开关</w:t>
            </w:r>
          </w:p>
        </w:tc>
        <w:tc>
          <w:tcPr>
            <w:tcW w:w="3871" w:type="dxa"/>
            <w:tcBorders>
              <w:top w:val="nil"/>
              <w:left w:val="nil"/>
              <w:bottom w:val="single" w:color="auto" w:sz="4" w:space="0"/>
              <w:right w:val="single" w:color="auto" w:sz="4" w:space="0"/>
            </w:tcBorders>
            <w:noWrap w:val="0"/>
            <w:vAlign w:val="center"/>
          </w:tcPr>
          <w:p w14:paraId="5CE3444A">
            <w:pPr>
              <w:rPr>
                <w:rFonts w:ascii="宋体" w:hAnsi="宋体" w:cs="宋体"/>
                <w:color w:val="auto"/>
                <w:szCs w:val="21"/>
                <w:highlight w:val="none"/>
              </w:rPr>
            </w:pPr>
            <w:r>
              <w:rPr>
                <w:rFonts w:hint="eastAsia" w:ascii="宋体" w:hAnsi="宋体" w:cs="宋体"/>
                <w:color w:val="auto"/>
                <w:szCs w:val="21"/>
                <w:highlight w:val="none"/>
              </w:rPr>
              <w:t>松本、施耐德、西门子、公牛</w:t>
            </w:r>
          </w:p>
        </w:tc>
        <w:tc>
          <w:tcPr>
            <w:tcW w:w="921" w:type="dxa"/>
            <w:tcBorders>
              <w:top w:val="nil"/>
              <w:left w:val="nil"/>
              <w:bottom w:val="single" w:color="auto" w:sz="4" w:space="0"/>
              <w:right w:val="single" w:color="auto" w:sz="4" w:space="0"/>
            </w:tcBorders>
            <w:noWrap w:val="0"/>
            <w:vAlign w:val="center"/>
          </w:tcPr>
          <w:p w14:paraId="205D4B1F">
            <w:pPr>
              <w:rPr>
                <w:rFonts w:ascii="宋体" w:hAnsi="宋体" w:cs="宋体"/>
                <w:color w:val="auto"/>
                <w:szCs w:val="21"/>
                <w:highlight w:val="none"/>
              </w:rPr>
            </w:pPr>
            <w:r>
              <w:rPr>
                <w:rFonts w:hint="eastAsia" w:ascii="宋体" w:hAnsi="宋体" w:cs="宋体"/>
                <w:color w:val="auto"/>
                <w:szCs w:val="21"/>
                <w:highlight w:val="none"/>
              </w:rPr>
              <w:t>　</w:t>
            </w:r>
          </w:p>
        </w:tc>
      </w:tr>
      <w:tr w14:paraId="39147C93">
        <w:tblPrEx>
          <w:tblCellMar>
            <w:top w:w="0" w:type="dxa"/>
            <w:left w:w="108" w:type="dxa"/>
            <w:bottom w:w="0" w:type="dxa"/>
            <w:right w:w="108" w:type="dxa"/>
          </w:tblCellMar>
        </w:tblPrEx>
        <w:trPr>
          <w:trHeight w:val="480" w:hRule="atLeast"/>
        </w:trPr>
        <w:tc>
          <w:tcPr>
            <w:tcW w:w="920" w:type="dxa"/>
            <w:tcBorders>
              <w:top w:val="nil"/>
              <w:left w:val="single" w:color="auto" w:sz="4" w:space="0"/>
              <w:bottom w:val="single" w:color="auto" w:sz="4" w:space="0"/>
              <w:right w:val="single" w:color="auto" w:sz="4" w:space="0"/>
            </w:tcBorders>
            <w:noWrap w:val="0"/>
            <w:vAlign w:val="center"/>
          </w:tcPr>
          <w:p w14:paraId="6B6579A5">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3308" w:type="dxa"/>
            <w:tcBorders>
              <w:top w:val="nil"/>
              <w:left w:val="nil"/>
              <w:bottom w:val="single" w:color="auto" w:sz="4" w:space="0"/>
              <w:right w:val="single" w:color="auto" w:sz="4" w:space="0"/>
            </w:tcBorders>
            <w:noWrap w:val="0"/>
            <w:vAlign w:val="center"/>
          </w:tcPr>
          <w:p w14:paraId="2C936123">
            <w:pPr>
              <w:rPr>
                <w:rFonts w:ascii="宋体" w:hAnsi="宋体" w:cs="宋体"/>
                <w:color w:val="auto"/>
                <w:szCs w:val="21"/>
                <w:highlight w:val="none"/>
              </w:rPr>
            </w:pPr>
            <w:r>
              <w:rPr>
                <w:rFonts w:hint="eastAsia" w:ascii="宋体" w:hAnsi="宋体" w:cs="宋体"/>
                <w:color w:val="auto"/>
                <w:szCs w:val="21"/>
                <w:highlight w:val="none"/>
              </w:rPr>
              <w:t>配电箱</w:t>
            </w:r>
          </w:p>
        </w:tc>
        <w:tc>
          <w:tcPr>
            <w:tcW w:w="3871" w:type="dxa"/>
            <w:tcBorders>
              <w:top w:val="nil"/>
              <w:left w:val="nil"/>
              <w:bottom w:val="single" w:color="auto" w:sz="4" w:space="0"/>
              <w:right w:val="single" w:color="auto" w:sz="4" w:space="0"/>
            </w:tcBorders>
            <w:noWrap w:val="0"/>
            <w:vAlign w:val="center"/>
          </w:tcPr>
          <w:p w14:paraId="216716B7">
            <w:pPr>
              <w:rPr>
                <w:rFonts w:ascii="宋体" w:hAnsi="宋体" w:cs="宋体"/>
                <w:color w:val="auto"/>
                <w:szCs w:val="21"/>
                <w:highlight w:val="none"/>
              </w:rPr>
            </w:pPr>
            <w:r>
              <w:rPr>
                <w:rFonts w:hint="eastAsia" w:ascii="宋体" w:hAnsi="宋体" w:cs="宋体"/>
                <w:color w:val="auto"/>
                <w:szCs w:val="21"/>
                <w:highlight w:val="none"/>
              </w:rPr>
              <w:t>基业、白云、南洋、</w:t>
            </w:r>
            <w:r>
              <w:rPr>
                <w:rFonts w:hint="eastAsia" w:ascii="宋体" w:hAnsi="宋体" w:cs="宋体"/>
                <w:color w:val="auto"/>
                <w:kern w:val="0"/>
                <w:szCs w:val="21"/>
                <w:highlight w:val="none"/>
                <w:lang w:bidi="ar"/>
              </w:rPr>
              <w:t>珠江</w:t>
            </w:r>
          </w:p>
        </w:tc>
        <w:tc>
          <w:tcPr>
            <w:tcW w:w="921" w:type="dxa"/>
            <w:tcBorders>
              <w:top w:val="nil"/>
              <w:left w:val="nil"/>
              <w:bottom w:val="single" w:color="auto" w:sz="4" w:space="0"/>
              <w:right w:val="single" w:color="auto" w:sz="4" w:space="0"/>
            </w:tcBorders>
            <w:noWrap w:val="0"/>
            <w:vAlign w:val="center"/>
          </w:tcPr>
          <w:p w14:paraId="01AE0633">
            <w:pPr>
              <w:rPr>
                <w:rFonts w:ascii="宋体" w:hAnsi="宋体" w:cs="宋体"/>
                <w:color w:val="auto"/>
                <w:szCs w:val="21"/>
                <w:highlight w:val="none"/>
              </w:rPr>
            </w:pPr>
            <w:r>
              <w:rPr>
                <w:rFonts w:hint="eastAsia" w:ascii="宋体" w:hAnsi="宋体" w:cs="宋体"/>
                <w:color w:val="auto"/>
                <w:szCs w:val="21"/>
                <w:highlight w:val="none"/>
              </w:rPr>
              <w:t>　</w:t>
            </w:r>
          </w:p>
        </w:tc>
      </w:tr>
      <w:tr w14:paraId="53A9EB03">
        <w:tblPrEx>
          <w:tblCellMar>
            <w:top w:w="0" w:type="dxa"/>
            <w:left w:w="108" w:type="dxa"/>
            <w:bottom w:w="0" w:type="dxa"/>
            <w:right w:w="108" w:type="dxa"/>
          </w:tblCellMar>
        </w:tblPrEx>
        <w:trPr>
          <w:trHeight w:val="480"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14:paraId="5F50B1F3">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73268909">
            <w:pPr>
              <w:rPr>
                <w:rFonts w:ascii="宋体" w:hAnsi="宋体" w:cs="宋体"/>
                <w:color w:val="auto"/>
                <w:szCs w:val="21"/>
                <w:highlight w:val="none"/>
              </w:rPr>
            </w:pPr>
            <w:r>
              <w:rPr>
                <w:rFonts w:hint="eastAsia" w:ascii="宋体" w:hAnsi="宋体" w:cs="宋体"/>
                <w:color w:val="auto"/>
                <w:szCs w:val="21"/>
                <w:highlight w:val="none"/>
              </w:rPr>
              <w:t>给、排水管</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6737075C">
            <w:pPr>
              <w:rPr>
                <w:rFonts w:ascii="宋体" w:hAnsi="宋体" w:cs="宋体"/>
                <w:color w:val="auto"/>
                <w:szCs w:val="21"/>
                <w:highlight w:val="none"/>
              </w:rPr>
            </w:pPr>
            <w:r>
              <w:rPr>
                <w:rFonts w:hint="eastAsia" w:ascii="宋体" w:hAnsi="宋体" w:cs="宋体"/>
                <w:color w:val="auto"/>
                <w:szCs w:val="21"/>
                <w:highlight w:val="none"/>
              </w:rPr>
              <w:t>联塑、雄塑、日丰</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7A315970">
            <w:pPr>
              <w:rPr>
                <w:rFonts w:ascii="宋体" w:hAnsi="宋体" w:cs="宋体"/>
                <w:color w:val="auto"/>
                <w:szCs w:val="21"/>
                <w:highlight w:val="none"/>
              </w:rPr>
            </w:pPr>
            <w:r>
              <w:rPr>
                <w:rFonts w:hint="eastAsia" w:ascii="宋体" w:hAnsi="宋体" w:cs="宋体"/>
                <w:color w:val="auto"/>
                <w:szCs w:val="21"/>
                <w:highlight w:val="none"/>
              </w:rPr>
              <w:t>　</w:t>
            </w:r>
          </w:p>
        </w:tc>
      </w:tr>
      <w:tr w14:paraId="5D2352D7">
        <w:tblPrEx>
          <w:tblCellMar>
            <w:top w:w="0" w:type="dxa"/>
            <w:left w:w="108" w:type="dxa"/>
            <w:bottom w:w="0" w:type="dxa"/>
            <w:right w:w="108" w:type="dxa"/>
          </w:tblCellMar>
        </w:tblPrEx>
        <w:trPr>
          <w:trHeight w:val="480"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14:paraId="2BB08543">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7B3090D8">
            <w:pPr>
              <w:rPr>
                <w:rFonts w:ascii="宋体" w:hAnsi="宋体" w:cs="宋体"/>
                <w:color w:val="auto"/>
                <w:szCs w:val="21"/>
                <w:highlight w:val="none"/>
              </w:rPr>
            </w:pPr>
            <w:r>
              <w:rPr>
                <w:rFonts w:hint="eastAsia" w:ascii="宋体" w:hAnsi="宋体" w:cs="宋体"/>
                <w:color w:val="auto"/>
                <w:szCs w:val="21"/>
                <w:highlight w:val="none"/>
              </w:rPr>
              <w:t>电梯</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6BF8EEF1">
            <w:pPr>
              <w:rPr>
                <w:rFonts w:ascii="宋体" w:hAnsi="宋体" w:cs="宋体"/>
                <w:color w:val="auto"/>
                <w:szCs w:val="21"/>
                <w:highlight w:val="none"/>
              </w:rPr>
            </w:pPr>
            <w:r>
              <w:rPr>
                <w:rFonts w:hint="eastAsia" w:ascii="宋体" w:hAnsi="宋体" w:cs="宋体"/>
                <w:color w:val="auto"/>
                <w:szCs w:val="21"/>
                <w:highlight w:val="none"/>
              </w:rPr>
              <w:t>日立、三菱、奥的斯</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4AFC6C0A">
            <w:pPr>
              <w:rPr>
                <w:rFonts w:ascii="宋体" w:hAnsi="宋体" w:cs="宋体"/>
                <w:color w:val="auto"/>
                <w:szCs w:val="21"/>
                <w:highlight w:val="none"/>
              </w:rPr>
            </w:pPr>
            <w:r>
              <w:rPr>
                <w:rFonts w:hint="eastAsia" w:ascii="宋体" w:hAnsi="宋体" w:cs="宋体"/>
                <w:color w:val="auto"/>
                <w:szCs w:val="21"/>
                <w:highlight w:val="none"/>
              </w:rPr>
              <w:t>　</w:t>
            </w:r>
          </w:p>
        </w:tc>
      </w:tr>
    </w:tbl>
    <w:p w14:paraId="0F86303B">
      <w:pPr>
        <w:spacing w:line="360" w:lineRule="auto"/>
        <w:jc w:val="center"/>
        <w:rPr>
          <w:rFonts w:hint="eastAsia" w:eastAsia="仿宋_GB2312"/>
          <w:color w:val="auto"/>
          <w:sz w:val="24"/>
          <w:szCs w:val="24"/>
          <w:highlight w:val="none"/>
        </w:rPr>
        <w:sectPr>
          <w:headerReference r:id="rId9" w:type="default"/>
          <w:footerReference r:id="rId10" w:type="default"/>
          <w:pgSz w:w="11906" w:h="16838"/>
          <w:pgMar w:top="1418" w:right="1555" w:bottom="1418" w:left="1531" w:header="851" w:footer="992" w:gutter="0"/>
          <w:cols w:space="720" w:num="1"/>
          <w:titlePg/>
          <w:docGrid w:type="lines" w:linePitch="312" w:charSpace="0"/>
        </w:sectPr>
      </w:pPr>
    </w:p>
    <w:p w14:paraId="781EFFA0">
      <w:pPr>
        <w:spacing w:line="360" w:lineRule="auto"/>
        <w:jc w:val="left"/>
        <w:rPr>
          <w:rFonts w:hint="eastAsia" w:eastAsia="仿宋_GB2312"/>
          <w:color w:val="auto"/>
          <w:sz w:val="24"/>
          <w:szCs w:val="24"/>
          <w:highlight w:val="none"/>
        </w:rPr>
      </w:pPr>
      <w:r>
        <w:rPr>
          <w:rFonts w:hint="eastAsia" w:eastAsia="仿宋_GB2312"/>
          <w:color w:val="auto"/>
          <w:sz w:val="24"/>
          <w:szCs w:val="24"/>
          <w:highlight w:val="none"/>
        </w:rPr>
        <w:t>附件6：</w:t>
      </w:r>
    </w:p>
    <w:p w14:paraId="1D4443DF">
      <w:pPr>
        <w:spacing w:line="360" w:lineRule="auto"/>
        <w:jc w:val="center"/>
        <w:rPr>
          <w:rFonts w:hint="eastAsia" w:eastAsia="仿宋_GB2312"/>
          <w:b/>
          <w:color w:val="auto"/>
          <w:sz w:val="24"/>
          <w:szCs w:val="24"/>
          <w:highlight w:val="none"/>
        </w:rPr>
      </w:pPr>
      <w:r>
        <w:rPr>
          <w:rFonts w:hint="eastAsia" w:eastAsia="仿宋_GB2312"/>
          <w:b/>
          <w:color w:val="auto"/>
          <w:sz w:val="24"/>
          <w:szCs w:val="24"/>
          <w:highlight w:val="none"/>
        </w:rPr>
        <w:t>施工现场管理规定</w:t>
      </w:r>
    </w:p>
    <w:p w14:paraId="77E69B3E">
      <w:pPr>
        <w:spacing w:line="360" w:lineRule="auto"/>
        <w:jc w:val="center"/>
        <w:rPr>
          <w:rFonts w:eastAsia="仿宋_GB2312"/>
          <w:b/>
          <w:color w:val="auto"/>
          <w:sz w:val="24"/>
          <w:szCs w:val="24"/>
          <w:highlight w:val="none"/>
        </w:rPr>
      </w:pPr>
    </w:p>
    <w:p w14:paraId="3C4D0E14">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一、总则</w:t>
      </w:r>
    </w:p>
    <w:p w14:paraId="2922411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1、为确保各承（分）包人积极配合，并按期、优质、安全地完成施工任务，处理好各分包工程中相互制约、相互影响、相辅相成的关系，各承（分）包人必须严格执行本管理条例。</w:t>
      </w:r>
    </w:p>
    <w:p w14:paraId="50EEAE8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2、各承（分）包人是指：主合同约定的总承包人、平行发包工程承包人、暂估价专业工程承包人（指定分包人）。</w:t>
      </w:r>
    </w:p>
    <w:p w14:paraId="7F97A93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3、如承（分）包人违反本规定要求，发包人有权根据本规定要求对承（分）包人处以扣除违约金，由发包人直接从承（分）包人工程进度款、结算款中扣除。</w:t>
      </w:r>
    </w:p>
    <w:p w14:paraId="6349F4B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平行发包工程承包人、暂估价专业工程承包人违反本规定要求，经发包人授权，监理人与总承包人有权根据本规定要求对平行发包工程承包人、暂估价专业工程承包人处以扣除违约金，由发包人直接从平行发包工程承包人、暂估价专业工程承包人工程进度款、结算款中扣除。</w:t>
      </w:r>
    </w:p>
    <w:p w14:paraId="2F70B18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5、发包人/监理人/总承包人有权根据工程实际情况在本规定的基础上增加新的规定。 </w:t>
      </w:r>
    </w:p>
    <w:p w14:paraId="56D8826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二、现场管理规定：</w:t>
      </w:r>
    </w:p>
    <w:p w14:paraId="37BF937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1、在工程管理及施工过程中，承（分）包人必须服从发包人/监理人的指挥，执行协调会议的决定，做到有序施工。</w:t>
      </w:r>
    </w:p>
    <w:p w14:paraId="4DAA4B2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2、承（分）包人进场队伍素质须与其单位工程资质相符合，否则须按发包人/监理人的要求调整施工队伍。</w:t>
      </w:r>
    </w:p>
    <w:p w14:paraId="4AD1B43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分）包人施工前必须做好足够的劳动力、设备准备，技术资料的准备，现场测量放线的准备和排除现场障碍的准备。与建筑主体工程工序衔接的部分，必须事先与总承包单位确定分工界限和明确工序交接的质量标准，并做好现场及书面交接。</w:t>
      </w:r>
    </w:p>
    <w:p w14:paraId="6E32E05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进场七天内或各分部分项施工前，承（分）包人须按合同和发包人/监理人的具体要求，制定或修订本专业工程的施工进度计划，包括需要采取的措施，需要配合的要求，现场施工管理组织架构、管理人员名单、联系电话等，向发包人/监理人/总承包人提交。如承（分）包人不按时提交计划，扣除违约金人民币300.00～500.00元。</w:t>
      </w:r>
    </w:p>
    <w:p w14:paraId="54FAB2E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承（分）包人须认真执行总进度和阶段性目标计划，除自然灾害或不可抗力影响外，对发包人/监理人批准或下达的各阶段各部位的目标计划，必须按时完成。如承（分）包人延误关键阶段工期，按合同条件相应条款执行，由于承（分）包人原因延误关键阶段工期或延误其他专业分包工程工期，按合同约定的逾期赔偿率扣除违约金，并追究延误总工期的损失责任。</w:t>
      </w:r>
    </w:p>
    <w:p w14:paraId="18E9963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承（分）包人项目经理，项目执行经理及承（分）包人分管本工程之总工程师，必须按时参加每周工程协调会及发包人/监理人召集的会议。如确有特殊原因不能亲自到会或须推迟到会时间，须事先向召集单位请假，并委派代表赴会，否则对每人次缺席会议扣除人民币500.00～1000.00元违约金，对每人次迟到扣除违约金人民币100.00～200.00元。</w:t>
      </w:r>
    </w:p>
    <w:p w14:paraId="679A419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7、凡承（分）包人工作涉及土方工程的，所挖余土必须立即清运干净，始终保持场地平整，不得为图方便将余土堆积在现场，违例者每处扣除违约金人民币300.00～1000.00元。</w:t>
      </w:r>
    </w:p>
    <w:p w14:paraId="755AC26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承（分）包人应按照先深后浅、弱电避强电、有压力管让无压力管、小管让大管、设计走向避让绿化树木的原则，处理好管线施工的次序和相互交叉的矛盾。在困难狭窄地段，在确保安全和验收标准的前提下，应协商协作，解决困难。如承（分）包人不顾全工程整体实施需要，违反发包人/监理人对工程的统筹协调，对责任承（分）包人每次予以扣除人民币500.00～2000.00元的违约金。</w:t>
      </w:r>
    </w:p>
    <w:p w14:paraId="64C9343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9、承（分）包人应服从发包人</w:t>
      </w:r>
      <w:bookmarkStart w:id="1032" w:name="_Hlk41472609"/>
      <w:r>
        <w:rPr>
          <w:rFonts w:hint="eastAsia" w:ascii="仿宋" w:hAnsi="仿宋" w:eastAsia="仿宋" w:cs="仿宋"/>
          <w:color w:val="auto"/>
          <w:sz w:val="24"/>
          <w:szCs w:val="24"/>
          <w:highlight w:val="none"/>
        </w:rPr>
        <w:t>/监理人</w:t>
      </w:r>
      <w:bookmarkEnd w:id="1032"/>
      <w:r>
        <w:rPr>
          <w:rFonts w:hint="eastAsia" w:ascii="仿宋" w:hAnsi="仿宋" w:eastAsia="仿宋" w:cs="仿宋"/>
          <w:color w:val="auto"/>
          <w:sz w:val="24"/>
          <w:szCs w:val="24"/>
          <w:highlight w:val="none"/>
        </w:rPr>
        <w:t>/总承包人对场地、道路使用的安排，按照计划的时间、路线运输物料，按指定的场地堆放物料和安排临建。对违反规定、拖延纠正的，每次、每处、每天扣除违约金人民币300.00～1000.00元。</w:t>
      </w:r>
    </w:p>
    <w:p w14:paraId="50C123D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10、承（分）包人接驳电源、水源，事先必须与总承包单位联系，未经允许自行接驳的，每例扣除违约金人民币500.00～1000.00元。</w:t>
      </w:r>
    </w:p>
    <w:p w14:paraId="35E2427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标高及定位需要承（分）包人协助的、清除大型障碍解决重物吊装或抽排水需要有关单位协助的，过墙凿洞或管线箱盒就位困难需承（分）包人配合处理的，应主动与有关单位联系，及时解决，不得消极等怠工，延误工期，否则每处扣除违约金人民币500.00～1000.00元。</w:t>
      </w:r>
    </w:p>
    <w:p w14:paraId="378FF9F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承（分）包人必须严格按照设计图纸，施工规范进行施工，各专业工程的管线埋置必须准确定位，严格按照设计标高控制安装高度或埋置深度。施工中须认真进行质量自检，加强在施工过程中的质量控制。事后因质量问题须返工者，除对其他单位已完工程的损失负责赔偿外，扣除违约金人民币500.00～2000.00元。</w:t>
      </w:r>
    </w:p>
    <w:p w14:paraId="0B25D93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13、土方回填不夯实、填料不符合规定、拖延回填时间影响工程进度，经指正后仍不及时采取补救措施的，每处扣除违约金人民币500.00～1000.00元。</w:t>
      </w:r>
    </w:p>
    <w:p w14:paraId="73D8C03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14、承（分）包人须教育员工遵守文明施工的要求，上班须戴安全帽、系好帽带及施工单位胸卡，不准在工地随地大小便和吐痰，违规者发包人/监理人/总承包人有权对每人每次扣除违约金人民币100.00～200.00元。</w:t>
      </w:r>
    </w:p>
    <w:p w14:paraId="26A112C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15、如承（分）包人盲目指挥或野蛮施工破坏建筑主体结构或其他专业工程成品、半成品的，除需按合同条件约定赔偿全部损失外，发包人/总承包单位有权扣除违约金人民币1000.00～3000.00元。</w:t>
      </w:r>
    </w:p>
    <w:p w14:paraId="229EDBA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16、承（分）包人须注意成品保护，按规定做好管线的防护标志。精密设备在安装完后必须慎重封锁，防止被损被盗。否则每处扣除违约金人民币300.00～500.00元。</w:t>
      </w:r>
    </w:p>
    <w:p w14:paraId="4784998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17、可动装置、电源开关箱、机械的制动装置等必须设置告示牌，防止乱动。发现一例，每处扣除违约金人民币300.00～500.00元。</w:t>
      </w:r>
    </w:p>
    <w:p w14:paraId="7088440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18、严禁将可燃的建筑垃圾在工地范围内焚烧处理，违者每次扣除违约金人民币500.00元。由此造成的其他损失，由责任人负责赔偿。</w:t>
      </w:r>
    </w:p>
    <w:p w14:paraId="03E9D2D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对具有高空坠物危险的工作面，承（分）包人必须采取防护措施，对不符合安全要求的情况，承（分）包人须按发包人/总承包单位及监理人的要求进行整改。如不及时整改，每处扣除违约金人民币1000.00～5000.00元。</w:t>
      </w:r>
    </w:p>
    <w:p w14:paraId="45E0529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20、如承（分）包人不注意安全生产，导致险情发生而整改措施力度不够，则次每处扣除违约金人民币500.00～1000.00元。</w:t>
      </w:r>
    </w:p>
    <w:p w14:paraId="3356FBF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严禁斗殴打群架，承（分）包人有责任及义务制止现场冲突苗头。对先动手打架的人员所属承（分）包人，扣除违约金人民币3000.00～5000.00元，对参与斗殴的人员所属的承（分）包人，扣除违约金人民币1000～3000.00元。</w:t>
      </w:r>
    </w:p>
    <w:p w14:paraId="5A6939E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22、承（分）包人应按发包人及监理人要求的期限退出已完工地段，否则每处每天扣除违约金人民币1000.00～3000.00元。</w:t>
      </w:r>
    </w:p>
    <w:p w14:paraId="6D1D9AA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23、承（分）包人须做好变更及竣工记录，隐蔽的管线工程须详细标明其位置及标高，竣工验收时须按发包人及监理人要求的期限提交竣工图纸，无特殊原因拖延的，按拖延天数扣除违约金每天人民币500.00元。</w:t>
      </w:r>
    </w:p>
    <w:p w14:paraId="577C8F9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承（分）包人应按施工协调会决议发包人及监理人的要求，在清理场地、垃圾、拆除障碍、水电源驳接、管线衔接、排水清污、基线标高交底、凿孔补洞、配合垂直、运输或垃圾外运、电梯井口以及各处成品保护、必须的防水堵漏等及时进行配合。凡因未执行决议指令延误其他承（分）包人施工进度的，除按合同相关条款执行外，每处扣除违约金人民币500.00～2000.00元。</w:t>
      </w:r>
    </w:p>
    <w:p w14:paraId="242539F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25、总承包人负责工程项目中的施工进度、工序交接、场地管理、成品保护、文明施工等对其他各分包人的具体协调工作。</w:t>
      </w:r>
    </w:p>
    <w:p w14:paraId="3D72889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26、凡在本施工范围的市政及专业配套工程中顾全大局、发扬风格，在大协作中贡献突出的单位，发包人酌情予以奖金鼓励。</w:t>
      </w:r>
    </w:p>
    <w:p w14:paraId="2A9D0B6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27、现场安全文明施工不符合合同规定和政府有关规定，下发通知规定期限内未完成整改的，处以扣除违约金人民币1000.00～3000.00元。</w:t>
      </w:r>
    </w:p>
    <w:p w14:paraId="010904C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28、如分包人现场安全文明施工未达到当地市县有关安全文明施工标准，发包人及或监理人下发通知规定期限内仍未完成整改者，予以每次每处扣除违约金人民币3,000～10,000.00违约金处罚。</w:t>
      </w:r>
    </w:p>
    <w:p w14:paraId="162F3BA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承（分）包人施工现场劳动力人数、机具设备必须与经发包人及监理人批准的施工组织设计文件相符。如因劳动力人数、施工机械与批准的施工组织设计文件不符，承（分）包人又未在发包人或监理人通知的规定期限内整改完成的，则扣除违约金人民币1000.00～5000.00元。</w:t>
      </w:r>
    </w:p>
    <w:p w14:paraId="00D5B9A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30、承（分）包人必须执行发包人或监理人的指令，如有异议须在24小时内回复。如承（分）包人未对指令进行回复且未在规定期限内完成指令内所要求内容，则每次扣除违约金人民币500.00～1000.00元。</w:t>
      </w:r>
    </w:p>
    <w:p w14:paraId="4CE62B8E">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三、安全生产管理规定：</w:t>
      </w:r>
    </w:p>
    <w:p w14:paraId="18DAA49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1、贯彻执行国家、行业的安全生产、劳动保护和消防工作的各类法规、条例、规定；遵守企业的各项安全生产制度、规定及要求。</w:t>
      </w:r>
    </w:p>
    <w:p w14:paraId="6E2D22E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包人要服从总承包人的安全生产管理，各分包人的负责人必须对本单位的职工进行安全生产教育，以增强法制观念和提高职工的安全意识及自我保护能力，自觉遵守总承包人制定的安全生产纪律，安全生产制度。</w:t>
      </w:r>
    </w:p>
    <w:p w14:paraId="5D338BF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分包人的负责人应对所属施工及生活区域内的施工安全、质量、防火、治安、生活卫生等方面工作全面负责。分包人负责人离开现场，应指定专人负责，办理委托管理手续。分包人负责人和被委托人负责管理的人员，应经常检查督促本单位职工自觉做好各方面工作。</w:t>
      </w:r>
    </w:p>
    <w:p w14:paraId="1C8E763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4、各分包人应按规定，认真开展班组安全活动。分包人负责人应定期参加工地、班组的安全活动，以及安全、防火、生活卫生等检查，并做好检查活动的有关记录。</w:t>
      </w:r>
    </w:p>
    <w:p w14:paraId="1C11A99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5、各分包人在施工期间必须接受总承包人的检查、督促和指导，同时，总承包人应协助各分包人搞好安全生产、防火、生活卫生等检查，并做好检查活动的有关记录。</w:t>
      </w:r>
    </w:p>
    <w:p w14:paraId="14C8722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各分包人对各自所处的施工区域、作业环境、操作设施设备、工具用具等必须认真检查，发现问题隐患，立即停止施工，落实整改。如本单位无能力落实整改的，应及时向总承包人汇报，由总承包人协调落实有关人员进行整改，总承包人和分包人确认安全后，方可施工。</w:t>
      </w:r>
    </w:p>
    <w:p w14:paraId="7620B76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各分包人与总承包人如需相互借用或租赁各种设施以及工具的，双方有关人员应办理借用或租赁手续，制定有关安全使用及管理制度。借出单位应保证借出的设备和工具完好并符合要求，借入单位必须进行检查，并做好书面记录。</w:t>
      </w:r>
    </w:p>
    <w:p w14:paraId="0E8B77A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各分包人对于施工现场的脚手架、设施、设备的各种安全防护设施、安全标志和警告牌等不得擅自拆除、变动，如确需拆除变动的，必须经总承包人施工负责人和安全管理人员的同意，并采取必要、可靠的安全措施后方能拆除。</w:t>
      </w:r>
    </w:p>
    <w:p w14:paraId="34D3AE1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特种作业及中、小型机械的操作人员，必须按规定经有关部门培训、考核合格后，持有效证件上岗作业。起重吊装人员必须遵守“十不吊”规定，严禁违章、无证操作；严禁不懂电器、机械设备的人员，擅自操作使用电器、机械设备。</w:t>
      </w:r>
    </w:p>
    <w:p w14:paraId="314EB0C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各分包人必须严格执行防火防爆制度，易燃易爆场所严禁吸烟及动用明火，消防器材不准挪作他用。电焊、气割作业应按规定办理动火审批手续严格遵守“十不烧”规定，严禁使用电炉。冬季施工如必须采用明火加热的防冻措施时，应取得总承包人主管人员同意，落实防火、防中毒措施，并指派专人值班看护。</w:t>
      </w:r>
    </w:p>
    <w:p w14:paraId="3AB62C0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11、贯彻“谁施工谁负责安全、防火”的原则。各分包人在施工期间发生各类事故及事故苗子，应及时组织抢救伤员、保护现场，并立即向上级单位和有关部门报告。</w:t>
      </w:r>
    </w:p>
    <w:p w14:paraId="684C6267">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四、治安管理处罚规定：</w:t>
      </w:r>
    </w:p>
    <w:p w14:paraId="6BA5EE8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为加强各分包的治安管理，维护正常的工作、生活秩序和公共安全，保障现场各参建单位工作的顺利进行，特制定本规定。如有违反，将对各承（分）包人扣除违约金人民币500～5000元。</w:t>
      </w:r>
    </w:p>
    <w:p w14:paraId="6FFD1EE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各承（分）包人必须在进场五天内，将本公司进入施工现场的全体人员身份证复印件及登记照交总承包单位保卫组办理施工证。人员变动、退场时，应及时按规定办理人员变更、延期、注销和交缴施工证等手续。</w:t>
      </w:r>
    </w:p>
    <w:p w14:paraId="4EBC3E1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2、严格遵守国家和地方政府颁布的政策、法律、法规。</w:t>
      </w:r>
    </w:p>
    <w:p w14:paraId="521E6D0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3、不得私自留宿外来人员，来客必须向总承包单位保卫部门登记，并接受有关身份审查，人员调动离场均要经过门卫的必要检查，方可通行。</w:t>
      </w:r>
    </w:p>
    <w:p w14:paraId="4DA7884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4、不准在宿舍内放高音音响及公共场所高声喧哗和在集体宿舍内进行影响他人休息的文娱活动。</w:t>
      </w:r>
    </w:p>
    <w:p w14:paraId="6886741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5、严禁在集体宿舍内打麻将和以各种形式赌博、嫖娼、卖淫、男女混居、奸宿暗娼、吸毒、贩毒。</w:t>
      </w:r>
    </w:p>
    <w:p w14:paraId="1431DBA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6、严禁酗酒，打架斗殴，吵架闹事，无理取闹，聚众兹事。</w:t>
      </w:r>
    </w:p>
    <w:p w14:paraId="6D10DDF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7、严禁偷盗、破坏、私自挪用他人和单位财物。</w:t>
      </w:r>
    </w:p>
    <w:p w14:paraId="01D2014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8、严禁在宿舍内搞烧香拜佛等迷信活动和私藏、存放易燃、易爆、剧毒物品。</w:t>
      </w:r>
    </w:p>
    <w:p w14:paraId="3BD5771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9、职工及各施工队应团结互助，友好相处，不得拉山头，搞宗派、不得为已之利损他人之利，严禁打群架。</w:t>
      </w:r>
    </w:p>
    <w:p w14:paraId="07201AD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10、随时接受当地公安机关、发包人及总承包单位的必要检查。</w:t>
      </w:r>
    </w:p>
    <w:p w14:paraId="39F456C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11、施工现场以及生活住宿区，严禁随地大小便和随地吐痰。</w:t>
      </w:r>
    </w:p>
    <w:p w14:paraId="06FBC970">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五、安全防火管理规定：</w:t>
      </w:r>
    </w:p>
    <w:p w14:paraId="140E27B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为加强现场安全防火管理，保障各参建单位生命财产不受伤害，杜绝火灾事故的发生，特制定本规定。如有违反，将对各承（分）包人扣除违约金人民币500～5000元。</w:t>
      </w:r>
    </w:p>
    <w:p w14:paraId="0127897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各承（分）包人要经常教育进场员工在生产、生活用电、用火方面严格遵守安全防火管理规定。要严格监督检查，对一切“可能发生的”火险隐患，要抓紧督促，整改，违反消防管理规定，造成火灾损失的，必须严格处理，直到追究法律责任。</w:t>
      </w:r>
    </w:p>
    <w:p w14:paraId="6190EC6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2、临建易燃设施内及周围不准使用明火，若工作需要，必须经现场领导批准并备有防火方案，方可实施。</w:t>
      </w:r>
    </w:p>
    <w:p w14:paraId="0323FB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3、氧气、乙炔等易燃易爆物品堆放，要注明标记，严禁吸烟及使用明火，违者扣除违约金。</w:t>
      </w:r>
    </w:p>
    <w:p w14:paraId="03282B7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4、督促临建设施内不准乱拉电源，乱接灯头，不准使用电饭煲、电炉等电热器具，违者按有关规定处理。</w:t>
      </w:r>
    </w:p>
    <w:p w14:paraId="1123AA2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5、电焊和切割作业时要有切实可行的防火方案，并按方案严格落实，防止焊渣和火星到处飞绽。</w:t>
      </w:r>
    </w:p>
    <w:p w14:paraId="69CDCCF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6、消防水池和沙箱、灭火瓶，要经常做到水满池，沙满箱、瓶满药（保证在有效期内）。</w:t>
      </w:r>
    </w:p>
    <w:p w14:paraId="30EC1EE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7、各承（分）包人均要建立消防班组，加强消防教育、预防和扑救工作。</w:t>
      </w:r>
    </w:p>
    <w:p w14:paraId="4F34D44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8、集体宿舍内严禁存放油漆和天那水各种易燃品，确因工作需要，应存放在指定的安全地点，并派专人保管，并设置明显的警示标志。</w:t>
      </w:r>
    </w:p>
    <w:p w14:paraId="7237DA5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9、对消防器材和灭火装置，要防止损失和失效。严禁将消防设备挪作他用，违者赔偿并扣除违约金。</w:t>
      </w:r>
    </w:p>
    <w:p w14:paraId="0EEFC8A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10、在施工现场和生活区均设立吸烟区，严禁随地吸烟和乱扔烟头。</w:t>
      </w:r>
    </w:p>
    <w:p w14:paraId="2204A58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11、消防器材无巡视记录、配置不足、不规范、药剂过期、随意玩弄、不定期保养，将扣除违约金人民币500元。</w:t>
      </w:r>
    </w:p>
    <w:p w14:paraId="3CC5709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12、动火作业无动火证、未配置有效灭火器、监护人不在、防范措施不落实，将扣除违约金人民币500元。</w:t>
      </w:r>
    </w:p>
    <w:p w14:paraId="7A80A7B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13、高层作业未按消防部门规定设置消防立管、消防水源、无消防水带，将扣除违约金人民币500元。</w:t>
      </w:r>
    </w:p>
    <w:p w14:paraId="53AFE32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14、化学危险品无化学危险品仓库、不按规定存放、二瓶运输使用不规范、无回火装置、表具损坏、皮管老化，将扣除违约金人民币500元。</w:t>
      </w:r>
    </w:p>
    <w:p w14:paraId="746B9A8C">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六、宿舍卫生管理制度：</w:t>
      </w:r>
    </w:p>
    <w:p w14:paraId="02F5FCA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为了各分包人的员工都有一个安宁、舒适、卫生的生活环境，确保全体施工人员的身体健康。特作如下规定。各承（分）包人如有违反，将扣除违约金人民币100～500元。</w:t>
      </w:r>
    </w:p>
    <w:p w14:paraId="2C0EFB8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1、各承（分）包人现场宿舍服从总承包单位统一安排，宿舍内物品做到整齐一致、摆放有序，形成规范，确保宿舍内外整洁干净。</w:t>
      </w:r>
    </w:p>
    <w:p w14:paraId="32CB259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2、各承（分）包人对本公司宿舍区内外的清洁卫生实行三包（房内、房前、房后）。</w:t>
      </w:r>
    </w:p>
    <w:p w14:paraId="6B581D5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3、不允许乱扔乱倒垃圾、杂物，严禁在宿舍区周围乱倒脏水，所有生活垃圾必须自觉倒在保洁桶内（垃圾实行分类收集）。</w:t>
      </w:r>
    </w:p>
    <w:p w14:paraId="32DF181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4、宿舍内必须做到人走灯灭（包括空调、电扇等其它电器），杜绝点长命灯，严禁使用功率超过100瓦的电器。</w:t>
      </w:r>
    </w:p>
    <w:p w14:paraId="10FE489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5、严禁在生活区，宿舍周围，施工现场随地大小便和随地吐痰。</w:t>
      </w:r>
    </w:p>
    <w:p w14:paraId="5538C94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6、宿舍应有严格的清扫消毒制度，至少每天清扫消毒一次。</w:t>
      </w:r>
    </w:p>
    <w:p w14:paraId="3765EF11">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七、施工现场违章事项处罚细则</w:t>
      </w:r>
    </w:p>
    <w:p w14:paraId="6DA3C23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（一）施工现场安全生产基本要求：</w:t>
      </w:r>
      <w:r>
        <w:rPr>
          <w:rFonts w:hint="eastAsia" w:ascii="仿宋" w:hAnsi="仿宋" w:eastAsia="仿宋" w:cs="仿宋"/>
          <w:color w:val="auto"/>
          <w:sz w:val="24"/>
          <w:szCs w:val="24"/>
          <w:highlight w:val="none"/>
        </w:rPr>
        <w:tab/>
      </w:r>
    </w:p>
    <w:p w14:paraId="5BE7DDA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1．新工人进入工地，未经安全知识教育和培训(抽查培训签字记录)，即进入施工现场操作的将扣除违约金人民币100元/人次。</w:t>
      </w:r>
    </w:p>
    <w:p w14:paraId="66FD484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2.施工人员私自拆除或随意挪动（用）施工现场的防护设施或消防设施，将扣除违约金人民币1000元/处。</w:t>
      </w:r>
    </w:p>
    <w:p w14:paraId="158EC09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3.进入施工现场没戴好安全帽的将扣除违约金人民币100元/人次，没系好帽带的将扣除违约金人民币50元/人次。</w:t>
      </w:r>
    </w:p>
    <w:p w14:paraId="55FF7EA4">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4.非专业人员安装和操作机电设备将扣除违约金人民币1000元/次。</w:t>
      </w:r>
    </w:p>
    <w:p w14:paraId="5482A4E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5.危险源无警示标志，无防护措施的将扣除违约金人民币1000元/处。</w:t>
      </w:r>
    </w:p>
    <w:p w14:paraId="3CD209F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6.发现酒后上岗作业的将扣除违约金人民币1000元/人次。</w:t>
      </w:r>
    </w:p>
    <w:p w14:paraId="2E04FD9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7.施工现场，穿拖鞋、高跟鞋、光脚、赤膊上岗及高处作业穿高跟皮鞋的将扣除违约金人民币50元/人次。</w:t>
      </w:r>
    </w:p>
    <w:p w14:paraId="704D0E9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8．擅自拆除施工现场的脚手架、防护设施、安全标志、警告牌、脚手架连接铅丝或连接件的将扣除违约金人民币1000元/处。</w:t>
      </w:r>
    </w:p>
    <w:p w14:paraId="05182BE4">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9．坐在脚手架防护栏杆上休息和在脚手架上睡觉的将扣除违约金人民币1000元/人次。</w:t>
      </w:r>
    </w:p>
    <w:p w14:paraId="5746242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10.未及时清除拆下的脚手架、钢模板、轧头或木模、支撑的将扣除违约金人民币200元/次。</w:t>
      </w:r>
    </w:p>
    <w:p w14:paraId="56E0246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11.施工现场做到活完场地清、不得有建筑垃圾，否则，将扣除违约金人民币500元/处/次。</w:t>
      </w:r>
    </w:p>
    <w:p w14:paraId="33CAA51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12.在砖砌脚手架上堆放材料超过荷载的，将扣除违约金人民币300元/处。</w:t>
      </w:r>
    </w:p>
    <w:p w14:paraId="2C6EF2A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13.高空作业</w:t>
      </w:r>
    </w:p>
    <w:p w14:paraId="6884D75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（1）身体不健康，患有高血压、贫血症、严重心脏病、精神病、癫痫病、深度近视眼在500度以上从事高空作业的将扣除违约金人民币1000元/人次。</w:t>
      </w:r>
    </w:p>
    <w:p w14:paraId="410AE5F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（2）乘人的外用电梯、吊笼，无可靠安全装置的将扣除违约金人民币2000元/部。</w:t>
      </w:r>
    </w:p>
    <w:p w14:paraId="5B00C63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（3）遇有暴雨、浓雾和六级以上的强风仍进行室外作业的将扣除违约金人民币200元/人次。</w:t>
      </w:r>
    </w:p>
    <w:p w14:paraId="6FDE865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（4）夜间施工无充分照明的将扣除违约金人民币1000元/次。</w:t>
      </w:r>
    </w:p>
    <w:p w14:paraId="1A999FA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高空作业人员系好安全带，严禁上下抛物，违者将扣除违约金人民币1000元/次。</w:t>
      </w:r>
    </w:p>
    <w:p w14:paraId="41CF466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14.机械操作不束紧袖口，女工发辫没有挽入帽内的将扣除违约金人民币50元/人次。</w:t>
      </w:r>
    </w:p>
    <w:p w14:paraId="64872E5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15.行灯电压超过36V的；在潮湿场所或金属容器内工作时，行灯电压超过12V的将扣除违约金人民币100元/盏。</w:t>
      </w:r>
    </w:p>
    <w:p w14:paraId="4328468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16.油漆库等易燃易爆材料必须单独设置，否则，将扣除违约金人民币2000元/处/次。</w:t>
      </w:r>
    </w:p>
    <w:p w14:paraId="396D012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17．特种作业持证上岗</w:t>
      </w:r>
    </w:p>
    <w:p w14:paraId="7D0AB2E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特种作业人员应进行登记造册，报建设单位备案。所报人员与上岗人员不符者将扣除违约金人民币100元/人次，凡发现一个属于伪造证件或证件过期的将给予处罚300元/人次，发现的不符的人员责令退场。</w:t>
      </w:r>
    </w:p>
    <w:p w14:paraId="22ED5FC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18．安全标志</w:t>
      </w:r>
    </w:p>
    <w:p w14:paraId="0CA0061F">
      <w:pPr>
        <w:snapToGrid w:val="0"/>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施工现场无相应安全标志和未在施工平面图上进行标注的每发现一处给予100元将扣除违约金人民币。</w:t>
      </w:r>
    </w:p>
    <w:p w14:paraId="0CA29FD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（二）施工现场行走或上下的“十不准”</w:t>
      </w:r>
    </w:p>
    <w:p w14:paraId="3834740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1.不准从正在起吊、运吊中的物件下通过，违者将扣除违约金人民币50元/人次。</w:t>
      </w:r>
    </w:p>
    <w:p w14:paraId="12072C8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2.不准从高处往下跳或奔跑作业，违者将扣除违约金人民币50元/人次。</w:t>
      </w:r>
    </w:p>
    <w:p w14:paraId="4B136D6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3.不准在没有防护的外墙和外壁板等建筑物上行走，违者将扣除违约金人民币100元/人次。</w:t>
      </w:r>
    </w:p>
    <w:p w14:paraId="154EB15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4.不准站在小推车等不稳定的物体上操作，违者将扣除违约金人民币100元/人次。</w:t>
      </w:r>
    </w:p>
    <w:p w14:paraId="6A4F0FC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5.不得攀登起重臂、绳索、脚手架、井字架、龙门架和随同运料的吊盘及吊装物上下，违者将扣除违约金人民币200元/人次。</w:t>
      </w:r>
    </w:p>
    <w:p w14:paraId="779105F4">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6.不准进入挂有“禁止出入”或设有危险警示标志的区域、场所，违者将扣除违约金人民币200元/人次。</w:t>
      </w:r>
    </w:p>
    <w:p w14:paraId="1672330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7.不准在重要的运输通道或上下行走通道上逗留，违者将扣除违约金人民币200元/人次。</w:t>
      </w:r>
    </w:p>
    <w:p w14:paraId="3AAB054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8.未经允许不准私自进入非本单位作业区域或管理区域，尤其是存有易燃易爆物品的场所，违者将扣除违约金人民币200元/人次。</w:t>
      </w:r>
    </w:p>
    <w:p w14:paraId="0D97576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9.严禁在无照明设施，无足够采光条件的区域、场所内行走、逗留，违者将扣除违约金人民币200元/人次。</w:t>
      </w:r>
    </w:p>
    <w:p w14:paraId="129E8A1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10.不准无关人员进人施工现场，违者将扣除违约金人民币100元/人次。</w:t>
      </w:r>
    </w:p>
    <w:p w14:paraId="5E5D632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（三）防止机械伤害的“一禁、二必须、三定、四不准”</w:t>
      </w:r>
    </w:p>
    <w:p w14:paraId="6273793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1．机电设备无有效的安全防护装置的，将扣除违约金人民币100元/次。</w:t>
      </w:r>
    </w:p>
    <w:p w14:paraId="742C1D94">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2．机电设备停电、停工休息时未拉闸关机，未上锁的，将扣除违约金人民币100元/次。</w:t>
      </w:r>
    </w:p>
    <w:p w14:paraId="05AE3D2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3．机电设备不准带病运转，违者将扣除违约金人民币100元/次。</w:t>
      </w:r>
    </w:p>
    <w:p w14:paraId="3100E78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4．机电设备不准超负荷运转，违者将扣除违约金人民币100元/次。</w:t>
      </w:r>
    </w:p>
    <w:p w14:paraId="1FE3901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5．机电设备不准在运转时维修保养，违者将扣除违约金人民币100元/次。</w:t>
      </w:r>
    </w:p>
    <w:p w14:paraId="687356A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（四）脚手架</w:t>
      </w:r>
    </w:p>
    <w:p w14:paraId="335A1A6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(1)脚手架无方案编制或未经审批施工的，将扣除违约金人民币5000元。</w:t>
      </w:r>
    </w:p>
    <w:p w14:paraId="1673A8D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(2)使用未经过检测合格的安全网，将扣除违约金人民币300元/张。</w:t>
      </w:r>
    </w:p>
    <w:p w14:paraId="3E78D1D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(3)发现脚手架搭设不符合规范要求的，将扣除违约金人民币300元/处。</w:t>
      </w:r>
    </w:p>
    <w:p w14:paraId="220538C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(4)安全网破烂未按规定时间及时修补的将扣除违约金人民币100元/处。</w:t>
      </w:r>
    </w:p>
    <w:p w14:paraId="5CA8696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(5)未满铺脚手板即进行使用的，将扣除违约金人民币1000元/次。</w:t>
      </w:r>
    </w:p>
    <w:p w14:paraId="74237BB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(6)外架不能跟进主体结构进度搭设的，将扣除违约金人民币2000元/次。</w:t>
      </w:r>
    </w:p>
    <w:p w14:paraId="7BA7D4B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(7)未按方案或规定设置挡脚板的，将扣除违约金人民币1000元/处。</w:t>
      </w:r>
    </w:p>
    <w:p w14:paraId="45514DB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(8)脚手架基础无排水措施的，将扣除违约金人民币2000元。</w:t>
      </w:r>
    </w:p>
    <w:p w14:paraId="119EAEF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(9)任意拆除连墙件或未按规定设置连墙件的，将扣除违约金人民币2000元/次。</w:t>
      </w:r>
    </w:p>
    <w:p w14:paraId="52AE9E6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（五）．做好“三宝、四口、五临边”的防护工作。</w:t>
      </w:r>
    </w:p>
    <w:p w14:paraId="7EFA6A9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（1）安全网</w:t>
      </w:r>
    </w:p>
    <w:p w14:paraId="5B6CA9F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．未使用密目式安全网对建筑物进行封闭的，将扣除违约金人民币200元/张。</w:t>
      </w:r>
    </w:p>
    <w:p w14:paraId="14FAF46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．外脚手架施工时，在落地式脚手架的外排杆，未能及时随脚手架的升高用密目式安全网封闭的，将扣除违约金人民币200元/次，并责令限时整改。</w:t>
      </w:r>
    </w:p>
    <w:p w14:paraId="704DC99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（2）安全带</w:t>
      </w:r>
    </w:p>
    <w:p w14:paraId="0B56680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．安全带不符合国家安全标准的，将扣除违约金人民币200元/条。</w:t>
      </w:r>
    </w:p>
    <w:p w14:paraId="04A7BD1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．凡未按规定使用安全带的，将扣除违约金人民币100元/次。</w:t>
      </w:r>
    </w:p>
    <w:p w14:paraId="39597AF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（3）楼梯口、电梯井口防护</w:t>
      </w:r>
    </w:p>
    <w:p w14:paraId="68B6289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．楼梯口、电梯井口无防护措施的，将扣除违约金人民币500元/处。</w:t>
      </w:r>
    </w:p>
    <w:p w14:paraId="79C78AF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．防护措施不符合要求或不严密的，将扣除违约金人民币200元/处。</w:t>
      </w:r>
    </w:p>
    <w:p w14:paraId="3757374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③．电梯井内平网未按要求设置的，将扣除违约金人民币500元/处。</w:t>
      </w:r>
    </w:p>
    <w:p w14:paraId="09078DA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（4）预留洞口、坑井防护</w:t>
      </w:r>
    </w:p>
    <w:p w14:paraId="343BD39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．预留洞口、坑井无防护措施的，将扣除违约金人民币1000元/处。</w:t>
      </w:r>
    </w:p>
    <w:p w14:paraId="0DCDBD7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．对孔洞口(水平孔洞短边尺寸大于250mm的，竖向孔洞高度大于750mm的)未进行防护的，将扣除违约金人民币1000元/处。</w:t>
      </w:r>
    </w:p>
    <w:p w14:paraId="18C691C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③．洞口未按要求做防护的，将扣除违约金人民币1000元/处。</w:t>
      </w:r>
    </w:p>
    <w:p w14:paraId="3B2A05F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（5）通道口防护</w:t>
      </w:r>
    </w:p>
    <w:p w14:paraId="1C5A856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在建工程地面入口处和施工现场施工人员流动密集的通道上方，未按规定要求设置防护棚的，将扣除违约金人民币5000元。</w:t>
      </w:r>
    </w:p>
    <w:p w14:paraId="216647C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（6）阳台、楼板、屋面等临边防护</w:t>
      </w:r>
    </w:p>
    <w:p w14:paraId="5797B8D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．边沿无防护设施或围护设施高度低于800mm的，将扣除违约金人民币5000元/处。</w:t>
      </w:r>
    </w:p>
    <w:p w14:paraId="16361C7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．临边防护栏杆搭设要求：防护栏杆的搭设不符合规范要求的，将扣除违约金人民币300元/处。</w:t>
      </w:r>
    </w:p>
    <w:p w14:paraId="394F846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（六）.机械设备</w:t>
      </w:r>
    </w:p>
    <w:p w14:paraId="44379CF4">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（1）塔机的安全装置</w:t>
      </w:r>
    </w:p>
    <w:p w14:paraId="45DC02C4">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．无起重量限制器的，将扣除违约金人民币1000元/台。</w:t>
      </w:r>
    </w:p>
    <w:p w14:paraId="42CBC02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．无力矩限制器或力矩限制器不灵的，将扣除违约金人民币2000元/台。</w:t>
      </w:r>
    </w:p>
    <w:p w14:paraId="2273764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③．无超高、变幅限位或限位器不灵的，将扣除违约金人民币500元/台。</w:t>
      </w:r>
    </w:p>
    <w:p w14:paraId="0A03CB5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④．吊钩或卷扬机滚筒无保险装置以及上人爬梯无护圈或护圈不符合要求的，将扣除违约金人民币200元/处。</w:t>
      </w:r>
    </w:p>
    <w:p w14:paraId="1C86095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⑤．无钢丝绳防脱槽装置的，将扣除违约金人民币300元/台。</w:t>
      </w:r>
    </w:p>
    <w:p w14:paraId="55066F6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⑥．塔吊高度超过规定不安装附墙装置的，将扣除违约金人民币10000元/台。</w:t>
      </w:r>
    </w:p>
    <w:p w14:paraId="37438F4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⑦．附墙装置安装不符合说明书要求的，将扣除违约金人民币5000元/台。</w:t>
      </w:r>
    </w:p>
    <w:p w14:paraId="6B4F5AE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⑧．回转限制器未按规定安装的，将扣除违约金人民币1000元/台。</w:t>
      </w:r>
    </w:p>
    <w:p w14:paraId="0D61FBD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⑨．无风速仪的，将扣除违约金人民币1000元/台。</w:t>
      </w:r>
    </w:p>
    <w:p w14:paraId="5615748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⑩．电器控制中的零位保护和紧急安全开关无效的，将扣除违约金人民币1000元/台。</w:t>
      </w:r>
    </w:p>
    <w:p w14:paraId="39AECBC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（2）塔机安装、拆卸</w:t>
      </w:r>
    </w:p>
    <w:p w14:paraId="1CB949A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．对拆装人员的要求</w:t>
      </w:r>
    </w:p>
    <w:p w14:paraId="46A7882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a.参加塔机装拆人员未持有效证件上岗的，将扣除违约金人民币1000元/人次。</w:t>
      </w:r>
    </w:p>
    <w:p w14:paraId="59D6DF2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b.装拆人员未严格按照塔机的装拆方案和操作规程中的有关规定、程序进行装拆的，将扣除违约金人民币2000元/人次。</w:t>
      </w:r>
    </w:p>
    <w:p w14:paraId="5018ECA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c.装拆作业人员未严格遵守施工现场安全生产的有关制度、正确使用劳动保护用品的，将扣除违约金人民币100元/人次。</w:t>
      </w:r>
    </w:p>
    <w:p w14:paraId="31340F4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d.塔机装拆前未进行安全技术交底和未履行签字手续的，将扣除违约金人民币500元。</w:t>
      </w:r>
    </w:p>
    <w:p w14:paraId="519F3DA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．装拆过程</w:t>
      </w:r>
    </w:p>
    <w:p w14:paraId="3AE9115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a.装拆塔机的作业，无安全监护人员指挥的，将扣除违约金人民币2000元。</w:t>
      </w:r>
    </w:p>
    <w:p w14:paraId="03FFA63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b.塔机的装拆区域未设立警界区域，无专人值班的，将扣除违约金人民币2000元。</w:t>
      </w:r>
    </w:p>
    <w:p w14:paraId="4A465D8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c.塔机安装完毕后未经专门的检测机构检测验收合格即投入使用的，将扣除违约金人民币20000元/台。</w:t>
      </w:r>
    </w:p>
    <w:p w14:paraId="32C79714">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（3）塔机的安全使用</w:t>
      </w:r>
    </w:p>
    <w:p w14:paraId="059CF79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．起重司机未持有与其所操纵的塔机的起重力矩相对应的操作证，将扣除违约金人民币300元。</w:t>
      </w:r>
    </w:p>
    <w:p w14:paraId="680D89A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．起重作业中司机和指挥员未遵守“十不吊”的规定，将扣除违约金人民币500元/次。</w:t>
      </w:r>
    </w:p>
    <w:p w14:paraId="245AEE24">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③．塔机运行时，未按照操作规程执行的，将扣除违约金人民币500元。</w:t>
      </w:r>
    </w:p>
    <w:p w14:paraId="71FADED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④．塔机停用时，吊物悬在空中不落地或未对塔机的停放位置和小车、吊钩、夹轨钳、电源等一一加以检查的，将扣除违约金人民币500元。</w:t>
      </w:r>
    </w:p>
    <w:p w14:paraId="3F3FE02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⑤．塔机在使用中利用安全限制器停车的，将扣除违约金人民币2000元。</w:t>
      </w:r>
    </w:p>
    <w:p w14:paraId="6581F76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⑥．吊重物时调整起升、变幅的制动器的，将扣除违约金人民币2000元。</w:t>
      </w:r>
    </w:p>
    <w:p w14:paraId="29F62CE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⑦．除专门设计的塔机外，起吊和变幅两套起升机构同时开动的。将扣除违约金人民币200元。</w:t>
      </w:r>
    </w:p>
    <w:p w14:paraId="2095167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⑧．自升式塔机使用中的顶升加节工作，无专人负责的，将扣除违约金人民币1000元。</w:t>
      </w:r>
    </w:p>
    <w:p w14:paraId="3976389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⑨．对塔机的垂直度、爬升套架、附着装置等未经检查验收的。将扣除违约金人民币5000元。</w:t>
      </w:r>
    </w:p>
    <w:p w14:paraId="06E96CD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⑩．两台或两台以上塔吊作业时，无防碰撞措施的，将扣除违约金人民币2000元。</w:t>
      </w:r>
    </w:p>
    <w:p w14:paraId="4BF46B3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（4）机械设备作业规定</w:t>
      </w:r>
    </w:p>
    <w:p w14:paraId="0257BAA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．机械设备无验收、无检测、无检测封闭，将扣除违约金人民币500元/台。</w:t>
      </w:r>
    </w:p>
    <w:p w14:paraId="4DB55B9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．机械设备无巡视、无保养记录（例行保养），将扣除违约金人民币200-500元/台。</w:t>
      </w:r>
    </w:p>
    <w:p w14:paraId="31EC476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③．机械及作业不按操作规范作业或使用不符合规范、明令禁止使用的施工机械。</w:t>
      </w:r>
    </w:p>
    <w:p w14:paraId="40546B1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④．机械操作缺指挥、安全门不关、无证操作、吊装无警戒、机械带病作业，乘井架等非载人施工升降机上下，在机械操作岗位聊天、看报、干私活，将扣除违约金人民币200-500元。</w:t>
      </w:r>
    </w:p>
    <w:p w14:paraId="695D357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（七）.施工机具</w:t>
      </w:r>
    </w:p>
    <w:p w14:paraId="42672BF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(1).平刨</w:t>
      </w:r>
    </w:p>
    <w:p w14:paraId="2CB00BD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.手压平刨无安全装置、防护罩的，将扣除违约金人民币200元。</w:t>
      </w:r>
    </w:p>
    <w:p w14:paraId="5857ABD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.使用多功能平刨的，将扣除违约金人民币300元。</w:t>
      </w:r>
    </w:p>
    <w:p w14:paraId="18D1495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③.操作人员戴手套的，将扣除违约金人民币50元/人次。</w:t>
      </w:r>
    </w:p>
    <w:p w14:paraId="6A248AD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(2).圆盘锯</w:t>
      </w:r>
    </w:p>
    <w:p w14:paraId="6B40D43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.锯片上方没有安装安全防护罩、挡板、松口刀或皮带传动处没有防护罩的，将扣除违约金人民币200元/台。</w:t>
      </w:r>
    </w:p>
    <w:p w14:paraId="5AF9D6C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锯片连续有2个断齿，裂纹长度超过2㎝的，将扣除违约金人民币100元/台。</w:t>
      </w:r>
    </w:p>
    <w:p w14:paraId="58D3D97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（3）钢筋机械</w:t>
      </w:r>
    </w:p>
    <w:p w14:paraId="110CF02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．钢筋加工机械应由专人使用和管理，安全操作规程上墙，明确责任人。违者将扣除违约金人民币200元。</w:t>
      </w:r>
    </w:p>
    <w:p w14:paraId="4A2356F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．明露的机械传动部位无牢固、适用的防护罩的，将扣除违约金人民币100元/台。</w:t>
      </w:r>
    </w:p>
    <w:p w14:paraId="2CCE2D1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③．冷拉场地未设置警戒区、防护栏杆及标志的，将扣除违约金人民币300元。</w:t>
      </w:r>
    </w:p>
    <w:p w14:paraId="2E6DA9D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④．对焊作业无防止火花烫伤作业人员及过路人员措施的，将扣除违约金人民币100元/台。</w:t>
      </w:r>
    </w:p>
    <w:p w14:paraId="0D2F6D9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（4）电焊机  </w:t>
      </w:r>
    </w:p>
    <w:p w14:paraId="1B38C48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．电焊机二次侧未安装空载降压保护装置的，将扣除违约金人民币200元/台。</w:t>
      </w:r>
    </w:p>
    <w:p w14:paraId="7789A49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．电焊工人未戴帆布手套、穿胶底鞋的，将扣除违约金人民币100元/次。  </w:t>
      </w:r>
    </w:p>
    <w:p w14:paraId="53A1C4D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③．焊把线长度一般不应超过30m并不准有接头。违者将扣除违约金人民币200元/台。</w:t>
      </w:r>
    </w:p>
    <w:p w14:paraId="2AE1447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④．露天使用的焊机无防雨措施的，将扣除违约金人民币100元/台。</w:t>
      </w:r>
    </w:p>
    <w:p w14:paraId="58D71AF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（5）搅拌机</w:t>
      </w:r>
    </w:p>
    <w:p w14:paraId="0B62529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．空载和满载运行时传动机构不符合要求，钢丝绳磨损超过规定，离合器、制动器不灵敏的，将扣除违约金人民币100元/台。</w:t>
      </w:r>
    </w:p>
    <w:p w14:paraId="3112F4A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．自落式搅拌机出料时，操作手柄轮无锁住保险装置的，将扣除违约金人民币100元/台。</w:t>
      </w:r>
    </w:p>
    <w:p w14:paraId="73F9722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③．搅拌机上料斗未设保险挂勾，当停止作业或维修时，未将料斗挂牢的，将扣除违约金人民币100元/台。</w:t>
      </w:r>
    </w:p>
    <w:p w14:paraId="544E3E9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④．传动部位未装设防护罩的，将扣除违约金人民币100元/台。</w:t>
      </w:r>
    </w:p>
    <w:p w14:paraId="2376AB1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⑤．固定式搅拌机无可靠基础的，将扣除违约金人民币100元/台。</w:t>
      </w:r>
    </w:p>
    <w:p w14:paraId="4DA6AB2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（6）气瓶</w:t>
      </w:r>
      <w:r>
        <w:rPr>
          <w:rFonts w:hint="eastAsia" w:ascii="仿宋" w:hAnsi="仿宋" w:eastAsia="仿宋" w:cs="仿宋"/>
          <w:color w:val="auto"/>
          <w:sz w:val="24"/>
          <w:szCs w:val="24"/>
          <w:highlight w:val="none"/>
        </w:rPr>
        <w:tab/>
      </w:r>
    </w:p>
    <w:p w14:paraId="38E83B4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．各种气瓶未按标准标色的，将扣除违约金人民币100元/个。</w:t>
      </w:r>
    </w:p>
    <w:p w14:paraId="1591EE7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．不同类的气瓶，瓶与瓶之间不能满足安全距离要求的，将扣除违约金人民币200元/次。</w:t>
      </w:r>
    </w:p>
    <w:p w14:paraId="2CBE0ED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③．乙炔发生器或乙炔气瓶没有防止回火安全装置的，气瓶间距小于5米，距离明火小于10米而又没有隔离措施的，现场没有防晒、防雨措施的，每处将扣除违约金人民币100元/次。</w:t>
      </w:r>
    </w:p>
    <w:p w14:paraId="442253D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④．气瓶存放（施工现场未设置集中存放处，不同类的气瓶存放无隔离措施，存放环境不符合安全要求，管理人员未经培训，存放处无安全规定和标志，未配备灭火器材的）将扣除违约金人民币300元。</w:t>
      </w:r>
    </w:p>
    <w:p w14:paraId="419C17E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（八）基坑支护：基坑支护无方案，未经过专家论证，未按方案实施 ，将扣除违约金人民币1000元。</w:t>
      </w:r>
    </w:p>
    <w:p w14:paraId="4EFE16A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(1)临边防护</w:t>
      </w:r>
    </w:p>
    <w:p w14:paraId="420E7B4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．当基坑施工深度达到2m时，未搭设临边防护设施的，将扣除违约金人民币500元。</w:t>
      </w:r>
    </w:p>
    <w:p w14:paraId="3BBF39C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．基坑周边搭设的防护栏杆，不符合规范的，将扣除违约金人民币500元。</w:t>
      </w:r>
    </w:p>
    <w:p w14:paraId="07FB211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③.基坑周边堆料距坑边距离小于设计规定的每处将扣除违约金人民币500元。</w:t>
      </w:r>
    </w:p>
    <w:p w14:paraId="184A334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（2）排水措施</w:t>
      </w:r>
    </w:p>
    <w:p w14:paraId="5F32EE9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未根据现场情况做好排水措施的，将扣除违约金人民币2000元。</w:t>
      </w:r>
    </w:p>
    <w:p w14:paraId="660BDA2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（3）上下通道</w:t>
      </w:r>
    </w:p>
    <w:p w14:paraId="48EEA31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.基坑施工作业不设置专用通道的，将扣除违约金人民币10000元；</w:t>
      </w:r>
    </w:p>
    <w:p w14:paraId="58123BC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.人员上下攀爬模板、脚手架的，将扣除违约金人民币100元/人次。</w:t>
      </w:r>
    </w:p>
    <w:p w14:paraId="3D22C81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（4）土方开挖</w:t>
      </w:r>
    </w:p>
    <w:p w14:paraId="4D4EFB8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挖土机作业过程中，作业人员随意进入挖土机作业半径内进行坑底清理、边坡找平等作业的，将扣除违约金人民币500元。</w:t>
      </w:r>
    </w:p>
    <w:p w14:paraId="348A044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（5）基坑支护变形监测</w:t>
      </w:r>
    </w:p>
    <w:p w14:paraId="2825BBD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基坑开挖过程中无监测记录的，将扣除违约金人民币500元。</w:t>
      </w:r>
    </w:p>
    <w:p w14:paraId="0774D7D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（6）作业环境</w:t>
      </w:r>
    </w:p>
    <w:p w14:paraId="7A3B36C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．人员作业无安全立足点，脚手架搭设不符合规范规定，临边防护不符合要求的，将扣除违约金人民币500元。</w:t>
      </w:r>
    </w:p>
    <w:p w14:paraId="05975C3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．交叉作业、多层作业上下无隔离层的，将扣除违约金人民币500元。</w:t>
      </w:r>
    </w:p>
    <w:p w14:paraId="03CCB9D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（九）．模板工程：模板工程方案未按规定编制与审批，高支模、大跨度模板方案未按规定组织专家论证就施工的将扣除违约金人民币10000元。</w:t>
      </w:r>
    </w:p>
    <w:p w14:paraId="405E629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（1）立柱稳定</w:t>
      </w:r>
    </w:p>
    <w:p w14:paraId="5CE677E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．立柱材料其材质和规格不符合要求的，将扣除违约金人民币2000元。</w:t>
      </w:r>
    </w:p>
    <w:p w14:paraId="667FE65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．立柱底部未设置木垫板或使用砖及脆性材料铺垫的，将扣除违约金人民币300元。</w:t>
      </w:r>
    </w:p>
    <w:p w14:paraId="2510471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③．在安装立柱的同时，未加设水平支撑和剪刀撑而进行后补的，将扣除违约金人民币500元。</w:t>
      </w:r>
    </w:p>
    <w:p w14:paraId="004D196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（2）施工荷载</w:t>
      </w:r>
    </w:p>
    <w:p w14:paraId="03D27D2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模板上堆料和施工设备未合理分散堆放，而集中堆放的，将扣除违约金人民币1000元。</w:t>
      </w:r>
    </w:p>
    <w:p w14:paraId="7B15C30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（3）模板存放</w:t>
      </w:r>
    </w:p>
    <w:p w14:paraId="6747294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各类模板未按规格分类堆放整齐，地面不平整坚实，叠放高度一般超过1.6m的，将扣除违约金人民币1000元/处。</w:t>
      </w:r>
    </w:p>
    <w:p w14:paraId="20644DE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（4）支拆模板</w:t>
      </w:r>
    </w:p>
    <w:p w14:paraId="56B2EC3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．悬空作业处无牢靠的立足作业面，支拆3m以上高度的模板时，未搭设脚手架工作台，站在拉杆、支撑杆上操作，在梁底模上行走操作的，将扣除违约金人民币2000元。</w:t>
      </w:r>
    </w:p>
    <w:p w14:paraId="55D3472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．拆除模板作业时，未设置警戒线、无专门监护人员的，将扣除违约金人民币500元。</w:t>
      </w:r>
    </w:p>
    <w:p w14:paraId="606EE44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③．模板拆除未按区域逐块进行，定型钢模板拆除大面积撬落。模板、支撑随意抛掷，留有未拆净的悬空模板的，将扣除违约金人民币300元。</w:t>
      </w:r>
    </w:p>
    <w:p w14:paraId="023C9334">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（5）混凝土强度</w:t>
      </w:r>
    </w:p>
    <w:p w14:paraId="78E27DE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模板拆除之前，未达到拆模强度时即进行拆除的，将扣除违约金人民币5000元。</w:t>
      </w:r>
    </w:p>
    <w:p w14:paraId="540F31D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（十）．施工用水用电</w:t>
      </w:r>
    </w:p>
    <w:p w14:paraId="3579278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（1）接地接零保护系统：无重复接地，未采用TN-S系统，保护零线与工作零线混接的，发现一处罚500元。</w:t>
      </w:r>
    </w:p>
    <w:p w14:paraId="1718C75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配电箱、开关箱：不符合“三级配电两级保护”要求，无漏电保护或保护失灵，电箱内无隔离开关（除移动电箱外，其他电箱一律要做重复接地保护），违反“一机、一闸、一漏、一箱”，闸具损坏，配电箱内无标记，无合格证及编号,电箱下引线混乱，电箱无门、无锁、无防护措施的，一箱多用、混用、使用不标准箱，无插座防护，无巡视记录，接地接零不规范，发现一处罚100～500元</w:t>
      </w:r>
    </w:p>
    <w:p w14:paraId="2441C40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（3）现场照明：照明回路无漏电保护，灯具金属外壳无接零保护，潮湿作业场地未使用36V以下安全电压的，发现一次罚1000元。</w:t>
      </w:r>
    </w:p>
    <w:p w14:paraId="5F8CCF9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（4）配电线路：线路老化、破皮，线路过道无保护，架空线路不符合要求，四芯电缆外加一根线代替五芯电缆，电缆架设和埋设不符合要求的，无警示标志，无绝缘措施，发现一处罚1000元。</w:t>
      </w:r>
    </w:p>
    <w:p w14:paraId="3B3C652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（5）电器装置：闸具、熔断器参数与设备容量不匹配、安装不合要求的，发现一处罚1000元。</w:t>
      </w:r>
    </w:p>
    <w:p w14:paraId="5BDF0DB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（6）用其他金属丝代替熔丝的，发现一处罚2000元。</w:t>
      </w:r>
    </w:p>
    <w:p w14:paraId="2E06E8D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（7）手持电动工具、潜水泵、电锯、移动式电气设备、宿舍用电线路等没有按规定装设漏电保护开关的，宿舍用电使用加热器、乱接插座、乱拉电线，发现一处罚2000元。</w:t>
      </w:r>
    </w:p>
    <w:p w14:paraId="3C22E6E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（8）用电设备无重复接地的，按每处500元处罚。</w:t>
      </w:r>
    </w:p>
    <w:p w14:paraId="6BD6318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（9）在闸刀开关的保险丝上接负载的，按每处1000元处罚。</w:t>
      </w:r>
    </w:p>
    <w:p w14:paraId="36872F8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（10）使用破损的插头或用导线直接插在插座上的，处罚500元。</w:t>
      </w:r>
    </w:p>
    <w:p w14:paraId="4A79B2F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（11）定期检查现场安全用电时，施工单位项目经理、安全员和电工未全部到齐现场的，发现处罚1000元。</w:t>
      </w:r>
    </w:p>
    <w:p w14:paraId="4CBBE67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（12）现场防火：未按要求配置灭火器材，在易燃易爆的地方动火的，发现一处处罚2000元。</w:t>
      </w:r>
    </w:p>
    <w:p w14:paraId="71506C6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（13）电焊机的电源线、焊钳或其接线的绝缘破损、接线柱无护罩的，每台将扣除违约金人民币100元。</w:t>
      </w:r>
    </w:p>
    <w:p w14:paraId="0F89EAD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（14）工地现场不得乱拉乱接电线，电线、电缆不得拖地，违者每项将扣除违约金人民币500元。</w:t>
      </w:r>
    </w:p>
    <w:p w14:paraId="75EB421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（15）对未经申报批准擅自接水、接电的单位，处罚5000元。</w:t>
      </w:r>
    </w:p>
    <w:p w14:paraId="71659B7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（16）对于损坏供水供电管道管线的单位，处罚5000元；对隐瞒损坏管道管线事故的单位，加倍处罚。</w:t>
      </w:r>
    </w:p>
    <w:p w14:paraId="4A16C81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（17）电焊工、电工无三宝、登高穿硬底鞋，违者将扣除违约金人民币100元/人次。</w:t>
      </w:r>
    </w:p>
    <w:p w14:paraId="5DF9DE6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（十一）．方案与制度</w:t>
      </w:r>
    </w:p>
    <w:p w14:paraId="7EA66C5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（1）安全交底：无安全交底、交底无针对性、危险源告知不清，将扣除违约金人民币500元。</w:t>
      </w:r>
    </w:p>
    <w:p w14:paraId="52959E54">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（2）作业操作：不按方案实施、不按程序操作、不按交底作业，将扣除违约金人民币500元。</w:t>
      </w:r>
    </w:p>
    <w:p w14:paraId="03FA6D4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（3）安全制度：不落实安全检查制度，不按要求对分包单位进行安全考核，安全检查，安全考核记录不全的，不落实其他有关安全管理制度的，将扣除违约金人民币100-500元。</w:t>
      </w:r>
    </w:p>
    <w:p w14:paraId="2508C61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（十二）．人员管理</w:t>
      </w:r>
    </w:p>
    <w:p w14:paraId="1C6251C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（1）综合保险不上报、不购买、不及时、资料缺损，将扣除违约金人民币200元。</w:t>
      </w:r>
    </w:p>
    <w:p w14:paraId="19517C91">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八、本管理规定与     施工合同有不一致之处，以     施工合同为准。</w:t>
      </w:r>
    </w:p>
    <w:p w14:paraId="1FA35048">
      <w:pPr>
        <w:tabs>
          <w:tab w:val="left" w:pos="660"/>
        </w:tabs>
        <w:autoSpaceDE w:val="0"/>
        <w:autoSpaceDN w:val="0"/>
        <w:adjustRightInd w:val="0"/>
        <w:spacing w:line="400" w:lineRule="exact"/>
        <w:ind w:firstLine="3360" w:firstLineChars="1600"/>
        <w:rPr>
          <w:rFonts w:hint="eastAsia" w:ascii="宋体" w:hAnsi="宋体"/>
          <w:color w:val="auto"/>
          <w:szCs w:val="21"/>
          <w:highlight w:val="none"/>
        </w:rPr>
      </w:pPr>
    </w:p>
    <w:p w14:paraId="1CE0947E">
      <w:pPr>
        <w:rPr>
          <w:rFonts w:hint="eastAsia"/>
          <w:color w:val="auto"/>
          <w:sz w:val="18"/>
          <w:szCs w:val="20"/>
          <w:highlight w:val="none"/>
        </w:rPr>
      </w:pPr>
    </w:p>
    <w:p w14:paraId="6ECBD614">
      <w:pPr>
        <w:rPr>
          <w:rFonts w:hint="eastAsia"/>
          <w:color w:val="auto"/>
          <w:sz w:val="18"/>
          <w:szCs w:val="20"/>
          <w:highlight w:val="none"/>
        </w:rPr>
      </w:pPr>
    </w:p>
    <w:p w14:paraId="6EE4DB1C">
      <w:pPr>
        <w:rPr>
          <w:rFonts w:hint="eastAsia"/>
          <w:color w:val="auto"/>
          <w:sz w:val="18"/>
          <w:szCs w:val="20"/>
          <w:highlight w:val="none"/>
        </w:rPr>
      </w:pPr>
    </w:p>
    <w:p w14:paraId="2B007546">
      <w:pPr>
        <w:rPr>
          <w:rFonts w:hint="eastAsia"/>
          <w:color w:val="auto"/>
          <w:sz w:val="18"/>
          <w:szCs w:val="20"/>
          <w:highlight w:val="none"/>
        </w:rPr>
      </w:pPr>
    </w:p>
    <w:p w14:paraId="3C9053D1">
      <w:pPr>
        <w:rPr>
          <w:rFonts w:hint="eastAsia"/>
          <w:color w:val="auto"/>
          <w:sz w:val="18"/>
          <w:szCs w:val="20"/>
          <w:highlight w:val="none"/>
        </w:rPr>
      </w:pPr>
    </w:p>
    <w:p w14:paraId="26B0865A">
      <w:pPr>
        <w:rPr>
          <w:rFonts w:hint="eastAsia"/>
          <w:color w:val="auto"/>
          <w:sz w:val="18"/>
          <w:szCs w:val="20"/>
          <w:highlight w:val="none"/>
        </w:rPr>
      </w:pPr>
    </w:p>
    <w:p w14:paraId="7BA87DBA">
      <w:pPr>
        <w:widowControl/>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附件：7</w:t>
      </w:r>
    </w:p>
    <w:p w14:paraId="48B9737B">
      <w:pPr>
        <w:spacing w:line="360" w:lineRule="auto"/>
        <w:ind w:left="105" w:leftChars="50" w:firstLine="491" w:firstLineChars="205"/>
        <w:rPr>
          <w:rFonts w:hint="eastAsia" w:eastAsia="仿宋_GB2312"/>
          <w:color w:val="auto"/>
          <w:sz w:val="24"/>
          <w:szCs w:val="24"/>
          <w:highlight w:val="none"/>
        </w:rPr>
      </w:pPr>
    </w:p>
    <w:p w14:paraId="122F2E81">
      <w:pPr>
        <w:spacing w:line="360" w:lineRule="auto"/>
        <w:ind w:left="105" w:leftChars="50" w:firstLine="494" w:firstLineChars="205"/>
        <w:jc w:val="center"/>
        <w:rPr>
          <w:rFonts w:hint="eastAsia" w:eastAsia="仿宋_GB2312"/>
          <w:b/>
          <w:bCs/>
          <w:color w:val="auto"/>
          <w:sz w:val="24"/>
          <w:szCs w:val="24"/>
          <w:highlight w:val="none"/>
        </w:rPr>
      </w:pPr>
      <w:r>
        <w:rPr>
          <w:rFonts w:hint="eastAsia" w:eastAsia="仿宋_GB2312"/>
          <w:b/>
          <w:bCs/>
          <w:color w:val="auto"/>
          <w:sz w:val="24"/>
          <w:szCs w:val="24"/>
          <w:highlight w:val="none"/>
        </w:rPr>
        <w:t>廉洁从业及反商业贿赂协议</w:t>
      </w:r>
    </w:p>
    <w:p w14:paraId="5E10B7F3">
      <w:pPr>
        <w:spacing w:line="360" w:lineRule="auto"/>
        <w:ind w:left="105" w:leftChars="50" w:firstLine="494" w:firstLineChars="205"/>
        <w:jc w:val="center"/>
        <w:rPr>
          <w:rFonts w:hint="eastAsia" w:eastAsia="仿宋_GB2312"/>
          <w:b/>
          <w:bCs/>
          <w:color w:val="auto"/>
          <w:sz w:val="24"/>
          <w:szCs w:val="24"/>
          <w:highlight w:val="none"/>
        </w:rPr>
      </w:pPr>
    </w:p>
    <w:p w14:paraId="4F8A61A0">
      <w:pPr>
        <w:spacing w:line="360" w:lineRule="auto"/>
        <w:rPr>
          <w:rFonts w:eastAsia="仿宋_GB2312"/>
          <w:color w:val="auto"/>
          <w:sz w:val="24"/>
          <w:szCs w:val="24"/>
          <w:highlight w:val="none"/>
        </w:rPr>
      </w:pPr>
      <w:r>
        <w:rPr>
          <w:rFonts w:hint="eastAsia" w:eastAsia="仿宋_GB2312"/>
          <w:color w:val="auto"/>
          <w:sz w:val="24"/>
          <w:szCs w:val="24"/>
          <w:highlight w:val="none"/>
        </w:rPr>
        <w:t>甲方：广东新华发行集团新兴新华书店有限公司</w:t>
      </w:r>
    </w:p>
    <w:p w14:paraId="606CBA34">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乙方： </w:t>
      </w:r>
    </w:p>
    <w:p w14:paraId="6A481BBF">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甲方和乙方双方已签订了《</w:t>
      </w:r>
      <w:r>
        <w:rPr>
          <w:rFonts w:hint="eastAsia" w:eastAsia="仿宋_GB2312"/>
          <w:color w:val="auto"/>
          <w:sz w:val="24"/>
          <w:szCs w:val="24"/>
          <w:highlight w:val="none"/>
          <w:u w:val="single"/>
        </w:rPr>
        <w:t xml:space="preserve">     </w:t>
      </w:r>
      <w:r>
        <w:rPr>
          <w:rFonts w:hint="eastAsia" w:eastAsia="仿宋_GB2312"/>
          <w:color w:val="auto"/>
          <w:sz w:val="24"/>
          <w:szCs w:val="24"/>
          <w:highlight w:val="none"/>
        </w:rPr>
        <w:t>工程建设工程施工合同》（合同编号为：</w:t>
      </w:r>
      <w:r>
        <w:rPr>
          <w:rFonts w:hint="eastAsia" w:eastAsia="仿宋_GB2312"/>
          <w:color w:val="auto"/>
          <w:sz w:val="24"/>
          <w:szCs w:val="24"/>
          <w:highlight w:val="none"/>
          <w:u w:val="single"/>
        </w:rPr>
        <w:t xml:space="preserve">    </w:t>
      </w:r>
      <w:r>
        <w:rPr>
          <w:rFonts w:hint="eastAsia" w:eastAsia="仿宋_GB2312"/>
          <w:color w:val="auto"/>
          <w:sz w:val="24"/>
          <w:szCs w:val="24"/>
          <w:highlight w:val="none"/>
        </w:rPr>
        <w:t>）（以下简称“施工合同”）,甲方将</w:t>
      </w:r>
      <w:r>
        <w:rPr>
          <w:rFonts w:hint="eastAsia" w:eastAsia="仿宋_GB2312"/>
          <w:color w:val="auto"/>
          <w:sz w:val="24"/>
          <w:szCs w:val="24"/>
          <w:highlight w:val="none"/>
          <w:u w:val="single"/>
        </w:rPr>
        <w:t xml:space="preserve">       </w:t>
      </w:r>
      <w:r>
        <w:rPr>
          <w:rFonts w:hint="eastAsia" w:eastAsia="仿宋_GB2312"/>
          <w:color w:val="auto"/>
          <w:sz w:val="24"/>
          <w:szCs w:val="24"/>
          <w:highlight w:val="none"/>
        </w:rPr>
        <w:t xml:space="preserve">工程施工承包发包给乙方承包建设。 </w:t>
      </w:r>
    </w:p>
    <w:p w14:paraId="3655B4E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因此，为了保证《施工合同》全面、合法、正常的履行，防止各种违法、违纪、违规行为的发生，根据国家和云浮市有关廉政建 设法律、法规和政策的规定，甲方和乙方双方就《施工合同》履行过程中双方在廉政建设上的权利义务事宜，经友好协商，签订本协议，以资共同遵守。 </w:t>
      </w:r>
    </w:p>
    <w:p w14:paraId="25A5D152">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一、甲方和乙方双方及双方工作人员应当自觉遵守国家和云浮市有关廉政建设的法律、法规和政策的各项规定（以下简称“廉洁规定”）。 </w:t>
      </w:r>
    </w:p>
    <w:p w14:paraId="2C10942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二、甲方及其工作人员不得以任何形式向乙方索要或违反规定收受各种名义的回扣、手续费等好处费。 </w:t>
      </w:r>
    </w:p>
    <w:p w14:paraId="6E417C59">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三、甲方工作人员不得收受乙方的礼金、有价证券和贵重物品等礼物，不得在乙方报销任何应由个人承担的各种费用。 </w:t>
      </w:r>
    </w:p>
    <w:p w14:paraId="3D256A6D">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四、甲方工作人员不得擅自参加任何可能影响公正执行职务的宴请和娱乐活动。 </w:t>
      </w:r>
    </w:p>
    <w:p w14:paraId="5BB43A2F">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五、甲方工作人员不得要求或者接受乙方工作人员在其住房装修、婚丧嫁娶、亲属工作安排以及出国等其他方面提供的各种方便。 </w:t>
      </w:r>
    </w:p>
    <w:p w14:paraId="1E1E9827">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六、甲方工作人员不得向乙方介绍其家属或者亲友（包括家属或亲友开办的公司企业）从事与《施工合同》相关的工程项目有关的材料设备供应、工程分包等经济活动。 </w:t>
      </w:r>
    </w:p>
    <w:p w14:paraId="4B30386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七、甲方工作人员不得进行违反廉洁规定的任何其他活动。 </w:t>
      </w:r>
    </w:p>
    <w:p w14:paraId="5CCDEF54">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八、乙方及其工作人员不得为谋取不正当利益，给予甲方工作人员财物。 </w:t>
      </w:r>
    </w:p>
    <w:p w14:paraId="628FE72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九、乙方及其工作人员不得违反国家及云浮市有关廉政建设的规定，给予甲方工作人员各种名义的回扣、手续费等好处费。 </w:t>
      </w:r>
    </w:p>
    <w:p w14:paraId="45AD1D10">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十、乙方及其工作人员不得向甲方工作人员赠送礼金、有价证券和贵重物品等礼物，不得为甲方工作人员报销应由其个人或其亲属支付的各种费用。 </w:t>
      </w:r>
    </w:p>
    <w:p w14:paraId="4CE630F3">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十一、乙方及其工作人员不得以洽谈业务、签订合同等为借口，宴请甲方工作人员或者安排其外出旅游或进行高消费娱乐、健身活动。 </w:t>
      </w:r>
    </w:p>
    <w:p w14:paraId="6C37488C">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十二、乙方及其工作人员不得为甲方下属各单位和工作人员购置或者提供通讯工具、交通工具、高档办公用品、家电等物品。 </w:t>
      </w:r>
    </w:p>
    <w:p w14:paraId="00779E20">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十三、乙方及其工作人员不得为谋取不正当利益，为甲方工作人员提供住房装修、婚丧嫁娶、亲属工作安排以及出国等方面的各种方便。 </w:t>
      </w:r>
    </w:p>
    <w:p w14:paraId="59876F1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十四、乙方不得安排甲方工作人员的家属或者亲友（包括家属或亲友开办的公司企业）从事与《施工合同》相关的工程项目有关的材料设备供应、工程分包等经济活动。 </w:t>
      </w:r>
    </w:p>
    <w:p w14:paraId="7C95A9D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十五、乙方及其工作人员不得进行违反廉洁规定的任何其他活动。 </w:t>
      </w:r>
    </w:p>
    <w:p w14:paraId="613D27E6">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十六、乙方若发现甲方工作人员有违反廉洁规定的行为的，应及时对其进行教育帮助以中止其行为或向甲方监察部门举报；若甲方工作人员的行为已构成违法、违纪或违规的，乙方应当及时向甲方监察部门举报。甲方监察部门进行调查工作时，乙方应给予积极配合。 </w:t>
      </w:r>
    </w:p>
    <w:p w14:paraId="797945C1">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十七、甲方若发现乙方工作人员为谋取自身的不正当利益，有违反廉洁规定的行为的，应及时对其进行教育帮助以中止其行为或向乙方监察部门举报；若乙方工作人员的行为已构成违法、违纪或违规的，甲方应当及时向乙方监察部门举报。乙方监察部门进行调查工作时，甲方应给予积极配合。 </w:t>
      </w:r>
    </w:p>
    <w:p w14:paraId="2D1046D9">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十八、（1）若甲方发现乙方及其工作人员有违反廉洁规定行为的，致使甲方及其工作人员构成违法的，《施工合同》尚未履行完毕时，甲方有权选择或并用：①要求乙方撤换派驻甲方的项目负责人，撤回违反廉洁规定的直接责任人员；②要求乙方支付合同价5%的违约金；③有权解除《施工合同》。（2）《施工合同》已经履行完毕的，甲方有权要求乙方支付工程结算价5%的违约金。（3）乙方因违反廉洁规定的行为而获取的非法所得，应返还甲方。（4）因乙方违反廉洁规定的行为给甲方造成经济损失的，乙方还应赔偿甲方经济损失。（5）乙方因没有履行①条款义务撤换派驻甲方的项目负责人或承担违约金的，甲方有权解除《施工合同》。 </w:t>
      </w:r>
    </w:p>
    <w:p w14:paraId="134C9A61">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十九、若甲方发现乙方工作人员为谋取自身不正当利益有违反廉洁规定的行为的，甲方有权要求乙方撤回该人员，并不再安排该人员从事与甲方有关的任何工作。 </w:t>
      </w:r>
    </w:p>
    <w:p w14:paraId="38952B4C">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二十、乙方承诺参与</w:t>
      </w:r>
      <w:r>
        <w:rPr>
          <w:rFonts w:hint="eastAsia" w:eastAsia="仿宋_GB2312"/>
          <w:color w:val="auto"/>
          <w:sz w:val="24"/>
          <w:szCs w:val="24"/>
          <w:highlight w:val="none"/>
          <w:u w:val="single"/>
        </w:rPr>
        <w:t xml:space="preserve">           </w:t>
      </w:r>
      <w:r>
        <w:rPr>
          <w:rFonts w:hint="eastAsia" w:eastAsia="仿宋_GB2312"/>
          <w:color w:val="auto"/>
          <w:sz w:val="24"/>
          <w:szCs w:val="24"/>
          <w:highlight w:val="none"/>
        </w:rPr>
        <w:t xml:space="preserve">工程施工承包项目的投标，是乙方自主投标。乙方承诺在本次投标中，未被任何个人或单位挂靠，也未与其他任何单位进行合作投标。乙方承诺项目实施过程中，不会被任何单位或个人挂靠，不会进行转包或违法分包，如乙方在本次投标或项目实施过程中，存在转包、挂靠或违法分包行为的，乙方愿意为此承担全部责任；一经查实，甲方将按相关法律法规严肃处理。 </w:t>
      </w:r>
    </w:p>
    <w:p w14:paraId="02929518">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二十一、因本协议发生的任何争议，甲方和乙方双方应友好协商解决。协商不成，双方均有权向项目所在地人民法院提起诉讼。 </w:t>
      </w:r>
    </w:p>
    <w:p w14:paraId="6A68840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二十二、本协议由甲方和乙方双方盖章并由法定代表人或委托代理人签字后生效。本廉洁从业＆反商业贿赂协议作为《施工合同》从合同，与《施工合同》具有同等法律效力。本协议不因《施工合同》的无效而无效。 </w:t>
      </w:r>
    </w:p>
    <w:p w14:paraId="33FE8898">
      <w:pPr>
        <w:spacing w:line="360" w:lineRule="auto"/>
        <w:ind w:left="479" w:leftChars="228"/>
        <w:rPr>
          <w:rFonts w:hint="eastAsia" w:eastAsia="仿宋_GB2312"/>
          <w:color w:val="auto"/>
          <w:sz w:val="24"/>
          <w:szCs w:val="24"/>
          <w:highlight w:val="none"/>
        </w:rPr>
      </w:pPr>
      <w:r>
        <w:rPr>
          <w:rFonts w:hint="eastAsia" w:eastAsia="仿宋_GB2312"/>
          <w:color w:val="auto"/>
          <w:sz w:val="24"/>
          <w:szCs w:val="24"/>
          <w:highlight w:val="none"/>
        </w:rPr>
        <w:t xml:space="preserve">二十三、本协议一式捌份，甲方执伍份，乙方执叁份，具有同等法律效力。 （协议以下无正文） </w:t>
      </w:r>
    </w:p>
    <w:p w14:paraId="70053F8D">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甲方（盖章）：广东新华发行集团新兴新华书店有限公司 </w:t>
      </w:r>
    </w:p>
    <w:p w14:paraId="111DBD97">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法定代表人或其委托代理人： </w:t>
      </w:r>
    </w:p>
    <w:p w14:paraId="71FF3057">
      <w:pPr>
        <w:spacing w:line="360" w:lineRule="auto"/>
        <w:rPr>
          <w:rFonts w:hint="eastAsia" w:eastAsia="仿宋_GB2312"/>
          <w:color w:val="auto"/>
          <w:sz w:val="24"/>
          <w:szCs w:val="24"/>
          <w:highlight w:val="none"/>
        </w:rPr>
      </w:pPr>
    </w:p>
    <w:p w14:paraId="7AAA51CF">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乙方（盖章）： </w:t>
      </w:r>
    </w:p>
    <w:p w14:paraId="5B20EBC2">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法定代表人或其委托代理人： </w:t>
      </w:r>
    </w:p>
    <w:p w14:paraId="6BE5F977">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签约地点：云浮市 </w:t>
      </w:r>
    </w:p>
    <w:p w14:paraId="6990CBB5">
      <w:pPr>
        <w:spacing w:line="360" w:lineRule="auto"/>
        <w:rPr>
          <w:rFonts w:hint="eastAsia" w:eastAsia="仿宋_GB2312"/>
          <w:color w:val="auto"/>
          <w:sz w:val="24"/>
          <w:szCs w:val="24"/>
          <w:highlight w:val="none"/>
        </w:rPr>
      </w:pPr>
      <w:r>
        <w:rPr>
          <w:rFonts w:hint="eastAsia" w:eastAsia="仿宋_GB2312"/>
          <w:color w:val="auto"/>
          <w:sz w:val="24"/>
          <w:szCs w:val="24"/>
          <w:highlight w:val="none"/>
        </w:rPr>
        <w:t>签约日期：     年   月   日</w:t>
      </w:r>
    </w:p>
    <w:p w14:paraId="547C9136">
      <w:pPr>
        <w:rPr>
          <w:rFonts w:hint="eastAsia"/>
          <w:color w:val="auto"/>
          <w:sz w:val="18"/>
          <w:szCs w:val="20"/>
          <w:highlight w:val="none"/>
        </w:rPr>
      </w:pPr>
    </w:p>
    <w:p w14:paraId="36E9470E">
      <w:pPr>
        <w:rPr>
          <w:rFonts w:hint="eastAsia"/>
          <w:color w:val="auto"/>
          <w:sz w:val="18"/>
          <w:szCs w:val="20"/>
          <w:highlight w:val="none"/>
        </w:rPr>
      </w:pPr>
    </w:p>
    <w:p w14:paraId="09F2A59B">
      <w:pPr>
        <w:rPr>
          <w:rFonts w:hint="eastAsia"/>
          <w:color w:val="auto"/>
          <w:sz w:val="18"/>
          <w:szCs w:val="20"/>
          <w:highlight w:val="none"/>
        </w:rPr>
      </w:pPr>
    </w:p>
    <w:p w14:paraId="31E67A36">
      <w:pPr>
        <w:rPr>
          <w:rFonts w:hint="eastAsia"/>
          <w:color w:val="auto"/>
          <w:sz w:val="18"/>
          <w:szCs w:val="20"/>
          <w:highlight w:val="none"/>
        </w:rPr>
      </w:pPr>
    </w:p>
    <w:p w14:paraId="41CB9B85">
      <w:pPr>
        <w:rPr>
          <w:rFonts w:hint="eastAsia"/>
          <w:color w:val="auto"/>
          <w:sz w:val="18"/>
          <w:szCs w:val="20"/>
          <w:highlight w:val="none"/>
        </w:rPr>
      </w:pPr>
    </w:p>
    <w:p w14:paraId="6216ADAE">
      <w:pPr>
        <w:rPr>
          <w:rFonts w:hint="eastAsia"/>
          <w:color w:val="auto"/>
          <w:sz w:val="18"/>
          <w:szCs w:val="20"/>
          <w:highlight w:val="none"/>
        </w:rPr>
      </w:pPr>
    </w:p>
    <w:p w14:paraId="673F1A93">
      <w:pPr>
        <w:rPr>
          <w:rFonts w:hint="eastAsia"/>
          <w:color w:val="auto"/>
          <w:sz w:val="18"/>
          <w:szCs w:val="20"/>
          <w:highlight w:val="none"/>
        </w:rPr>
      </w:pPr>
    </w:p>
    <w:p w14:paraId="4698892B">
      <w:pPr>
        <w:rPr>
          <w:rFonts w:hint="eastAsia"/>
          <w:color w:val="auto"/>
          <w:sz w:val="18"/>
          <w:szCs w:val="20"/>
          <w:highlight w:val="none"/>
        </w:rPr>
      </w:pPr>
    </w:p>
    <w:p w14:paraId="1F76782C">
      <w:pPr>
        <w:rPr>
          <w:rFonts w:hint="eastAsia"/>
          <w:color w:val="auto"/>
          <w:sz w:val="18"/>
          <w:szCs w:val="20"/>
          <w:highlight w:val="none"/>
        </w:rPr>
      </w:pPr>
    </w:p>
    <w:p w14:paraId="28DC2719">
      <w:pPr>
        <w:rPr>
          <w:rFonts w:hint="eastAsia"/>
          <w:color w:val="auto"/>
          <w:sz w:val="18"/>
          <w:szCs w:val="20"/>
          <w:highlight w:val="none"/>
        </w:rPr>
      </w:pPr>
    </w:p>
    <w:p w14:paraId="5F6D912D">
      <w:pPr>
        <w:rPr>
          <w:rFonts w:hint="eastAsia"/>
          <w:color w:val="auto"/>
          <w:sz w:val="18"/>
          <w:szCs w:val="20"/>
          <w:highlight w:val="none"/>
        </w:rPr>
      </w:pPr>
    </w:p>
    <w:p w14:paraId="51BD8B71">
      <w:pPr>
        <w:rPr>
          <w:rFonts w:hint="eastAsia"/>
          <w:color w:val="auto"/>
          <w:sz w:val="18"/>
          <w:szCs w:val="20"/>
          <w:highlight w:val="none"/>
        </w:rPr>
      </w:pPr>
    </w:p>
    <w:p w14:paraId="007CD08E">
      <w:pPr>
        <w:rPr>
          <w:rFonts w:hint="eastAsia"/>
          <w:color w:val="auto"/>
          <w:sz w:val="18"/>
          <w:szCs w:val="20"/>
          <w:highlight w:val="none"/>
        </w:rPr>
      </w:pPr>
    </w:p>
    <w:p w14:paraId="47116FB9">
      <w:pPr>
        <w:rPr>
          <w:rFonts w:hint="eastAsia"/>
          <w:color w:val="auto"/>
          <w:sz w:val="18"/>
          <w:szCs w:val="20"/>
          <w:highlight w:val="none"/>
        </w:rPr>
      </w:pPr>
    </w:p>
    <w:p w14:paraId="1FC67310">
      <w:pPr>
        <w:rPr>
          <w:rFonts w:hint="eastAsia"/>
          <w:color w:val="auto"/>
          <w:sz w:val="18"/>
          <w:szCs w:val="20"/>
          <w:highlight w:val="none"/>
        </w:rPr>
      </w:pPr>
    </w:p>
    <w:p w14:paraId="797FAA09">
      <w:pPr>
        <w:rPr>
          <w:rFonts w:hint="eastAsia"/>
          <w:color w:val="auto"/>
          <w:sz w:val="18"/>
          <w:szCs w:val="20"/>
          <w:highlight w:val="none"/>
        </w:rPr>
      </w:pPr>
    </w:p>
    <w:p w14:paraId="43DAE1F6">
      <w:pPr>
        <w:rPr>
          <w:rFonts w:hint="eastAsia"/>
          <w:color w:val="auto"/>
          <w:sz w:val="18"/>
          <w:szCs w:val="20"/>
          <w:highlight w:val="none"/>
        </w:rPr>
      </w:pPr>
    </w:p>
    <w:p w14:paraId="015BB906">
      <w:pPr>
        <w:rPr>
          <w:rFonts w:hint="eastAsia"/>
          <w:color w:val="auto"/>
          <w:sz w:val="18"/>
          <w:szCs w:val="20"/>
          <w:highlight w:val="none"/>
        </w:rPr>
      </w:pPr>
    </w:p>
    <w:p w14:paraId="1EAC064D">
      <w:pPr>
        <w:rPr>
          <w:rFonts w:hint="eastAsia"/>
          <w:color w:val="auto"/>
          <w:sz w:val="18"/>
          <w:szCs w:val="20"/>
          <w:highlight w:val="none"/>
        </w:rPr>
      </w:pPr>
    </w:p>
    <w:p w14:paraId="2AB0162F">
      <w:pPr>
        <w:rPr>
          <w:rFonts w:hint="eastAsia"/>
          <w:color w:val="auto"/>
          <w:sz w:val="18"/>
          <w:szCs w:val="20"/>
          <w:highlight w:val="none"/>
        </w:rPr>
      </w:pPr>
    </w:p>
    <w:p w14:paraId="3DC6DE2F">
      <w:pPr>
        <w:rPr>
          <w:rFonts w:hint="eastAsia"/>
          <w:color w:val="auto"/>
          <w:sz w:val="18"/>
          <w:szCs w:val="20"/>
          <w:highlight w:val="none"/>
        </w:rPr>
      </w:pPr>
    </w:p>
    <w:p w14:paraId="2852D137">
      <w:pPr>
        <w:rPr>
          <w:rFonts w:hint="eastAsia"/>
          <w:color w:val="auto"/>
          <w:sz w:val="18"/>
          <w:szCs w:val="20"/>
          <w:highlight w:val="none"/>
        </w:rPr>
      </w:pPr>
    </w:p>
    <w:p w14:paraId="50AC7264">
      <w:pPr>
        <w:rPr>
          <w:rFonts w:hint="eastAsia"/>
          <w:color w:val="auto"/>
          <w:sz w:val="18"/>
          <w:szCs w:val="20"/>
          <w:highlight w:val="none"/>
        </w:rPr>
      </w:pPr>
    </w:p>
    <w:p w14:paraId="4DAAFF41">
      <w:pPr>
        <w:rPr>
          <w:rFonts w:hint="eastAsia"/>
          <w:color w:val="auto"/>
          <w:sz w:val="18"/>
          <w:szCs w:val="20"/>
          <w:highlight w:val="none"/>
        </w:rPr>
      </w:pPr>
    </w:p>
    <w:p w14:paraId="6D91F287">
      <w:pPr>
        <w:spacing w:line="360" w:lineRule="auto"/>
        <w:rPr>
          <w:rFonts w:eastAsia="仿宋_GB2312"/>
          <w:color w:val="auto"/>
          <w:sz w:val="24"/>
          <w:szCs w:val="24"/>
          <w:highlight w:val="none"/>
        </w:rPr>
      </w:pPr>
      <w:r>
        <w:rPr>
          <w:rFonts w:hint="eastAsia" w:eastAsia="仿宋_GB2312"/>
          <w:color w:val="auto"/>
          <w:sz w:val="24"/>
          <w:szCs w:val="24"/>
          <w:highlight w:val="none"/>
        </w:rPr>
        <w:t>附件：8</w:t>
      </w:r>
    </w:p>
    <w:p w14:paraId="1E9A1782">
      <w:pPr>
        <w:spacing w:line="360" w:lineRule="auto"/>
        <w:ind w:firstLine="482" w:firstLineChars="200"/>
        <w:jc w:val="center"/>
        <w:rPr>
          <w:rFonts w:hint="eastAsia" w:eastAsia="仿宋_GB2312"/>
          <w:b/>
          <w:bCs/>
          <w:color w:val="auto"/>
          <w:sz w:val="24"/>
          <w:szCs w:val="24"/>
          <w:highlight w:val="none"/>
        </w:rPr>
      </w:pPr>
      <w:r>
        <w:rPr>
          <w:rFonts w:hint="eastAsia" w:eastAsia="仿宋_GB2312"/>
          <w:b/>
          <w:bCs/>
          <w:color w:val="auto"/>
          <w:sz w:val="24"/>
          <w:szCs w:val="24"/>
          <w:highlight w:val="none"/>
        </w:rPr>
        <w:t>安全生产合同</w:t>
      </w:r>
    </w:p>
    <w:p w14:paraId="30BF1F2C">
      <w:pPr>
        <w:spacing w:line="360" w:lineRule="auto"/>
        <w:ind w:firstLine="482" w:firstLineChars="200"/>
        <w:jc w:val="center"/>
        <w:rPr>
          <w:rFonts w:hint="eastAsia" w:eastAsia="仿宋_GB2312"/>
          <w:b/>
          <w:bCs/>
          <w:color w:val="auto"/>
          <w:sz w:val="24"/>
          <w:szCs w:val="24"/>
          <w:highlight w:val="none"/>
        </w:rPr>
      </w:pPr>
    </w:p>
    <w:p w14:paraId="23868C4C">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发包人：（全称）广东新华发行集团新兴新华书店有限公司 </w:t>
      </w:r>
    </w:p>
    <w:p w14:paraId="32F653C5">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承包人：（全称） </w:t>
      </w:r>
    </w:p>
    <w:p w14:paraId="673DF9ED">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为在《</w:t>
      </w:r>
      <w:r>
        <w:rPr>
          <w:rFonts w:hint="eastAsia" w:eastAsia="仿宋_GB2312"/>
          <w:color w:val="auto"/>
          <w:sz w:val="24"/>
          <w:szCs w:val="24"/>
          <w:highlight w:val="none"/>
          <w:u w:val="single"/>
        </w:rPr>
        <w:t xml:space="preserve">       </w:t>
      </w:r>
      <w:r>
        <w:rPr>
          <w:rFonts w:hint="eastAsia" w:eastAsia="仿宋_GB2312"/>
          <w:color w:val="auto"/>
          <w:sz w:val="24"/>
          <w:szCs w:val="24"/>
          <w:highlight w:val="none"/>
        </w:rPr>
        <w:t>工程建设工程施工合同》的实施过程中创造安全、高效的施工环境，切实搞好本项目的安全管理工作，本项目广东新华发行集团新兴新华书店有限公司（以下简称“发包人”）与</w:t>
      </w:r>
      <w:r>
        <w:rPr>
          <w:rFonts w:hint="eastAsia" w:eastAsia="仿宋_GB2312"/>
          <w:color w:val="auto"/>
          <w:sz w:val="24"/>
          <w:szCs w:val="24"/>
          <w:highlight w:val="none"/>
          <w:u w:val="single"/>
        </w:rPr>
        <w:t xml:space="preserve">          </w:t>
      </w:r>
      <w:r>
        <w:rPr>
          <w:rFonts w:hint="eastAsia" w:eastAsia="仿宋_GB2312"/>
          <w:color w:val="auto"/>
          <w:sz w:val="24"/>
          <w:szCs w:val="24"/>
          <w:highlight w:val="none"/>
        </w:rPr>
        <w:t xml:space="preserve">（以下简称“承包人”）特此签订安全生产合同： </w:t>
      </w:r>
    </w:p>
    <w:p w14:paraId="671176D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一、发包人职责 </w:t>
      </w:r>
    </w:p>
    <w:p w14:paraId="1E438220">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1、严格遵守政府有关安全生产的法律法规，认真执行工程承包合同中的有关安全要求。 </w:t>
      </w:r>
    </w:p>
    <w:p w14:paraId="3A0C6377">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2、按照“安全第一，预防为主”和坚持“管生产必须管安全”的原则进行安全生产管理，做到生产与安全工作同时计划、布置、检查、总结和评比。 </w:t>
      </w:r>
    </w:p>
    <w:p w14:paraId="35599627">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3、重要的安全设施必须坚持与主体工程“三同时”的原则，即：同时设计、审批，同时施工，同时验收，投入使用。 </w:t>
      </w:r>
    </w:p>
    <w:p w14:paraId="63FA78D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4、定期召开安全生产调度会，及时传达中央及地方有关安全生产的精神。 </w:t>
      </w:r>
    </w:p>
    <w:p w14:paraId="20DE259B">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5、组织对承包人施工现场安全生产检查，监督承包人及时处理发现的各种安全隐患。 </w:t>
      </w:r>
    </w:p>
    <w:p w14:paraId="5FCA55D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二、承包人职责 </w:t>
      </w:r>
    </w:p>
    <w:p w14:paraId="1F91EDF8">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1、严格遵守政府有关安全生产的法律法规及有关安全生产的规定，认真执行工程承包合同中的有关安全要求。 </w:t>
      </w:r>
    </w:p>
    <w:p w14:paraId="11047B0C">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 </w:t>
      </w:r>
    </w:p>
    <w:p w14:paraId="200A0147">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 </w:t>
      </w:r>
    </w:p>
    <w:p w14:paraId="7B2E2948">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4、承包人在任何时候都应采取各种合理的预防措施，防止其员工发生任何违法、违禁、暴力或妨碍治安的行为。 </w:t>
      </w:r>
    </w:p>
    <w:p w14:paraId="4A59005A">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机动车船艇驾驶、爆破、潜水、瓦斯检验等特殊工种的人员，经过专业培训，获得《安全操作合格证》后，方准持证上岗。施工现场如出现特种作业无证操作现象时，项目经理必须承担管理责任。 </w:t>
      </w:r>
    </w:p>
    <w:p w14:paraId="3F8A5C1F">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6、对于易燃易爆的材料除应妥善保管之外，还应配备有足够的消防设施，所有施工人员都应熟悉消防设备的性能和使用方法；承包人不得将任何种类的爆炸物给予、易货或以其他方式转让给任何其他人，或允许、容忍上述同样行为。 </w:t>
      </w:r>
    </w:p>
    <w:p w14:paraId="40048722">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7、操作人员上岗，必须按规定穿戴防护用品。施工负责人和安全检查员应随时检查劳动防护用品的穿戴情况，不按规定穿戴防护用品的人员不得上岗。 </w:t>
      </w:r>
    </w:p>
    <w:p w14:paraId="14EDF787">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8、所有施工机具设备和高空作业的设备均应定期检查，并有安全员的签字记录，保证其经常处于完好状态；不合格的机具、设备和劳动保护用品严禁使用。 </w:t>
      </w:r>
    </w:p>
    <w:p w14:paraId="5CF01B72">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9、施工中采用新技术、新工艺、新设备、新材料时，必须制定相应的安全技术措施，施工现场必须具有相关的安全标志牌。</w:t>
      </w:r>
    </w:p>
    <w:p w14:paraId="7C386BBC">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10、承包人必须按照本工程项目特点，组织制定本工程实施中的安全生产事故应急救援预案；如果发生安全事故，应按照《国务院关于特大安全事故行政责任追究的规定》以及其他有关规定，及时上报有关部门，并坚持“三不放过”的原则，严肃处理相关责任人。 </w:t>
      </w:r>
    </w:p>
    <w:p w14:paraId="39380BEE">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11、根据国务院《建设工程安全生产管理条例》有关规定，承包人应当在施工组织设计中编制安全技术措施和施工现场临时用电方案，对基坑支护与降水工程；土方开挖工程；模板工程；起重吊装工程；脚手架工程；拆除、爆破工程等达到一定规模的危险性较大的分部分项工程编制专项施工方案，附具安全验算过程及结果，并应当组织专家进行论证、审查。经承包人技术负责人、总监理工程师签字并报发包人备案后实施，由承包人专职安全生产管理人员进行现场监督。 </w:t>
      </w:r>
    </w:p>
    <w:p w14:paraId="447F5BCC">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12、承包人对因建设工程施工可能造成损害的毗邻建筑物、构筑物、水下地下管线等，应当采取专项防护措施，并承担损害责任。 </w:t>
      </w:r>
    </w:p>
    <w:p w14:paraId="5FC4FE66">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三、违约责任 </w:t>
      </w:r>
    </w:p>
    <w:p w14:paraId="7C7185C5">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 xml:space="preserve">如因发包人或承包人违约造成安全事故，将依法追究责任。 </w:t>
      </w:r>
    </w:p>
    <w:p w14:paraId="2525B2B4">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四、其他 </w:t>
      </w:r>
    </w:p>
    <w:p w14:paraId="56615901">
      <w:pPr>
        <w:spacing w:line="360" w:lineRule="auto"/>
        <w:ind w:firstLine="480" w:firstLineChars="200"/>
        <w:rPr>
          <w:rFonts w:hint="eastAsia" w:eastAsia="仿宋_GB2312"/>
          <w:color w:val="auto"/>
          <w:sz w:val="24"/>
          <w:szCs w:val="24"/>
          <w:highlight w:val="none"/>
        </w:rPr>
      </w:pPr>
      <w:r>
        <w:rPr>
          <w:rFonts w:hint="eastAsia" w:eastAsia="仿宋_GB2312"/>
          <w:color w:val="auto"/>
          <w:sz w:val="24"/>
          <w:szCs w:val="24"/>
          <w:highlight w:val="none"/>
        </w:rPr>
        <w:t>本协议一式捌份，甲方执伍份，乙方执叁份，具有同等法律效力。由双方法定代表人或其授权的代理人签署与加盖公章后生效，全部工程竣工验收后失效。</w:t>
      </w:r>
    </w:p>
    <w:p w14:paraId="74FDA2BD">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 </w:t>
      </w:r>
    </w:p>
    <w:p w14:paraId="34D10FFB">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发 包 人：广东新华发行集团新兴新华书店有限公司（盖章） </w:t>
      </w:r>
    </w:p>
    <w:p w14:paraId="3DFB77D5">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法定代表人或其委托代理人：    年   月   日 </w:t>
      </w:r>
    </w:p>
    <w:p w14:paraId="05275899">
      <w:pPr>
        <w:spacing w:line="360" w:lineRule="auto"/>
        <w:rPr>
          <w:rFonts w:hint="eastAsia" w:eastAsia="仿宋_GB2312"/>
          <w:color w:val="auto"/>
          <w:sz w:val="24"/>
          <w:szCs w:val="24"/>
          <w:highlight w:val="none"/>
        </w:rPr>
      </w:pPr>
    </w:p>
    <w:p w14:paraId="612D1905">
      <w:pPr>
        <w:spacing w:line="360" w:lineRule="auto"/>
        <w:rPr>
          <w:rFonts w:hint="eastAsia" w:eastAsia="仿宋_GB2312"/>
          <w:color w:val="auto"/>
          <w:sz w:val="24"/>
          <w:szCs w:val="24"/>
          <w:highlight w:val="none"/>
        </w:rPr>
      </w:pPr>
      <w:r>
        <w:rPr>
          <w:rFonts w:hint="eastAsia" w:eastAsia="仿宋_GB2312"/>
          <w:color w:val="auto"/>
          <w:sz w:val="24"/>
          <w:szCs w:val="24"/>
          <w:highlight w:val="none"/>
        </w:rPr>
        <w:t xml:space="preserve">承 包 人：（盖章） </w:t>
      </w:r>
    </w:p>
    <w:p w14:paraId="7F0AB3AC">
      <w:pPr>
        <w:spacing w:line="360" w:lineRule="auto"/>
        <w:rPr>
          <w:rFonts w:hint="eastAsia" w:eastAsia="仿宋_GB2312"/>
          <w:color w:val="auto"/>
          <w:sz w:val="24"/>
          <w:szCs w:val="24"/>
          <w:highlight w:val="none"/>
        </w:rPr>
      </w:pPr>
      <w:r>
        <w:rPr>
          <w:rFonts w:hint="eastAsia" w:eastAsia="仿宋_GB2312"/>
          <w:color w:val="auto"/>
          <w:sz w:val="24"/>
          <w:szCs w:val="24"/>
          <w:highlight w:val="none"/>
        </w:rPr>
        <w:t>法定代表人或其委托代理人：    年   月   日</w:t>
      </w:r>
    </w:p>
    <w:p w14:paraId="584CD421">
      <w:pPr>
        <w:rPr>
          <w:rFonts w:hint="eastAsia" w:ascii="仿宋" w:hAnsi="仿宋" w:eastAsia="仿宋" w:cs="仿宋"/>
          <w:color w:val="auto"/>
          <w:sz w:val="24"/>
          <w:szCs w:val="24"/>
          <w:highlight w:val="none"/>
        </w:rPr>
      </w:pPr>
    </w:p>
    <w:p w14:paraId="17E9276E">
      <w:pPr>
        <w:rPr>
          <w:color w:val="auto"/>
          <w:sz w:val="18"/>
          <w:szCs w:val="20"/>
          <w:highlight w:val="none"/>
        </w:rPr>
      </w:pPr>
    </w:p>
    <w:sectPr>
      <w:footerReference r:id="rId11" w:type="default"/>
      <w:footerReference r:id="rId12" w:type="even"/>
      <w:pgSz w:w="11906" w:h="16838"/>
      <w:pgMar w:top="1134" w:right="1519" w:bottom="850" w:left="151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31D1F">
    <w:pPr>
      <w:pStyle w:val="14"/>
      <w:rPr>
        <w:rFonts w:eastAsia="仿宋_GB2312"/>
        <w:sz w:val="24"/>
      </w:rPr>
    </w:pPr>
    <w:r>
      <mc:AlternateContent>
        <mc:Choice Requires="wps">
          <w:drawing>
            <wp:anchor distT="0" distB="0" distL="114300" distR="114300" simplePos="0" relativeHeight="251661312" behindDoc="0" locked="0" layoutInCell="1" allowOverlap="1">
              <wp:simplePos x="0" y="0"/>
              <wp:positionH relativeFrom="margin">
                <wp:posOffset>2620010</wp:posOffset>
              </wp:positionH>
              <wp:positionV relativeFrom="paragraph">
                <wp:posOffset>0</wp:posOffset>
              </wp:positionV>
              <wp:extent cx="328930" cy="1504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28930" cy="150495"/>
                      </a:xfrm>
                      <a:prstGeom prst="rect">
                        <a:avLst/>
                      </a:prstGeom>
                      <a:noFill/>
                      <a:ln>
                        <a:noFill/>
                      </a:ln>
                      <a:effectLst/>
                    </wps:spPr>
                    <wps:txbx>
                      <w:txbxContent>
                        <w:p w14:paraId="7F660DFD">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wps:txbx>
                    <wps:bodyPr wrap="square" lIns="0" tIns="0" rIns="0" bIns="0" upright="0"/>
                  </wps:wsp>
                </a:graphicData>
              </a:graphic>
            </wp:anchor>
          </w:drawing>
        </mc:Choice>
        <mc:Fallback>
          <w:pict>
            <v:shape id="_x0000_s1026" o:spid="_x0000_s1026" o:spt="202" type="#_x0000_t202" style="position:absolute;left:0pt;margin-left:206.3pt;margin-top:0pt;height:11.85pt;width:25.9pt;mso-position-horizontal-relative:margin;z-index:251661312;mso-width-relative:page;mso-height-relative:page;" filled="f" stroked="f" coordsize="21600,21600" o:gfxdata="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1cCML1gAAAAcBAAAPAAAAAAAAAAEAIAAAACIAAABkcnMvZG93&#10;bnJldi54bWxQSwECFAAUAAAACACHTuJAnvj1lskBAACNAwAADgAAAAAAAAABACAAAAAlAQAAZHJz&#10;L2Uyb0RvYy54bWxQSwUGAAAAAAYABgBZAQAAYAUAAAAA&#10;">
              <v:fill on="f" focussize="0,0"/>
              <v:stroke on="f"/>
              <v:imagedata o:title=""/>
              <o:lock v:ext="edit" aspectratio="f"/>
              <v:textbox inset="0mm,0mm,0mm,0mm">
                <w:txbxContent>
                  <w:p w14:paraId="7F660DFD">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FE12F2">
                          <w:pPr>
                            <w:pStyle w:val="14"/>
                          </w:pPr>
                        </w:p>
                        <w:p w14:paraId="1DCC195C"/>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68FE12F2">
                    <w:pPr>
                      <w:pStyle w:val="14"/>
                    </w:pPr>
                  </w:p>
                  <w:p w14:paraId="1DCC195C"/>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E782D">
    <w:pPr>
      <w:jc w:val="left"/>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9D3CCF">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439D3CCF">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866DA8">
                          <w:pPr>
                            <w:jc w:val="left"/>
                          </w:pPr>
                        </w:p>
                        <w:p w14:paraId="00FC6B5F"/>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76866DA8">
                    <w:pPr>
                      <w:jc w:val="left"/>
                    </w:pPr>
                  </w:p>
                  <w:p w14:paraId="00FC6B5F"/>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77A7F">
    <w:pPr>
      <w:pStyle w:val="14"/>
      <w:jc w:val="center"/>
      <w:rPr>
        <w:rStyle w:val="21"/>
        <w:rFonts w:hint="eastAsia"/>
      </w:rPr>
    </w:pPr>
    <w:r>
      <w:rPr>
        <w:rStyle w:val="21"/>
        <w:rFonts w:ascii="宋体" w:hAnsi="宋体"/>
        <w:kern w:val="0"/>
        <w:szCs w:val="21"/>
      </w:rPr>
      <w:t xml:space="preserve">- </w:t>
    </w:r>
    <w:r>
      <w:rPr>
        <w:rFonts w:ascii="宋体" w:hAnsi="宋体"/>
        <w:kern w:val="0"/>
        <w:szCs w:val="21"/>
      </w:rPr>
      <w:fldChar w:fldCharType="begin"/>
    </w:r>
    <w:r>
      <w:rPr>
        <w:rStyle w:val="21"/>
        <w:rFonts w:ascii="宋体" w:hAnsi="宋体"/>
        <w:kern w:val="0"/>
        <w:szCs w:val="21"/>
      </w:rPr>
      <w:instrText xml:space="preserve"> PAGE </w:instrText>
    </w:r>
    <w:r>
      <w:rPr>
        <w:rFonts w:ascii="宋体" w:hAnsi="宋体"/>
        <w:kern w:val="0"/>
        <w:szCs w:val="21"/>
      </w:rPr>
      <w:fldChar w:fldCharType="separate"/>
    </w:r>
    <w:r>
      <w:rPr>
        <w:rStyle w:val="21"/>
        <w:rFonts w:ascii="宋体" w:hAnsi="宋体"/>
        <w:kern w:val="0"/>
        <w:szCs w:val="21"/>
      </w:rPr>
      <w:t>152</w:t>
    </w:r>
    <w:r>
      <w:rPr>
        <w:rFonts w:ascii="宋体" w:hAnsi="宋体"/>
        <w:kern w:val="0"/>
        <w:szCs w:val="21"/>
      </w:rPr>
      <w:fldChar w:fldCharType="end"/>
    </w:r>
    <w:r>
      <w:rPr>
        <w:rStyle w:val="21"/>
        <w:rFonts w:ascii="宋体" w:hAnsi="宋体"/>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E24ED">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0493F">
    <w:pPr>
      <w:pStyle w:val="14"/>
      <w:jc w:val="center"/>
    </w:pPr>
    <w:r>
      <w:fldChar w:fldCharType="begin"/>
    </w:r>
    <w:r>
      <w:instrText xml:space="preserve"> PAGE   \* MERGEFORMAT </w:instrText>
    </w:r>
    <w:r>
      <w:fldChar w:fldCharType="separate"/>
    </w:r>
    <w:r>
      <w:rPr>
        <w:lang w:val="zh-CN"/>
      </w:rPr>
      <w:t>-</w:t>
    </w:r>
    <w:r>
      <w:t xml:space="preserve"> 159 -</w:t>
    </w:r>
    <w:r>
      <w:fldChar w:fldCharType="end"/>
    </w:r>
  </w:p>
  <w:p w14:paraId="1EA1D198">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750B">
    <w:pPr>
      <w:pStyle w:val="14"/>
      <w:jc w:val="center"/>
      <w:rPr>
        <w:rStyle w:val="21"/>
        <w:rFonts w:hint="eastAsia"/>
      </w:rPr>
    </w:pPr>
    <w:r>
      <w:rPr>
        <w:rStyle w:val="21"/>
        <w:rFonts w:ascii="宋体" w:hAnsi="宋体"/>
        <w:kern w:val="0"/>
        <w:szCs w:val="21"/>
      </w:rPr>
      <w:t xml:space="preserve">- </w:t>
    </w:r>
    <w:r>
      <w:rPr>
        <w:rFonts w:ascii="宋体" w:hAnsi="宋体"/>
        <w:kern w:val="0"/>
        <w:szCs w:val="21"/>
      </w:rPr>
      <w:fldChar w:fldCharType="begin"/>
    </w:r>
    <w:r>
      <w:rPr>
        <w:rStyle w:val="21"/>
        <w:rFonts w:ascii="宋体" w:hAnsi="宋体"/>
        <w:kern w:val="0"/>
        <w:szCs w:val="21"/>
      </w:rPr>
      <w:instrText xml:space="preserve"> PAGE </w:instrText>
    </w:r>
    <w:r>
      <w:rPr>
        <w:rFonts w:ascii="宋体" w:hAnsi="宋体"/>
        <w:kern w:val="0"/>
        <w:szCs w:val="21"/>
      </w:rPr>
      <w:fldChar w:fldCharType="separate"/>
    </w:r>
    <w:r>
      <w:rPr>
        <w:rStyle w:val="21"/>
        <w:rFonts w:ascii="宋体" w:hAnsi="宋体"/>
        <w:kern w:val="0"/>
        <w:szCs w:val="21"/>
      </w:rPr>
      <w:t>370</w:t>
    </w:r>
    <w:r>
      <w:rPr>
        <w:rFonts w:ascii="宋体" w:hAnsi="宋体"/>
        <w:kern w:val="0"/>
        <w:szCs w:val="21"/>
      </w:rPr>
      <w:fldChar w:fldCharType="end"/>
    </w:r>
    <w:r>
      <w:rPr>
        <w:rStyle w:val="21"/>
        <w:rFonts w:ascii="宋体" w:hAnsi="宋体"/>
        <w:kern w:val="0"/>
        <w:szCs w:val="2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4146">
    <w:pPr>
      <w:pStyle w:val="14"/>
      <w:ind w:right="180"/>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w:t>
    </w:r>
    <w:r>
      <w:rPr>
        <w:rFonts w:ascii="宋体" w:hAnsi="宋体"/>
      </w:rPr>
      <w:t xml:space="preserve"> 182 -</w:t>
    </w:r>
    <w:r>
      <w:rPr>
        <w:rFonts w:ascii="宋体" w:hAnsi="宋体"/>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5398">
    <w:pPr>
      <w:pStyle w:val="14"/>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1404D">
    <w:pPr>
      <w:pStyle w:val="15"/>
      <w:pBdr>
        <w:bottom w:val="none" w:color="auto" w:sz="0" w:space="0"/>
      </w:pBdr>
      <w:wordWrap w:val="0"/>
      <w:jc w:val="righ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0CA93">
    <w:pPr>
      <w:pStyle w:val="15"/>
      <w:pBdr>
        <w:bottom w:val="none" w:color="auto" w:sz="0" w:space="0"/>
      </w:pBdr>
      <w:wordWrap w:val="0"/>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64515"/>
    <w:multiLevelType w:val="singleLevel"/>
    <w:tmpl w:val="AB964515"/>
    <w:lvl w:ilvl="0" w:tentative="0">
      <w:start w:val="1"/>
      <w:numFmt w:val="decimal"/>
      <w:suff w:val="nothing"/>
      <w:lvlText w:val="（%1）"/>
      <w:lvlJc w:val="left"/>
    </w:lvl>
  </w:abstractNum>
  <w:abstractNum w:abstractNumId="1">
    <w:nsid w:val="C6B0B3D2"/>
    <w:multiLevelType w:val="singleLevel"/>
    <w:tmpl w:val="C6B0B3D2"/>
    <w:lvl w:ilvl="0" w:tentative="0">
      <w:start w:val="1"/>
      <w:numFmt w:val="decimal"/>
      <w:suff w:val="nothing"/>
      <w:lvlText w:val="（%1）"/>
      <w:lvlJc w:val="left"/>
    </w:lvl>
  </w:abstractNum>
  <w:abstractNum w:abstractNumId="2">
    <w:nsid w:val="CAAF3127"/>
    <w:multiLevelType w:val="singleLevel"/>
    <w:tmpl w:val="CAAF3127"/>
    <w:lvl w:ilvl="0" w:tentative="0">
      <w:start w:val="22"/>
      <w:numFmt w:val="decimal"/>
      <w:suff w:val="space"/>
      <w:lvlText w:val="%1."/>
      <w:lvlJc w:val="left"/>
    </w:lvl>
  </w:abstractNum>
  <w:abstractNum w:abstractNumId="3">
    <w:nsid w:val="CF6CB500"/>
    <w:multiLevelType w:val="singleLevel"/>
    <w:tmpl w:val="CF6CB500"/>
    <w:lvl w:ilvl="0" w:tentative="0">
      <w:start w:val="3"/>
      <w:numFmt w:val="decimal"/>
      <w:suff w:val="nothing"/>
      <w:lvlText w:val="（%1）"/>
      <w:lvlJc w:val="left"/>
    </w:lvl>
  </w:abstractNum>
  <w:abstractNum w:abstractNumId="4">
    <w:nsid w:val="D5251B61"/>
    <w:multiLevelType w:val="singleLevel"/>
    <w:tmpl w:val="D5251B61"/>
    <w:lvl w:ilvl="0" w:tentative="0">
      <w:start w:val="1"/>
      <w:numFmt w:val="decimal"/>
      <w:suff w:val="nothing"/>
      <w:lvlText w:val="（%1）"/>
      <w:lvlJc w:val="left"/>
    </w:lvl>
  </w:abstractNum>
  <w:abstractNum w:abstractNumId="5">
    <w:nsid w:val="E82D52D4"/>
    <w:multiLevelType w:val="singleLevel"/>
    <w:tmpl w:val="E82D52D4"/>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8DE03F5"/>
    <w:multiLevelType w:val="singleLevel"/>
    <w:tmpl w:val="08DE03F5"/>
    <w:lvl w:ilvl="0" w:tentative="0">
      <w:start w:val="5"/>
      <w:numFmt w:val="decimal"/>
      <w:suff w:val="nothing"/>
      <w:lvlText w:val="（%1）"/>
      <w:lvlJc w:val="left"/>
    </w:lvl>
  </w:abstractNum>
  <w:abstractNum w:abstractNumId="8">
    <w:nsid w:val="3D209D00"/>
    <w:multiLevelType w:val="singleLevel"/>
    <w:tmpl w:val="3D209D00"/>
    <w:lvl w:ilvl="0" w:tentative="0">
      <w:start w:val="1"/>
      <w:numFmt w:val="decimal"/>
      <w:suff w:val="nothing"/>
      <w:lvlText w:val="（%1）"/>
      <w:lvlJc w:val="left"/>
    </w:lvl>
  </w:abstractNum>
  <w:num w:numId="1">
    <w:abstractNumId w:val="3"/>
  </w:num>
  <w:num w:numId="2">
    <w:abstractNumId w:val="8"/>
  </w:num>
  <w:num w:numId="3">
    <w:abstractNumId w:val="6"/>
  </w:num>
  <w:num w:numId="4">
    <w:abstractNumId w:val="0"/>
  </w:num>
  <w:num w:numId="5">
    <w:abstractNumId w:val="4"/>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NWNlMDJkOWYxMWRjNWU2YTNhNjU2MmU3NTcwOWQifQ=="/>
  </w:docVars>
  <w:rsids>
    <w:rsidRoot w:val="0065641E"/>
    <w:rsid w:val="00011490"/>
    <w:rsid w:val="00011891"/>
    <w:rsid w:val="00020276"/>
    <w:rsid w:val="00021E32"/>
    <w:rsid w:val="00075EE8"/>
    <w:rsid w:val="00081EF3"/>
    <w:rsid w:val="00085152"/>
    <w:rsid w:val="000A2D4F"/>
    <w:rsid w:val="000D232A"/>
    <w:rsid w:val="000D6180"/>
    <w:rsid w:val="000D79C3"/>
    <w:rsid w:val="000E69BC"/>
    <w:rsid w:val="000E69EE"/>
    <w:rsid w:val="0010419E"/>
    <w:rsid w:val="001408B1"/>
    <w:rsid w:val="00146A91"/>
    <w:rsid w:val="00155E68"/>
    <w:rsid w:val="00173862"/>
    <w:rsid w:val="00184A99"/>
    <w:rsid w:val="001C2B62"/>
    <w:rsid w:val="001C58B8"/>
    <w:rsid w:val="001E6089"/>
    <w:rsid w:val="001F4B95"/>
    <w:rsid w:val="00217040"/>
    <w:rsid w:val="00232A94"/>
    <w:rsid w:val="00257E66"/>
    <w:rsid w:val="00263793"/>
    <w:rsid w:val="0026689B"/>
    <w:rsid w:val="00277CC8"/>
    <w:rsid w:val="00282CCA"/>
    <w:rsid w:val="00291F75"/>
    <w:rsid w:val="002C4134"/>
    <w:rsid w:val="002D5F1E"/>
    <w:rsid w:val="002D68B0"/>
    <w:rsid w:val="003000CE"/>
    <w:rsid w:val="0030121F"/>
    <w:rsid w:val="003576C2"/>
    <w:rsid w:val="003956F0"/>
    <w:rsid w:val="00396368"/>
    <w:rsid w:val="003B37AD"/>
    <w:rsid w:val="003B6696"/>
    <w:rsid w:val="003D114A"/>
    <w:rsid w:val="003D5DE0"/>
    <w:rsid w:val="003E136E"/>
    <w:rsid w:val="003E3361"/>
    <w:rsid w:val="00404B9B"/>
    <w:rsid w:val="00412AB7"/>
    <w:rsid w:val="00443383"/>
    <w:rsid w:val="00476D4E"/>
    <w:rsid w:val="0049499A"/>
    <w:rsid w:val="004A0CA6"/>
    <w:rsid w:val="004C39B8"/>
    <w:rsid w:val="00523502"/>
    <w:rsid w:val="0053718F"/>
    <w:rsid w:val="00561EB3"/>
    <w:rsid w:val="00562EEE"/>
    <w:rsid w:val="0058079B"/>
    <w:rsid w:val="005A358A"/>
    <w:rsid w:val="005B694A"/>
    <w:rsid w:val="005C5429"/>
    <w:rsid w:val="005C6906"/>
    <w:rsid w:val="005D6FC6"/>
    <w:rsid w:val="005F6BD3"/>
    <w:rsid w:val="00603EF8"/>
    <w:rsid w:val="006055EA"/>
    <w:rsid w:val="00645418"/>
    <w:rsid w:val="00650352"/>
    <w:rsid w:val="006506C7"/>
    <w:rsid w:val="0065641E"/>
    <w:rsid w:val="0069112D"/>
    <w:rsid w:val="00691F4E"/>
    <w:rsid w:val="006924B9"/>
    <w:rsid w:val="00692E45"/>
    <w:rsid w:val="006C2452"/>
    <w:rsid w:val="006C2CAE"/>
    <w:rsid w:val="006E0BA1"/>
    <w:rsid w:val="006F551A"/>
    <w:rsid w:val="0070491F"/>
    <w:rsid w:val="0071098D"/>
    <w:rsid w:val="00713265"/>
    <w:rsid w:val="00717B28"/>
    <w:rsid w:val="00736106"/>
    <w:rsid w:val="007436FD"/>
    <w:rsid w:val="00783A13"/>
    <w:rsid w:val="007854A7"/>
    <w:rsid w:val="007A68D9"/>
    <w:rsid w:val="007D7118"/>
    <w:rsid w:val="008208AA"/>
    <w:rsid w:val="0083353F"/>
    <w:rsid w:val="00845419"/>
    <w:rsid w:val="008513DF"/>
    <w:rsid w:val="00874C27"/>
    <w:rsid w:val="00882106"/>
    <w:rsid w:val="00897D48"/>
    <w:rsid w:val="008A3123"/>
    <w:rsid w:val="008A4E89"/>
    <w:rsid w:val="008C311A"/>
    <w:rsid w:val="008C6934"/>
    <w:rsid w:val="008D122F"/>
    <w:rsid w:val="00967A23"/>
    <w:rsid w:val="00977344"/>
    <w:rsid w:val="00977D44"/>
    <w:rsid w:val="00985508"/>
    <w:rsid w:val="009B21D5"/>
    <w:rsid w:val="009C55E7"/>
    <w:rsid w:val="009E5DEF"/>
    <w:rsid w:val="009F57D4"/>
    <w:rsid w:val="009F6EC7"/>
    <w:rsid w:val="00A27461"/>
    <w:rsid w:val="00A637F9"/>
    <w:rsid w:val="00A6508E"/>
    <w:rsid w:val="00A755D4"/>
    <w:rsid w:val="00A9135A"/>
    <w:rsid w:val="00AB1348"/>
    <w:rsid w:val="00AC54A8"/>
    <w:rsid w:val="00AE5E6B"/>
    <w:rsid w:val="00B06121"/>
    <w:rsid w:val="00B3212D"/>
    <w:rsid w:val="00B465D7"/>
    <w:rsid w:val="00B56155"/>
    <w:rsid w:val="00B82C00"/>
    <w:rsid w:val="00B87891"/>
    <w:rsid w:val="00BA0F67"/>
    <w:rsid w:val="00BC04ED"/>
    <w:rsid w:val="00BE2771"/>
    <w:rsid w:val="00BE4F7B"/>
    <w:rsid w:val="00C45370"/>
    <w:rsid w:val="00C52C90"/>
    <w:rsid w:val="00C67041"/>
    <w:rsid w:val="00C86233"/>
    <w:rsid w:val="00CA09C6"/>
    <w:rsid w:val="00CA53A0"/>
    <w:rsid w:val="00CE3C94"/>
    <w:rsid w:val="00CF13CF"/>
    <w:rsid w:val="00CF2597"/>
    <w:rsid w:val="00D02FF6"/>
    <w:rsid w:val="00D04723"/>
    <w:rsid w:val="00D21615"/>
    <w:rsid w:val="00D50535"/>
    <w:rsid w:val="00D55739"/>
    <w:rsid w:val="00D822FC"/>
    <w:rsid w:val="00D97D97"/>
    <w:rsid w:val="00DB4648"/>
    <w:rsid w:val="00DD2E40"/>
    <w:rsid w:val="00DE6654"/>
    <w:rsid w:val="00E55A46"/>
    <w:rsid w:val="00E619C8"/>
    <w:rsid w:val="00E67A80"/>
    <w:rsid w:val="00E735A6"/>
    <w:rsid w:val="00E90EAF"/>
    <w:rsid w:val="00E9549C"/>
    <w:rsid w:val="00EB7C93"/>
    <w:rsid w:val="00EC3742"/>
    <w:rsid w:val="00ED58A7"/>
    <w:rsid w:val="00EE4A6E"/>
    <w:rsid w:val="00F200ED"/>
    <w:rsid w:val="00F227D9"/>
    <w:rsid w:val="00F2441A"/>
    <w:rsid w:val="00F3613B"/>
    <w:rsid w:val="00F53456"/>
    <w:rsid w:val="00F6321A"/>
    <w:rsid w:val="00F67710"/>
    <w:rsid w:val="00F7414B"/>
    <w:rsid w:val="00F94700"/>
    <w:rsid w:val="00FB1DD4"/>
    <w:rsid w:val="00FF56E9"/>
    <w:rsid w:val="026E26E6"/>
    <w:rsid w:val="039D3F59"/>
    <w:rsid w:val="04CD246B"/>
    <w:rsid w:val="055204AE"/>
    <w:rsid w:val="062E7842"/>
    <w:rsid w:val="0A120FC3"/>
    <w:rsid w:val="0CDC1D4C"/>
    <w:rsid w:val="0D921D8F"/>
    <w:rsid w:val="0DD04355"/>
    <w:rsid w:val="0E25335F"/>
    <w:rsid w:val="0E3362F9"/>
    <w:rsid w:val="0EA9658B"/>
    <w:rsid w:val="0EAB42C2"/>
    <w:rsid w:val="103140C4"/>
    <w:rsid w:val="1091129E"/>
    <w:rsid w:val="120E10B7"/>
    <w:rsid w:val="13054DB2"/>
    <w:rsid w:val="1347361C"/>
    <w:rsid w:val="14203D7A"/>
    <w:rsid w:val="14213608"/>
    <w:rsid w:val="15735109"/>
    <w:rsid w:val="172D56FD"/>
    <w:rsid w:val="17CC331A"/>
    <w:rsid w:val="17E11487"/>
    <w:rsid w:val="189E1D70"/>
    <w:rsid w:val="197C05A5"/>
    <w:rsid w:val="1AB447DD"/>
    <w:rsid w:val="1C180863"/>
    <w:rsid w:val="1C297771"/>
    <w:rsid w:val="1CB55E09"/>
    <w:rsid w:val="1E1C0A43"/>
    <w:rsid w:val="21DC57A2"/>
    <w:rsid w:val="23AE0F34"/>
    <w:rsid w:val="23D507D0"/>
    <w:rsid w:val="24D07BED"/>
    <w:rsid w:val="25583467"/>
    <w:rsid w:val="25A95A70"/>
    <w:rsid w:val="26B57267"/>
    <w:rsid w:val="29485267"/>
    <w:rsid w:val="2A9A01BB"/>
    <w:rsid w:val="2C0A3896"/>
    <w:rsid w:val="2EF8026A"/>
    <w:rsid w:val="2F5479AC"/>
    <w:rsid w:val="2F7A15B6"/>
    <w:rsid w:val="2FEB5093"/>
    <w:rsid w:val="31B302F8"/>
    <w:rsid w:val="340631B4"/>
    <w:rsid w:val="3511155A"/>
    <w:rsid w:val="364E642C"/>
    <w:rsid w:val="374634B3"/>
    <w:rsid w:val="37667AB6"/>
    <w:rsid w:val="3B65123A"/>
    <w:rsid w:val="3B7B7B18"/>
    <w:rsid w:val="3BA63AB0"/>
    <w:rsid w:val="3D653DA1"/>
    <w:rsid w:val="3DA16170"/>
    <w:rsid w:val="3FC96FE3"/>
    <w:rsid w:val="40B96E44"/>
    <w:rsid w:val="43A52F43"/>
    <w:rsid w:val="43C10182"/>
    <w:rsid w:val="46535C4E"/>
    <w:rsid w:val="47355BD6"/>
    <w:rsid w:val="48B1542F"/>
    <w:rsid w:val="495F3FDF"/>
    <w:rsid w:val="4B067B4F"/>
    <w:rsid w:val="4E293A39"/>
    <w:rsid w:val="4E430F75"/>
    <w:rsid w:val="4F183106"/>
    <w:rsid w:val="50BC3625"/>
    <w:rsid w:val="50EF3A1C"/>
    <w:rsid w:val="52573282"/>
    <w:rsid w:val="53955EE4"/>
    <w:rsid w:val="543224A5"/>
    <w:rsid w:val="54B06FBE"/>
    <w:rsid w:val="54EC762A"/>
    <w:rsid w:val="55D75B57"/>
    <w:rsid w:val="5E4F2127"/>
    <w:rsid w:val="5E653417"/>
    <w:rsid w:val="5F502B99"/>
    <w:rsid w:val="60650E22"/>
    <w:rsid w:val="61ED6709"/>
    <w:rsid w:val="62C50A10"/>
    <w:rsid w:val="62E73AEA"/>
    <w:rsid w:val="633315C4"/>
    <w:rsid w:val="6583196E"/>
    <w:rsid w:val="66D71736"/>
    <w:rsid w:val="66FB3236"/>
    <w:rsid w:val="6B4461D2"/>
    <w:rsid w:val="6B4F40DC"/>
    <w:rsid w:val="6CA25A8F"/>
    <w:rsid w:val="6DEC1E55"/>
    <w:rsid w:val="6F13310B"/>
    <w:rsid w:val="6F6C2F25"/>
    <w:rsid w:val="70627894"/>
    <w:rsid w:val="728D742F"/>
    <w:rsid w:val="72E35D09"/>
    <w:rsid w:val="73AF7162"/>
    <w:rsid w:val="747C0F1D"/>
    <w:rsid w:val="748E3CCA"/>
    <w:rsid w:val="74DF1EE2"/>
    <w:rsid w:val="75423177"/>
    <w:rsid w:val="76F25273"/>
    <w:rsid w:val="792215D6"/>
    <w:rsid w:val="7B834C38"/>
    <w:rsid w:val="7FE521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4"/>
    <w:qFormat/>
    <w:uiPriority w:val="0"/>
    <w:pPr>
      <w:keepNext/>
      <w:keepLines/>
      <w:spacing w:before="260" w:beforeLines="0" w:after="260" w:afterLines="0" w:line="413" w:lineRule="auto"/>
      <w:outlineLvl w:val="1"/>
    </w:pPr>
    <w:rPr>
      <w:rFonts w:ascii="Cambria" w:hAnsi="Cambria"/>
      <w:b/>
      <w:bCs/>
      <w:sz w:val="32"/>
      <w:szCs w:val="32"/>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paragraph" w:styleId="7">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20">
    <w:name w:val="Default Paragraph Font"/>
    <w:semiHidden/>
    <w:qFormat/>
    <w:uiPriority w:val="0"/>
  </w:style>
  <w:style w:type="table" w:default="1" w:styleId="18">
    <w:name w:val="Normal Table"/>
    <w:semiHidden/>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rFonts w:ascii="Times New Roman" w:hAnsi="Times New Roman"/>
      <w:kern w:val="0"/>
      <w:sz w:val="24"/>
      <w:szCs w:val="20"/>
    </w:rPr>
  </w:style>
  <w:style w:type="paragraph" w:styleId="8">
    <w:name w:val="annotation text"/>
    <w:basedOn w:val="1"/>
    <w:semiHidden/>
    <w:qFormat/>
    <w:uiPriority w:val="0"/>
    <w:pPr>
      <w:jc w:val="left"/>
    </w:pPr>
  </w:style>
  <w:style w:type="paragraph" w:styleId="9">
    <w:name w:val="Body Text"/>
    <w:basedOn w:val="1"/>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10">
    <w:name w:val="toc 5"/>
    <w:basedOn w:val="1"/>
    <w:next w:val="1"/>
    <w:uiPriority w:val="0"/>
    <w:pPr>
      <w:tabs>
        <w:tab w:val="right" w:leader="dot" w:pos="8296"/>
      </w:tabs>
      <w:ind w:left="1050" w:leftChars="500"/>
    </w:pPr>
  </w:style>
  <w:style w:type="paragraph" w:styleId="11">
    <w:name w:val="toc 3"/>
    <w:basedOn w:val="1"/>
    <w:next w:val="1"/>
    <w:qFormat/>
    <w:uiPriority w:val="0"/>
    <w:pPr>
      <w:ind w:left="840" w:leftChars="400"/>
    </w:pPr>
  </w:style>
  <w:style w:type="paragraph" w:styleId="12">
    <w:name w:val="Plain Text"/>
    <w:basedOn w:val="1"/>
    <w:next w:val="1"/>
    <w:link w:val="24"/>
    <w:unhideWhenUsed/>
    <w:qFormat/>
    <w:uiPriority w:val="99"/>
    <w:rPr>
      <w:rFonts w:ascii="宋体" w:hAnsi="Courier New"/>
      <w:kern w:val="0"/>
      <w:sz w:val="20"/>
      <w:szCs w:val="20"/>
    </w:rPr>
  </w:style>
  <w:style w:type="paragraph" w:styleId="13">
    <w:name w:val="Balloon Text"/>
    <w:basedOn w:val="1"/>
    <w:link w:val="25"/>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4"/>
    <w:basedOn w:val="1"/>
    <w:next w:val="1"/>
    <w:qFormat/>
    <w:uiPriority w:val="0"/>
    <w:pPr>
      <w:tabs>
        <w:tab w:val="left" w:pos="1890"/>
        <w:tab w:val="right" w:leader="dot" w:pos="8296"/>
      </w:tabs>
      <w:ind w:left="630" w:leftChars="300"/>
    </w:pPr>
  </w:style>
  <w:style w:type="paragraph" w:styleId="17">
    <w:name w:val="annotation subject"/>
    <w:basedOn w:val="8"/>
    <w:next w:val="8"/>
    <w:semiHidden/>
    <w:qFormat/>
    <w:uiPriority w:val="0"/>
    <w:rPr>
      <w:b/>
      <w:bCs/>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qFormat/>
    <w:uiPriority w:val="0"/>
    <w:rPr>
      <w:rFonts w:cs="Times New Roman"/>
    </w:rPr>
  </w:style>
  <w:style w:type="character" w:styleId="22">
    <w:name w:val="Hyperlink"/>
    <w:qFormat/>
    <w:uiPriority w:val="0"/>
    <w:rPr>
      <w:rFonts w:cs="Times New Roman"/>
      <w:color w:val="0000FF"/>
      <w:u w:val="single"/>
    </w:rPr>
  </w:style>
  <w:style w:type="character" w:styleId="23">
    <w:name w:val="annotation reference"/>
    <w:qFormat/>
    <w:uiPriority w:val="0"/>
    <w:rPr>
      <w:rFonts w:cs="Times New Roman"/>
      <w:sz w:val="21"/>
      <w:szCs w:val="21"/>
    </w:rPr>
  </w:style>
  <w:style w:type="character" w:customStyle="1" w:styleId="24">
    <w:name w:val="纯文本 Char"/>
    <w:link w:val="12"/>
    <w:qFormat/>
    <w:uiPriority w:val="99"/>
    <w:rPr>
      <w:rFonts w:ascii="宋体" w:hAnsi="Courier New"/>
    </w:rPr>
  </w:style>
  <w:style w:type="character" w:customStyle="1" w:styleId="25">
    <w:name w:val="批注框文本 Char"/>
    <w:link w:val="13"/>
    <w:qFormat/>
    <w:uiPriority w:val="0"/>
    <w:rPr>
      <w:kern w:val="2"/>
      <w:sz w:val="18"/>
      <w:szCs w:val="18"/>
    </w:rPr>
  </w:style>
  <w:style w:type="paragraph" w:styleId="26">
    <w:name w:val="List Paragraph"/>
    <w:basedOn w:val="1"/>
    <w:qFormat/>
    <w:uiPriority w:val="34"/>
    <w:pPr>
      <w:ind w:firstLine="420" w:firstLineChars="200"/>
    </w:pPr>
  </w:style>
  <w:style w:type="paragraph" w:customStyle="1" w:styleId="27">
    <w:name w:val="_Style 7"/>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185</Pages>
  <Words>132948</Words>
  <Characters>138777</Characters>
  <Lines>1054</Lines>
  <Paragraphs>296</Paragraphs>
  <TotalTime>55</TotalTime>
  <ScaleCrop>false</ScaleCrop>
  <LinksUpToDate>false</LinksUpToDate>
  <CharactersWithSpaces>141690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2020-09-22T01:02:00Z</dcterms:created>
  <dc:creator>a</dc:creator>
  <cp:lastModifiedBy>brian</cp:lastModifiedBy>
  <cp:lastPrinted>2021-01-05T01:05:00Z</cp:lastPrinted>
  <dcterms:modified xsi:type="dcterms:W3CDTF">2024-10-14T03:13:22Z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062DD514DDAD4564BA21F4E16BA4055D_13</vt:lpwstr>
  </property>
</Properties>
</file>