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snapToGrid w:val="0"/>
        <w:spacing w:before="0" w:line="360" w:lineRule="auto"/>
        <w:ind w:left="0" w:right="0"/>
        <w:rPr>
          <w:color w:val="auto"/>
          <w:sz w:val="32"/>
          <w:szCs w:val="32"/>
          <w:highlight w:val="none"/>
        </w:rPr>
      </w:pPr>
      <w:bookmarkStart w:id="0" w:name="_Toc11301"/>
      <w:r>
        <w:rPr>
          <w:color w:val="auto"/>
          <w:sz w:val="32"/>
          <w:szCs w:val="32"/>
          <w:highlight w:val="none"/>
        </w:rPr>
        <w:t>评标办法（双信封的技术评分最低标价法）</w:t>
      </w:r>
      <w:bookmarkEnd w:id="0"/>
    </w:p>
    <w:p>
      <w:pPr>
        <w:pStyle w:val="5"/>
        <w:rPr>
          <w:color w:val="auto"/>
          <w:szCs w:val="24"/>
          <w:highlight w:val="none"/>
          <w:vertAlign w:val="superscript"/>
        </w:rPr>
      </w:pPr>
      <w:bookmarkStart w:id="1" w:name="_TOC_250247"/>
      <w:bookmarkEnd w:id="1"/>
      <w:bookmarkStart w:id="2" w:name="_Toc513216148"/>
      <w:r>
        <w:rPr>
          <w:color w:val="auto"/>
          <w:szCs w:val="24"/>
          <w:highlight w:val="none"/>
        </w:rPr>
        <w:t>评标办法前附表</w:t>
      </w:r>
      <w:bookmarkEnd w:id="2"/>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60" w:type="dxa"/>
            <w:gridSpan w:val="2"/>
            <w:noWrap w:val="0"/>
            <w:vAlign w:val="center"/>
          </w:tcPr>
          <w:p>
            <w:pPr>
              <w:spacing w:line="400" w:lineRule="exact"/>
              <w:jc w:val="center"/>
              <w:rPr>
                <w:b/>
                <w:color w:val="auto"/>
                <w:szCs w:val="21"/>
                <w:highlight w:val="none"/>
              </w:rPr>
            </w:pPr>
            <w:r>
              <w:rPr>
                <w:b/>
                <w:color w:val="auto"/>
                <w:szCs w:val="21"/>
                <w:highlight w:val="none"/>
              </w:rPr>
              <w:t>条款号</w:t>
            </w:r>
          </w:p>
        </w:tc>
        <w:tc>
          <w:tcPr>
            <w:tcW w:w="7800" w:type="dxa"/>
            <w:noWrap w:val="0"/>
            <w:vAlign w:val="center"/>
          </w:tcPr>
          <w:p>
            <w:pPr>
              <w:spacing w:line="400" w:lineRule="exact"/>
              <w:jc w:val="center"/>
              <w:rPr>
                <w:b/>
                <w:color w:val="auto"/>
                <w:szCs w:val="21"/>
                <w:highlight w:val="none"/>
              </w:rPr>
            </w:pPr>
            <w:r>
              <w:rPr>
                <w:b/>
                <w:color w:val="auto"/>
                <w:szCs w:val="21"/>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851" w:type="dxa"/>
            <w:noWrap w:val="0"/>
            <w:vAlign w:val="center"/>
          </w:tcPr>
          <w:p>
            <w:pPr>
              <w:spacing w:line="400" w:lineRule="exact"/>
              <w:jc w:val="center"/>
              <w:rPr>
                <w:bCs/>
                <w:color w:val="auto"/>
                <w:szCs w:val="21"/>
                <w:highlight w:val="none"/>
              </w:rPr>
            </w:pPr>
            <w:r>
              <w:rPr>
                <w:rFonts w:hint="eastAsia"/>
                <w:bCs/>
                <w:color w:val="auto"/>
                <w:szCs w:val="21"/>
                <w:highlight w:val="none"/>
              </w:rPr>
              <w:t>1</w:t>
            </w:r>
          </w:p>
        </w:tc>
        <w:tc>
          <w:tcPr>
            <w:tcW w:w="709" w:type="dxa"/>
            <w:noWrap w:val="0"/>
            <w:vAlign w:val="center"/>
          </w:tcPr>
          <w:p>
            <w:pPr>
              <w:spacing w:line="400" w:lineRule="exact"/>
              <w:jc w:val="center"/>
              <w:rPr>
                <w:bCs/>
                <w:color w:val="auto"/>
                <w:szCs w:val="21"/>
                <w:highlight w:val="none"/>
              </w:rPr>
            </w:pPr>
            <w:r>
              <w:rPr>
                <w:rFonts w:hint="eastAsia"/>
                <w:bCs/>
                <w:color w:val="auto"/>
                <w:szCs w:val="21"/>
                <w:highlight w:val="none"/>
              </w:rPr>
              <w:t>评标方法</w:t>
            </w:r>
          </w:p>
        </w:tc>
        <w:tc>
          <w:tcPr>
            <w:tcW w:w="7800" w:type="dxa"/>
            <w:noWrap w:val="0"/>
            <w:vAlign w:val="center"/>
          </w:tcPr>
          <w:p>
            <w:pPr>
              <w:keepNext w:val="0"/>
              <w:keepLines w:val="0"/>
              <w:suppressLineNumbers w:val="0"/>
              <w:spacing w:before="0" w:beforeAutospacing="0" w:after="0" w:afterAutospacing="0" w:line="380" w:lineRule="exact"/>
              <w:ind w:left="0" w:right="0" w:firstLine="330" w:firstLineChars="150"/>
              <w:rPr>
                <w:rFonts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评标价相等时,评标委员会依次按照以下优先顺序推荐中标候选人或确定中标人：</w:t>
            </w:r>
          </w:p>
          <w:p>
            <w:pPr>
              <w:keepNext w:val="0"/>
              <w:keepLines w:val="0"/>
              <w:suppressLineNumbers w:val="0"/>
              <w:spacing w:before="0" w:beforeAutospacing="0" w:after="0" w:afterAutospacing="0" w:line="380" w:lineRule="exact"/>
              <w:ind w:left="0" w:right="0" w:firstLine="330" w:firstLineChars="150"/>
              <w:rPr>
                <w:rFonts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被广东省交通运输厅最新年度评为较高信用等级的投标人优先;【采用如下的优先顺序:承诺使用的AA级投标人、不承诺使用的AA级投标人、承诺使用的A级投标人、不承诺使用的A级投标人、B级投标人、未参评且被确定为B级投标人】</w:t>
            </w:r>
          </w:p>
          <w:p>
            <w:pPr>
              <w:keepNext w:val="0"/>
              <w:keepLines w:val="0"/>
              <w:suppressLineNumbers w:val="0"/>
              <w:spacing w:before="0" w:beforeAutospacing="0" w:after="0" w:afterAutospacing="0" w:line="380" w:lineRule="exact"/>
              <w:ind w:left="0" w:right="0" w:firstLine="330" w:firstLineChars="150"/>
              <w:rPr>
                <w:rFonts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(2)以投标人企业最新年度净资产较高的优先；</w:t>
            </w:r>
          </w:p>
          <w:p>
            <w:pPr>
              <w:spacing w:line="380" w:lineRule="exact"/>
              <w:ind w:firstLine="390"/>
              <w:rPr>
                <w:b/>
                <w:color w:val="auto"/>
                <w:szCs w:val="21"/>
                <w:highlight w:val="none"/>
              </w:rPr>
            </w:pPr>
            <w:r>
              <w:rPr>
                <w:rFonts w:hint="eastAsia" w:ascii="宋体" w:hAnsi="宋体" w:eastAsia="宋体" w:cs="宋体"/>
                <w:color w:val="auto"/>
                <w:kern w:val="2"/>
                <w:sz w:val="22"/>
                <w:szCs w:val="22"/>
                <w:highlight w:val="none"/>
              </w:rPr>
              <w:t>(3)评标委员会视投标人情况综合比较,投票确定其名次。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851" w:type="dxa"/>
            <w:noWrap w:val="0"/>
            <w:vAlign w:val="center"/>
          </w:tcPr>
          <w:p>
            <w:pPr>
              <w:spacing w:line="400" w:lineRule="exact"/>
              <w:jc w:val="center"/>
              <w:rPr>
                <w:color w:val="auto"/>
                <w:szCs w:val="21"/>
                <w:highlight w:val="none"/>
              </w:rPr>
            </w:pPr>
            <w:r>
              <w:rPr>
                <w:color w:val="auto"/>
                <w:szCs w:val="21"/>
                <w:highlight w:val="none"/>
              </w:rPr>
              <w:t>2.1.1</w:t>
            </w:r>
          </w:p>
          <w:p>
            <w:pPr>
              <w:spacing w:line="400" w:lineRule="exact"/>
              <w:jc w:val="center"/>
              <w:rPr>
                <w:color w:val="auto"/>
                <w:szCs w:val="21"/>
                <w:highlight w:val="none"/>
              </w:rPr>
            </w:pPr>
            <w:r>
              <w:rPr>
                <w:color w:val="auto"/>
                <w:szCs w:val="21"/>
                <w:highlight w:val="none"/>
              </w:rPr>
              <w:t>2.1.3</w:t>
            </w:r>
          </w:p>
        </w:tc>
        <w:tc>
          <w:tcPr>
            <w:tcW w:w="709" w:type="dxa"/>
            <w:noWrap w:val="0"/>
            <w:vAlign w:val="center"/>
          </w:tcPr>
          <w:p>
            <w:pPr>
              <w:spacing w:line="400" w:lineRule="exact"/>
              <w:rPr>
                <w:color w:val="auto"/>
                <w:szCs w:val="21"/>
                <w:highlight w:val="none"/>
              </w:rPr>
            </w:pPr>
            <w:r>
              <w:rPr>
                <w:color w:val="auto"/>
                <w:szCs w:val="21"/>
                <w:highlight w:val="none"/>
              </w:rPr>
              <w:t>形式评审与响应性评审标准</w:t>
            </w:r>
          </w:p>
        </w:tc>
        <w:tc>
          <w:tcPr>
            <w:tcW w:w="7800" w:type="dxa"/>
            <w:noWrap w:val="0"/>
            <w:vAlign w:val="center"/>
          </w:tcPr>
          <w:p>
            <w:pPr>
              <w:spacing w:line="380" w:lineRule="exact"/>
              <w:rPr>
                <w:b/>
                <w:color w:val="auto"/>
                <w:szCs w:val="21"/>
                <w:highlight w:val="none"/>
              </w:rPr>
            </w:pPr>
            <w:r>
              <w:rPr>
                <w:rFonts w:hint="eastAsia"/>
                <w:b/>
                <w:color w:val="auto"/>
                <w:szCs w:val="21"/>
                <w:highlight w:val="none"/>
              </w:rPr>
              <w:t>第一个信封</w:t>
            </w:r>
            <w:r>
              <w:rPr>
                <w:rFonts w:hint="eastAsia"/>
                <w:b/>
                <w:bCs/>
                <w:color w:val="auto"/>
                <w:szCs w:val="21"/>
                <w:highlight w:val="none"/>
              </w:rPr>
              <w:t>（商务及技术文件）的评审标准：</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(1)投标文件按照招标文件规定的格式、内容填写,字迹清晰可辨:</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a.投标函按招标文件规定填报了项目名称、标段号、补遗书编号(如有)、工期、工程质量要求及安全目标</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b.投标函附录的所有数据均符合招标文件规定</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c.投标文件组成齐全完整,内容均按规定填写。</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(2)投标文件上法定代表人或其委托代理人的签字、投标人的单位章盖章齐全,符合招标文件规定。</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(3)投标人按照招标文件的规定提供了投标保证金或保函</w:t>
            </w:r>
          </w:p>
          <w:p>
            <w:pPr>
              <w:keepNext w:val="0"/>
              <w:keepLines w:val="0"/>
              <w:suppressLineNumbers w:val="0"/>
              <w:spacing w:before="0" w:beforeAutospacing="0" w:after="0" w:afterAutospacing="0" w:line="380" w:lineRule="exact"/>
              <w:ind w:left="0" w:right="0" w:firstLine="333" w:firstLineChars="150"/>
              <w:rPr>
                <w:rFonts w:hint="eastAsia"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a.投标保证金金额符合招标文件规定的金额，且投标保证金有效期不少于投标有效期；</w:t>
            </w:r>
          </w:p>
          <w:p>
            <w:pPr>
              <w:keepNext w:val="0"/>
              <w:keepLines w:val="0"/>
              <w:suppressLineNumbers w:val="0"/>
              <w:spacing w:before="0" w:beforeAutospacing="0" w:after="0" w:afterAutospacing="0" w:line="380" w:lineRule="exact"/>
              <w:ind w:left="0" w:right="0" w:firstLine="333" w:firstLineChars="150"/>
              <w:rPr>
                <w:rFonts w:hint="eastAsia"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b.若投标保证金采用现金或支票形式提交，投标人应在投标人须知3.4.1款规定的时间，将投标保证金由投标人的基本账户转入招标人指定账户；</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lang w:val="en-US"/>
              </w:rPr>
              <w:t>c</w:t>
            </w:r>
            <w:r>
              <w:rPr>
                <w:rFonts w:hint="eastAsia" w:ascii="宋体" w:hAnsi="宋体" w:eastAsia="宋体" w:cs="宋体"/>
                <w:color w:val="auto"/>
                <w:spacing w:val="1"/>
                <w:kern w:val="2"/>
                <w:sz w:val="22"/>
                <w:szCs w:val="22"/>
                <w:highlight w:val="none"/>
              </w:rPr>
              <w:t>.</w:t>
            </w:r>
            <w:r>
              <w:rPr>
                <w:rFonts w:hint="eastAsia" w:ascii="宋体" w:hAnsi="宋体" w:eastAsia="宋体" w:cs="宋体"/>
                <w:color w:val="auto"/>
                <w:spacing w:val="1"/>
                <w:kern w:val="2"/>
                <w:sz w:val="22"/>
                <w:szCs w:val="22"/>
                <w:highlight w:val="none"/>
                <w:lang w:val="en-US" w:eastAsia="zh-CN"/>
              </w:rPr>
              <w:t>若投标保证金采用银行保函或投标人须知前附表 3.4.1项规定的其他形式提交，应满足招标文件要求</w:t>
            </w:r>
            <w:r>
              <w:rPr>
                <w:rFonts w:hint="eastAsia" w:ascii="宋体" w:hAnsi="宋体" w:eastAsia="宋体" w:cs="宋体"/>
                <w:color w:val="auto"/>
                <w:spacing w:val="1"/>
                <w:kern w:val="2"/>
                <w:sz w:val="22"/>
                <w:szCs w:val="22"/>
                <w:highlight w:val="none"/>
              </w:rPr>
              <w:t>。</w:t>
            </w:r>
          </w:p>
          <w:p>
            <w:pPr>
              <w:keepNext w:val="0"/>
              <w:keepLines w:val="0"/>
              <w:suppressLineNumbers w:val="0"/>
              <w:spacing w:before="0" w:beforeAutospacing="0" w:after="0" w:afterAutospacing="0" w:line="380" w:lineRule="exact"/>
              <w:ind w:left="0" w:right="0" w:firstLine="333" w:firstLineChars="150"/>
              <w:rPr>
                <w:color w:val="auto"/>
                <w:highlight w:val="none"/>
              </w:rPr>
            </w:pPr>
            <w:r>
              <w:rPr>
                <w:rFonts w:hint="eastAsia" w:ascii="宋体" w:hAnsi="宋体" w:eastAsia="宋体" w:cs="宋体"/>
                <w:color w:val="auto"/>
                <w:spacing w:val="1"/>
                <w:kern w:val="2"/>
                <w:sz w:val="22"/>
                <w:szCs w:val="22"/>
                <w:highlight w:val="none"/>
              </w:rPr>
              <w:t>(4)投标人法定代表人授权委托代理人签署投标文件的,需提交授权委托书,且授权人和被授权人均在授权委托书上签名,未使用印章、签名章或其他电子制版签名代替。</w:t>
            </w:r>
          </w:p>
          <w:p>
            <w:pPr>
              <w:keepNext w:val="0"/>
              <w:keepLines w:val="0"/>
              <w:suppressLineNumbers w:val="0"/>
              <w:spacing w:before="0" w:beforeAutospacing="0" w:after="0" w:afterAutospacing="0" w:line="380" w:lineRule="exact"/>
              <w:ind w:left="0" w:right="0" w:firstLine="333" w:firstLineChars="150"/>
              <w:rPr>
                <w:rFonts w:hint="eastAsia" w:ascii="宋体" w:hAnsi="宋体" w:eastAsia="宋体" w:cs="宋体"/>
                <w:color w:val="auto"/>
                <w:spacing w:val="1"/>
                <w:kern w:val="2"/>
                <w:sz w:val="22"/>
                <w:szCs w:val="22"/>
                <w:highlight w:val="none"/>
                <w:lang w:val="en-US"/>
              </w:rPr>
            </w:pPr>
            <w:r>
              <w:rPr>
                <w:rFonts w:hint="eastAsia" w:ascii="宋体" w:hAnsi="宋体" w:eastAsia="宋体" w:cs="宋体"/>
                <w:color w:val="auto"/>
                <w:spacing w:val="1"/>
                <w:kern w:val="2"/>
                <w:sz w:val="22"/>
                <w:szCs w:val="22"/>
                <w:highlight w:val="none"/>
                <w:lang w:val="en-US"/>
              </w:rPr>
              <w:t>(5)投标人法定代表人亲自签署投标文件的,提供了法定代表人身份证明,且法定代表人在法定代表人身份证明上签名,未使用印章、签名章或其他电子制版签名代替。</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w:t>
            </w:r>
            <w:r>
              <w:rPr>
                <w:rFonts w:hint="eastAsia" w:cs="宋体"/>
                <w:color w:val="auto"/>
                <w:spacing w:val="1"/>
                <w:kern w:val="2"/>
                <w:sz w:val="22"/>
                <w:szCs w:val="22"/>
                <w:highlight w:val="none"/>
                <w:lang w:val="en-US" w:eastAsia="zh-CN"/>
              </w:rPr>
              <w:t>6</w:t>
            </w:r>
            <w:r>
              <w:rPr>
                <w:rFonts w:hint="eastAsia" w:ascii="宋体" w:hAnsi="宋体" w:eastAsia="宋体" w:cs="宋体"/>
                <w:color w:val="auto"/>
                <w:spacing w:val="1"/>
                <w:kern w:val="2"/>
                <w:sz w:val="22"/>
                <w:szCs w:val="22"/>
                <w:highlight w:val="none"/>
              </w:rPr>
              <w:t>)同一投标人未提交两个以上不同的投标文件,但招标文件要求提交备选投标的除外。</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w:t>
            </w:r>
            <w:r>
              <w:rPr>
                <w:rFonts w:hint="eastAsia" w:cs="宋体"/>
                <w:color w:val="auto"/>
                <w:spacing w:val="1"/>
                <w:kern w:val="2"/>
                <w:sz w:val="22"/>
                <w:szCs w:val="22"/>
                <w:highlight w:val="none"/>
                <w:lang w:val="en-US" w:eastAsia="zh-CN"/>
              </w:rPr>
              <w:t>7</w:t>
            </w:r>
            <w:r>
              <w:rPr>
                <w:rFonts w:hint="eastAsia" w:ascii="宋体" w:hAnsi="宋体" w:eastAsia="宋体" w:cs="宋体"/>
                <w:color w:val="auto"/>
                <w:spacing w:val="1"/>
                <w:kern w:val="2"/>
                <w:sz w:val="22"/>
                <w:szCs w:val="22"/>
                <w:highlight w:val="none"/>
              </w:rPr>
              <w:t>)投标文件中未出现有关投标报价的内容。</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w:t>
            </w:r>
            <w:r>
              <w:rPr>
                <w:rFonts w:hint="eastAsia" w:cs="宋体"/>
                <w:color w:val="auto"/>
                <w:spacing w:val="1"/>
                <w:kern w:val="2"/>
                <w:sz w:val="22"/>
                <w:szCs w:val="22"/>
                <w:highlight w:val="none"/>
                <w:lang w:val="en-US" w:eastAsia="zh-CN"/>
              </w:rPr>
              <w:t>8</w:t>
            </w:r>
            <w:r>
              <w:rPr>
                <w:rFonts w:hint="eastAsia" w:ascii="宋体" w:hAnsi="宋体" w:eastAsia="宋体" w:cs="宋体"/>
                <w:color w:val="auto"/>
                <w:spacing w:val="1"/>
                <w:kern w:val="2"/>
                <w:sz w:val="22"/>
                <w:szCs w:val="22"/>
                <w:highlight w:val="none"/>
              </w:rPr>
              <w:t>)投标文件载明的招标项目完成期限未超过招标文件规定的时限。</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w:t>
            </w:r>
            <w:r>
              <w:rPr>
                <w:rFonts w:hint="eastAsia" w:cs="宋体"/>
                <w:color w:val="auto"/>
                <w:spacing w:val="1"/>
                <w:kern w:val="2"/>
                <w:sz w:val="22"/>
                <w:szCs w:val="22"/>
                <w:highlight w:val="none"/>
                <w:lang w:val="en-US" w:eastAsia="zh-CN"/>
              </w:rPr>
              <w:t>9</w:t>
            </w:r>
            <w:r>
              <w:rPr>
                <w:rFonts w:hint="eastAsia" w:ascii="宋体" w:hAnsi="宋体" w:eastAsia="宋体" w:cs="宋体"/>
                <w:color w:val="auto"/>
                <w:spacing w:val="1"/>
                <w:kern w:val="2"/>
                <w:sz w:val="22"/>
                <w:szCs w:val="22"/>
                <w:highlight w:val="none"/>
              </w:rPr>
              <w:t>)投标文件对招标文件的实质性要求和条件作出响应。</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w:t>
            </w:r>
            <w:r>
              <w:rPr>
                <w:rFonts w:hint="eastAsia" w:cs="宋体"/>
                <w:color w:val="auto"/>
                <w:spacing w:val="1"/>
                <w:kern w:val="2"/>
                <w:sz w:val="22"/>
                <w:szCs w:val="22"/>
                <w:highlight w:val="none"/>
                <w:lang w:val="en-US" w:eastAsia="zh-CN"/>
              </w:rPr>
              <w:t>10</w:t>
            </w:r>
            <w:r>
              <w:rPr>
                <w:rFonts w:hint="eastAsia" w:ascii="宋体" w:hAnsi="宋体" w:eastAsia="宋体" w:cs="宋体"/>
                <w:color w:val="auto"/>
                <w:spacing w:val="1"/>
                <w:kern w:val="2"/>
                <w:sz w:val="22"/>
                <w:szCs w:val="22"/>
                <w:highlight w:val="none"/>
              </w:rPr>
              <w:t>)权利义务符合招标文件规定：</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a.投标人应接受招标文件规定的风险划分原则,未提出新的风险划分办法；</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b.投标人未增加发包人的责任范围,或减少投标人义务；</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C.投标人未提出不同的工程验收、计量、支付办法；</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d.投标人对合同纠纷、事故处理办法未提出异议；</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e.投标人在投标活动中无欺诈行为；</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f.投标人未对合同条款有重要保留。</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w:t>
            </w:r>
            <w:r>
              <w:rPr>
                <w:rFonts w:hint="eastAsia" w:cs="宋体"/>
                <w:color w:val="auto"/>
                <w:spacing w:val="1"/>
                <w:kern w:val="2"/>
                <w:sz w:val="22"/>
                <w:szCs w:val="22"/>
                <w:highlight w:val="none"/>
                <w:lang w:val="en-US" w:eastAsia="zh-CN"/>
              </w:rPr>
              <w:t>11</w:t>
            </w:r>
            <w:r>
              <w:rPr>
                <w:rFonts w:hint="eastAsia" w:ascii="宋体" w:hAnsi="宋体" w:eastAsia="宋体" w:cs="宋体"/>
                <w:color w:val="auto"/>
                <w:spacing w:val="1"/>
                <w:kern w:val="2"/>
                <w:sz w:val="22"/>
                <w:szCs w:val="22"/>
                <w:highlight w:val="none"/>
              </w:rPr>
              <w:t>)投标文件未附有招标人不能接受的条件。</w:t>
            </w:r>
          </w:p>
          <w:p>
            <w:pPr>
              <w:spacing w:line="380" w:lineRule="exact"/>
              <w:rPr>
                <w:rFonts w:hint="eastAsia"/>
                <w:b/>
                <w:color w:val="auto"/>
                <w:szCs w:val="21"/>
                <w:highlight w:val="none"/>
              </w:rPr>
            </w:pPr>
            <w:r>
              <w:rPr>
                <w:rFonts w:hint="eastAsia"/>
                <w:b/>
                <w:color w:val="auto"/>
                <w:szCs w:val="21"/>
                <w:highlight w:val="none"/>
              </w:rPr>
              <w:t>第二个信封（报价文件）的评审标准：</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（1)投标文件按照招标文件规定的格式、内容填写，字迹清晰可辩：</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a.投标函按招标文件规定填报了项目名称、标段号、补遗书编号(如有）投标价（包括大写金额和小写金额）；</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b.已标价工程量清单说明文字与招标文件规定一致，未进行实质性修改和删减；</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C.投标文件组成齐全完整,内容均按规定填写。</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(2)投标文件上法定代表人或其委托代理人的签字、投标人的单位章盖章齐全,符合招标文件规定。</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(3)投标报价或调价函中的报价未超过招标文件设定的最高投标限价(如有)。</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(4)投标报价或调价函中报价的大写金额能够确定具体数值。</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(5)同一投标人未提交两个以上不同的投标报价,但招标文件要求提交备选投标的除外。</w:t>
            </w:r>
          </w:p>
          <w:p>
            <w:pPr>
              <w:keepNext w:val="0"/>
              <w:keepLines w:val="0"/>
              <w:suppressLineNumbers w:val="0"/>
              <w:spacing w:before="0" w:beforeAutospacing="0" w:after="0" w:afterAutospacing="0" w:line="380" w:lineRule="exact"/>
              <w:ind w:left="0" w:right="0" w:firstLine="333" w:firstLineChars="150"/>
              <w:rPr>
                <w:b/>
                <w:bCs/>
                <w:color w:val="auto"/>
                <w:szCs w:val="21"/>
                <w:highlight w:val="none"/>
              </w:rPr>
            </w:pPr>
            <w:r>
              <w:rPr>
                <w:rFonts w:hint="eastAsia" w:ascii="宋体" w:hAnsi="宋体" w:eastAsia="宋体" w:cs="宋体"/>
                <w:color w:val="auto"/>
                <w:spacing w:val="1"/>
                <w:kern w:val="2"/>
                <w:sz w:val="22"/>
                <w:szCs w:val="22"/>
                <w:highlight w:val="none"/>
              </w:rPr>
              <w:t>(6)投标人若提交调价函,调价函符合招标文件第二章“投标人须知”第3.2.6项要求。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851" w:type="dxa"/>
            <w:noWrap w:val="0"/>
            <w:vAlign w:val="center"/>
          </w:tcPr>
          <w:p>
            <w:pPr>
              <w:spacing w:line="400" w:lineRule="exact"/>
              <w:jc w:val="center"/>
              <w:rPr>
                <w:color w:val="auto"/>
                <w:szCs w:val="21"/>
                <w:highlight w:val="none"/>
              </w:rPr>
            </w:pPr>
            <w:r>
              <w:rPr>
                <w:rFonts w:hint="eastAsia"/>
                <w:color w:val="auto"/>
                <w:szCs w:val="21"/>
                <w:highlight w:val="none"/>
              </w:rPr>
              <w:t>2.1.2</w:t>
            </w:r>
          </w:p>
        </w:tc>
        <w:tc>
          <w:tcPr>
            <w:tcW w:w="709" w:type="dxa"/>
            <w:noWrap w:val="0"/>
            <w:vAlign w:val="center"/>
          </w:tcPr>
          <w:p>
            <w:pPr>
              <w:spacing w:line="400" w:lineRule="exact"/>
              <w:ind w:firstLine="22" w:firstLineChars="10"/>
              <w:rPr>
                <w:color w:val="auto"/>
                <w:szCs w:val="21"/>
                <w:highlight w:val="none"/>
              </w:rPr>
            </w:pPr>
            <w:r>
              <w:rPr>
                <w:rFonts w:hint="eastAsia"/>
                <w:color w:val="auto"/>
                <w:szCs w:val="21"/>
                <w:highlight w:val="none"/>
              </w:rPr>
              <w:t>资格评审标准</w:t>
            </w:r>
          </w:p>
        </w:tc>
        <w:tc>
          <w:tcPr>
            <w:tcW w:w="7800" w:type="dxa"/>
            <w:noWrap w:val="0"/>
            <w:vAlign w:val="top"/>
          </w:tcPr>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（1）投标人具备有效的营业执照、组织机构代码证（如有）、资质证书、安全生产许可证和基本账户开户许可证（或基本存款账户证明）；</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（2）投标人的资质等级符合招标文件规定；</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（3）投标人的财务状况符合招标文件规定；</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（4）投标人的类似项目业绩符合招标文件规定；</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（5）投标人的信誉符合招标文件规定；</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（6）投标人的项目经理和项目总工资格（均含备选，如有）、在岗情况符合招标文件规定；</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（7）投标人的其他要求符合招标文件规定；</w:t>
            </w:r>
          </w:p>
          <w:p>
            <w:pPr>
              <w:keepNext w:val="0"/>
              <w:keepLines w:val="0"/>
              <w:suppressLineNumbers w:val="0"/>
              <w:spacing w:before="0" w:beforeAutospacing="0" w:after="0" w:afterAutospacing="0" w:line="380" w:lineRule="exact"/>
              <w:ind w:left="0" w:right="0" w:firstLine="333" w:firstLineChars="150"/>
              <w:rPr>
                <w:rFonts w:ascii="宋体" w:hAnsi="宋体" w:eastAsia="宋体" w:cs="宋体"/>
                <w:color w:val="auto"/>
                <w:spacing w:val="1"/>
                <w:kern w:val="2"/>
                <w:sz w:val="22"/>
                <w:szCs w:val="22"/>
                <w:highlight w:val="none"/>
              </w:rPr>
            </w:pPr>
            <w:r>
              <w:rPr>
                <w:rFonts w:hint="eastAsia" w:ascii="宋体" w:hAnsi="宋体" w:eastAsia="宋体" w:cs="宋体"/>
                <w:color w:val="auto"/>
                <w:spacing w:val="1"/>
                <w:kern w:val="2"/>
                <w:sz w:val="22"/>
                <w:szCs w:val="22"/>
                <w:highlight w:val="none"/>
              </w:rPr>
              <w:t>（8）投标人不存在第二章“投标人须知”第1.4.3项或第1.4.4项规定的任何一种情形；</w:t>
            </w:r>
          </w:p>
          <w:p>
            <w:pPr>
              <w:spacing w:line="380" w:lineRule="exact"/>
              <w:ind w:firstLine="222" w:firstLineChars="100"/>
              <w:rPr>
                <w:color w:val="auto"/>
                <w:szCs w:val="21"/>
                <w:highlight w:val="none"/>
              </w:rPr>
            </w:pPr>
            <w:r>
              <w:rPr>
                <w:rFonts w:hint="eastAsia" w:ascii="宋体" w:hAnsi="宋体" w:eastAsia="宋体" w:cs="宋体"/>
                <w:color w:val="auto"/>
                <w:spacing w:val="1"/>
                <w:kern w:val="2"/>
                <w:sz w:val="22"/>
                <w:szCs w:val="22"/>
                <w:highlight w:val="none"/>
              </w:rPr>
              <w:t>（9）投标人符合第二章“投标人须知”第1.4.5项规定。</w:t>
            </w:r>
          </w:p>
        </w:tc>
      </w:tr>
    </w:tbl>
    <w:p>
      <w:pPr>
        <w:spacing w:line="400" w:lineRule="exact"/>
        <w:ind w:right="420"/>
        <w:jc w:val="right"/>
        <w:rPr>
          <w:color w:val="auto"/>
          <w:szCs w:val="21"/>
          <w:highlight w:val="none"/>
        </w:rPr>
      </w:pPr>
    </w:p>
    <w:tbl>
      <w:tblPr>
        <w:tblStyle w:val="9"/>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2"/>
        <w:gridCol w:w="212"/>
        <w:gridCol w:w="355"/>
        <w:gridCol w:w="708"/>
        <w:gridCol w:w="284"/>
        <w:gridCol w:w="709"/>
        <w:gridCol w:w="567"/>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3" w:type="dxa"/>
            <w:gridSpan w:val="2"/>
            <w:noWrap w:val="0"/>
            <w:vAlign w:val="top"/>
          </w:tcPr>
          <w:p>
            <w:pPr>
              <w:spacing w:line="400" w:lineRule="exact"/>
              <w:jc w:val="center"/>
              <w:rPr>
                <w:b/>
                <w:color w:val="auto"/>
                <w:szCs w:val="21"/>
                <w:highlight w:val="none"/>
              </w:rPr>
            </w:pPr>
            <w:r>
              <w:rPr>
                <w:b/>
                <w:color w:val="auto"/>
                <w:szCs w:val="21"/>
                <w:highlight w:val="none"/>
              </w:rPr>
              <w:t>条款号</w:t>
            </w:r>
          </w:p>
        </w:tc>
        <w:tc>
          <w:tcPr>
            <w:tcW w:w="1559" w:type="dxa"/>
            <w:gridSpan w:val="4"/>
            <w:noWrap w:val="0"/>
            <w:vAlign w:val="top"/>
          </w:tcPr>
          <w:p>
            <w:pPr>
              <w:spacing w:line="400" w:lineRule="exact"/>
              <w:jc w:val="center"/>
              <w:rPr>
                <w:b/>
                <w:color w:val="auto"/>
                <w:szCs w:val="21"/>
                <w:highlight w:val="none"/>
              </w:rPr>
            </w:pPr>
            <w:r>
              <w:rPr>
                <w:b/>
                <w:color w:val="auto"/>
                <w:szCs w:val="21"/>
                <w:highlight w:val="none"/>
              </w:rPr>
              <w:t>条款内容</w:t>
            </w:r>
          </w:p>
        </w:tc>
        <w:tc>
          <w:tcPr>
            <w:tcW w:w="6808" w:type="dxa"/>
            <w:gridSpan w:val="3"/>
            <w:noWrap w:val="0"/>
            <w:vAlign w:val="top"/>
          </w:tcPr>
          <w:p>
            <w:pPr>
              <w:spacing w:line="400" w:lineRule="exact"/>
              <w:jc w:val="center"/>
              <w:rPr>
                <w:b/>
                <w:color w:val="auto"/>
                <w:szCs w:val="21"/>
                <w:highlight w:val="none"/>
              </w:rPr>
            </w:pPr>
            <w:r>
              <w:rPr>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993" w:type="dxa"/>
            <w:gridSpan w:val="2"/>
            <w:noWrap w:val="0"/>
            <w:vAlign w:val="center"/>
          </w:tcPr>
          <w:p>
            <w:pPr>
              <w:spacing w:line="400" w:lineRule="exact"/>
              <w:jc w:val="center"/>
              <w:rPr>
                <w:color w:val="auto"/>
                <w:szCs w:val="21"/>
                <w:highlight w:val="none"/>
              </w:rPr>
            </w:pPr>
            <w:r>
              <w:rPr>
                <w:color w:val="auto"/>
                <w:szCs w:val="21"/>
                <w:highlight w:val="none"/>
              </w:rPr>
              <w:t>2.2.1</w:t>
            </w:r>
          </w:p>
        </w:tc>
        <w:tc>
          <w:tcPr>
            <w:tcW w:w="1559" w:type="dxa"/>
            <w:gridSpan w:val="4"/>
            <w:noWrap w:val="0"/>
            <w:vAlign w:val="center"/>
          </w:tcPr>
          <w:p>
            <w:pPr>
              <w:spacing w:line="400" w:lineRule="exact"/>
              <w:jc w:val="center"/>
              <w:rPr>
                <w:color w:val="auto"/>
                <w:szCs w:val="21"/>
                <w:highlight w:val="none"/>
              </w:rPr>
            </w:pPr>
            <w:r>
              <w:rPr>
                <w:rFonts w:hint="eastAsia"/>
                <w:color w:val="auto"/>
                <w:szCs w:val="21"/>
                <w:highlight w:val="none"/>
              </w:rPr>
              <w:t>第一个信封评分分值构成</w:t>
            </w:r>
          </w:p>
          <w:p>
            <w:pPr>
              <w:spacing w:line="400" w:lineRule="exact"/>
              <w:jc w:val="center"/>
              <w:rPr>
                <w:color w:val="auto"/>
                <w:szCs w:val="21"/>
                <w:highlight w:val="none"/>
              </w:rPr>
            </w:pPr>
            <w:r>
              <w:rPr>
                <w:color w:val="auto"/>
                <w:szCs w:val="21"/>
                <w:highlight w:val="none"/>
              </w:rPr>
              <w:t>（总分100分）</w:t>
            </w:r>
          </w:p>
        </w:tc>
        <w:tc>
          <w:tcPr>
            <w:tcW w:w="6808" w:type="dxa"/>
            <w:gridSpan w:val="3"/>
            <w:noWrap w:val="0"/>
            <w:vAlign w:val="top"/>
          </w:tcPr>
          <w:p>
            <w:pPr>
              <w:spacing w:line="400" w:lineRule="exact"/>
              <w:rPr>
                <w:color w:val="auto"/>
                <w:szCs w:val="21"/>
                <w:highlight w:val="none"/>
              </w:rPr>
            </w:pPr>
            <w:r>
              <w:rPr>
                <w:rFonts w:hint="eastAsia"/>
                <w:color w:val="auto"/>
                <w:szCs w:val="21"/>
                <w:highlight w:val="none"/>
              </w:rPr>
              <w:t>施工组织设计（A）：</w:t>
            </w:r>
            <w:r>
              <w:rPr>
                <w:rFonts w:hint="eastAsia"/>
                <w:b/>
                <w:color w:val="auto"/>
                <w:szCs w:val="21"/>
                <w:highlight w:val="none"/>
                <w:u w:val="single"/>
              </w:rPr>
              <w:t xml:space="preserve"> </w:t>
            </w:r>
            <w:r>
              <w:rPr>
                <w:rFonts w:hint="eastAsia"/>
                <w:b/>
                <w:color w:val="auto"/>
                <w:szCs w:val="21"/>
                <w:highlight w:val="none"/>
                <w:u w:val="single"/>
                <w:lang w:val="en-US" w:eastAsia="zh-CN"/>
              </w:rPr>
              <w:t>40</w:t>
            </w:r>
            <w:r>
              <w:rPr>
                <w:rFonts w:hint="eastAsia"/>
                <w:b/>
                <w:color w:val="auto"/>
                <w:szCs w:val="21"/>
                <w:highlight w:val="none"/>
                <w:u w:val="single"/>
              </w:rPr>
              <w:t xml:space="preserve"> </w:t>
            </w:r>
            <w:r>
              <w:rPr>
                <w:rFonts w:hint="eastAsia"/>
                <w:b/>
                <w:color w:val="auto"/>
                <w:szCs w:val="21"/>
                <w:highlight w:val="none"/>
              </w:rPr>
              <w:t>分</w:t>
            </w:r>
          </w:p>
          <w:p>
            <w:pPr>
              <w:spacing w:line="400" w:lineRule="exact"/>
              <w:rPr>
                <w:color w:val="auto"/>
                <w:szCs w:val="21"/>
                <w:highlight w:val="none"/>
              </w:rPr>
            </w:pPr>
            <w:r>
              <w:rPr>
                <w:rFonts w:hint="eastAsia"/>
                <w:color w:val="auto"/>
                <w:szCs w:val="21"/>
                <w:highlight w:val="none"/>
              </w:rPr>
              <w:t>主要人员（B）：</w:t>
            </w:r>
            <w:r>
              <w:rPr>
                <w:rFonts w:hint="eastAsia"/>
                <w:b/>
                <w:color w:val="auto"/>
                <w:szCs w:val="21"/>
                <w:highlight w:val="none"/>
                <w:u w:val="single"/>
              </w:rPr>
              <w:t xml:space="preserve"> </w:t>
            </w:r>
            <w:r>
              <w:rPr>
                <w:rFonts w:hint="eastAsia"/>
                <w:b/>
                <w:color w:val="auto"/>
                <w:szCs w:val="21"/>
                <w:highlight w:val="none"/>
                <w:u w:val="single"/>
                <w:lang w:val="en-US" w:eastAsia="zh-CN"/>
              </w:rPr>
              <w:t>30</w:t>
            </w:r>
            <w:r>
              <w:rPr>
                <w:rFonts w:hint="eastAsia"/>
                <w:b/>
                <w:color w:val="auto"/>
                <w:szCs w:val="21"/>
                <w:highlight w:val="none"/>
                <w:u w:val="single"/>
              </w:rPr>
              <w:t xml:space="preserve"> </w:t>
            </w:r>
            <w:r>
              <w:rPr>
                <w:rFonts w:hint="eastAsia"/>
                <w:b/>
                <w:color w:val="auto"/>
                <w:szCs w:val="21"/>
                <w:highlight w:val="none"/>
              </w:rPr>
              <w:t>分</w:t>
            </w:r>
          </w:p>
          <w:p>
            <w:pPr>
              <w:spacing w:line="400" w:lineRule="exact"/>
              <w:rPr>
                <w:color w:val="auto"/>
                <w:szCs w:val="21"/>
                <w:highlight w:val="none"/>
              </w:rPr>
            </w:pPr>
            <w:r>
              <w:rPr>
                <w:rFonts w:hint="eastAsia"/>
                <w:color w:val="auto"/>
                <w:szCs w:val="21"/>
                <w:highlight w:val="none"/>
              </w:rPr>
              <w:t>其他因素（C）</w:t>
            </w:r>
          </w:p>
          <w:p>
            <w:pPr>
              <w:spacing w:line="400" w:lineRule="exact"/>
              <w:rPr>
                <w:color w:val="auto"/>
                <w:szCs w:val="21"/>
                <w:highlight w:val="none"/>
              </w:rPr>
            </w:pPr>
            <w:r>
              <w:rPr>
                <w:rFonts w:hint="eastAsia"/>
                <w:color w:val="auto"/>
                <w:szCs w:val="21"/>
                <w:highlight w:val="none"/>
              </w:rPr>
              <w:t>技术能力：</w:t>
            </w:r>
            <w:r>
              <w:rPr>
                <w:rFonts w:hint="eastAsia"/>
                <w:b/>
                <w:color w:val="auto"/>
                <w:szCs w:val="21"/>
                <w:highlight w:val="none"/>
                <w:u w:val="single"/>
              </w:rPr>
              <w:t xml:space="preserve"> </w:t>
            </w:r>
            <w:r>
              <w:rPr>
                <w:rFonts w:hint="eastAsia"/>
                <w:b/>
                <w:color w:val="auto"/>
                <w:szCs w:val="21"/>
                <w:highlight w:val="none"/>
                <w:u w:val="single"/>
                <w:lang w:val="en-US" w:eastAsia="zh-CN"/>
              </w:rPr>
              <w:t>15</w:t>
            </w:r>
            <w:r>
              <w:rPr>
                <w:rFonts w:hint="eastAsia"/>
                <w:b/>
                <w:color w:val="auto"/>
                <w:szCs w:val="21"/>
                <w:highlight w:val="none"/>
                <w:u w:val="single"/>
              </w:rPr>
              <w:t xml:space="preserve"> </w:t>
            </w:r>
            <w:r>
              <w:rPr>
                <w:rFonts w:hint="eastAsia"/>
                <w:b/>
                <w:color w:val="auto"/>
                <w:szCs w:val="21"/>
                <w:highlight w:val="none"/>
              </w:rPr>
              <w:t>分</w:t>
            </w:r>
          </w:p>
          <w:p>
            <w:pPr>
              <w:spacing w:line="400" w:lineRule="exact"/>
              <w:rPr>
                <w:color w:val="auto"/>
                <w:szCs w:val="21"/>
                <w:highlight w:val="none"/>
              </w:rPr>
            </w:pPr>
            <w:r>
              <w:rPr>
                <w:rFonts w:hint="eastAsia"/>
                <w:color w:val="auto"/>
                <w:szCs w:val="21"/>
                <w:highlight w:val="none"/>
              </w:rPr>
              <w:t>履约信誉：</w:t>
            </w:r>
            <w:r>
              <w:rPr>
                <w:rFonts w:hint="eastAsia"/>
                <w:b/>
                <w:color w:val="auto"/>
                <w:szCs w:val="21"/>
                <w:highlight w:val="none"/>
                <w:u w:val="single"/>
              </w:rPr>
              <w:t xml:space="preserve"> </w:t>
            </w:r>
            <w:r>
              <w:rPr>
                <w:rFonts w:hint="eastAsia"/>
                <w:b/>
                <w:color w:val="auto"/>
                <w:szCs w:val="21"/>
                <w:highlight w:val="none"/>
                <w:u w:val="single"/>
                <w:lang w:val="en-US" w:eastAsia="zh-CN"/>
              </w:rPr>
              <w:t>15</w:t>
            </w:r>
            <w:r>
              <w:rPr>
                <w:rFonts w:hint="eastAsia"/>
                <w:b/>
                <w:color w:val="auto"/>
                <w:szCs w:val="21"/>
                <w:highlight w:val="none"/>
                <w:u w:val="single"/>
              </w:rPr>
              <w:t xml:space="preserve"> </w:t>
            </w:r>
            <w:r>
              <w:rPr>
                <w:rFonts w:hint="eastAsia"/>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93" w:type="dxa"/>
            <w:gridSpan w:val="2"/>
            <w:noWrap w:val="0"/>
            <w:vAlign w:val="center"/>
          </w:tcPr>
          <w:p>
            <w:pPr>
              <w:spacing w:line="400" w:lineRule="exact"/>
              <w:jc w:val="center"/>
              <w:rPr>
                <w:rFonts w:hint="eastAsia" w:eastAsia="宋体"/>
                <w:color w:val="auto"/>
                <w:szCs w:val="21"/>
                <w:highlight w:val="none"/>
                <w:lang w:eastAsia="zh-CN"/>
              </w:rPr>
            </w:pPr>
            <w:r>
              <w:rPr>
                <w:rFonts w:hint="eastAsia"/>
                <w:color w:val="auto"/>
                <w:szCs w:val="21"/>
                <w:highlight w:val="none"/>
              </w:rPr>
              <w:t>2.2.</w:t>
            </w:r>
            <w:r>
              <w:rPr>
                <w:rFonts w:hint="eastAsia"/>
                <w:color w:val="auto"/>
                <w:szCs w:val="21"/>
                <w:highlight w:val="none"/>
                <w:lang w:val="en-US" w:eastAsia="zh-CN"/>
              </w:rPr>
              <w:t>2</w:t>
            </w:r>
          </w:p>
        </w:tc>
        <w:tc>
          <w:tcPr>
            <w:tcW w:w="1559" w:type="dxa"/>
            <w:gridSpan w:val="4"/>
            <w:noWrap w:val="0"/>
            <w:vAlign w:val="center"/>
          </w:tcPr>
          <w:p>
            <w:pPr>
              <w:spacing w:line="400" w:lineRule="exact"/>
              <w:jc w:val="center"/>
              <w:rPr>
                <w:color w:val="auto"/>
                <w:szCs w:val="21"/>
                <w:highlight w:val="none"/>
              </w:rPr>
            </w:pPr>
            <w:r>
              <w:rPr>
                <w:rFonts w:hint="eastAsia"/>
                <w:color w:val="auto"/>
                <w:szCs w:val="21"/>
                <w:highlight w:val="none"/>
              </w:rPr>
              <w:t>第二个信封详细评审标准</w:t>
            </w:r>
          </w:p>
        </w:tc>
        <w:tc>
          <w:tcPr>
            <w:tcW w:w="6808" w:type="dxa"/>
            <w:gridSpan w:val="3"/>
            <w:noWrap w:val="0"/>
            <w:vAlign w:val="top"/>
          </w:tcPr>
          <w:p>
            <w:pPr>
              <w:spacing w:line="360" w:lineRule="atLeast"/>
              <w:rPr>
                <w:color w:val="auto"/>
                <w:szCs w:val="21"/>
                <w:highlight w:val="none"/>
              </w:rPr>
            </w:pPr>
            <w:r>
              <w:rPr>
                <w:rFonts w:hint="eastAsia"/>
                <w:color w:val="auto"/>
                <w:szCs w:val="21"/>
                <w:highlight w:val="none"/>
              </w:rPr>
              <w:t>评标价的评审：</w:t>
            </w:r>
          </w:p>
          <w:p>
            <w:pPr>
              <w:pStyle w:val="11"/>
              <w:keepNext w:val="0"/>
              <w:keepLines w:val="0"/>
              <w:suppressLineNumbers w:val="0"/>
              <w:shd w:val="clear" w:color="auto" w:fill="auto"/>
              <w:tabs>
                <w:tab w:val="left" w:pos="917"/>
                <w:tab w:val="left" w:pos="1075"/>
              </w:tabs>
              <w:spacing w:before="0" w:beforeAutospacing="0" w:after="0" w:afterAutospacing="0" w:line="360" w:lineRule="exact"/>
              <w:ind w:left="0" w:right="130" w:rightChars="59"/>
              <w:jc w:val="both"/>
              <w:rPr>
                <w:rStyle w:val="12"/>
                <w:rFonts w:ascii="宋体" w:hAnsi="宋体" w:eastAsia="宋体" w:cs="宋体"/>
                <w:color w:val="auto"/>
                <w:sz w:val="21"/>
                <w:szCs w:val="21"/>
                <w:highlight w:val="none"/>
              </w:rPr>
            </w:pPr>
            <w:r>
              <w:rPr>
                <w:rStyle w:val="12"/>
                <w:rFonts w:hint="eastAsia" w:ascii="宋体" w:hAnsi="宋体" w:eastAsia="宋体" w:cs="宋体"/>
                <w:color w:val="auto"/>
                <w:sz w:val="21"/>
                <w:szCs w:val="21"/>
                <w:highlight w:val="none"/>
              </w:rPr>
              <w:t>(1)评标价计算公式：</w:t>
            </w:r>
          </w:p>
          <w:p>
            <w:pPr>
              <w:pStyle w:val="11"/>
              <w:keepNext w:val="0"/>
              <w:keepLines w:val="0"/>
              <w:suppressLineNumbers w:val="0"/>
              <w:shd w:val="clear" w:color="auto" w:fill="auto"/>
              <w:tabs>
                <w:tab w:val="left" w:pos="917"/>
                <w:tab w:val="left" w:pos="1075"/>
              </w:tabs>
              <w:spacing w:before="0" w:beforeAutospacing="0" w:after="0" w:afterAutospacing="0" w:line="360" w:lineRule="exact"/>
              <w:ind w:left="0" w:right="130" w:rightChars="59"/>
              <w:jc w:val="both"/>
              <w:rPr>
                <w:rStyle w:val="12"/>
                <w:rFonts w:ascii="宋体" w:hAnsi="宋体" w:eastAsia="宋体" w:cs="宋体"/>
                <w:color w:val="auto"/>
                <w:sz w:val="21"/>
                <w:szCs w:val="21"/>
                <w:highlight w:val="none"/>
              </w:rPr>
            </w:pPr>
            <w:r>
              <w:rPr>
                <w:rStyle w:val="12"/>
                <w:rFonts w:hint="eastAsia" w:ascii="宋体" w:hAnsi="宋体" w:eastAsia="宋体" w:cs="宋体"/>
                <w:color w:val="auto"/>
                <w:sz w:val="21"/>
                <w:szCs w:val="21"/>
                <w:highlight w:val="none"/>
              </w:rPr>
              <w:t>评标价=修正后的投标报价一暂估价一暂列金额（不含计日工总额）</w:t>
            </w:r>
          </w:p>
          <w:p>
            <w:pPr>
              <w:spacing w:line="360" w:lineRule="atLeast"/>
              <w:ind w:firstLine="441" w:firstLineChars="210"/>
              <w:rPr>
                <w:color w:val="auto"/>
                <w:highlight w:val="none"/>
              </w:rPr>
            </w:pPr>
            <w:r>
              <w:rPr>
                <w:rStyle w:val="12"/>
                <w:rFonts w:hint="eastAsia" w:ascii="宋体" w:hAnsi="宋体" w:eastAsia="宋体" w:cs="宋体"/>
                <w:color w:val="auto"/>
                <w:kern w:val="2"/>
                <w:sz w:val="21"/>
                <w:szCs w:val="21"/>
                <w:highlight w:val="none"/>
              </w:rPr>
              <w:t>若投标人的评标价小于最高投标限价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93" w:type="dxa"/>
            <w:gridSpan w:val="2"/>
            <w:noWrap w:val="0"/>
            <w:vAlign w:val="center"/>
          </w:tcPr>
          <w:p>
            <w:pPr>
              <w:spacing w:line="400" w:lineRule="exact"/>
              <w:jc w:val="center"/>
              <w:rPr>
                <w:rFonts w:hint="eastAsia" w:eastAsia="宋体"/>
                <w:color w:val="auto"/>
                <w:szCs w:val="21"/>
                <w:highlight w:val="none"/>
                <w:lang w:eastAsia="zh-CN"/>
              </w:rPr>
            </w:pPr>
            <w:r>
              <w:rPr>
                <w:rFonts w:hint="eastAsia"/>
                <w:color w:val="auto"/>
                <w:szCs w:val="21"/>
                <w:highlight w:val="none"/>
                <w:lang w:val="en-US" w:eastAsia="zh-CN"/>
              </w:rPr>
              <w:t>2</w:t>
            </w:r>
            <w:r>
              <w:rPr>
                <w:rFonts w:hint="eastAsia"/>
                <w:color w:val="auto"/>
                <w:szCs w:val="21"/>
                <w:highlight w:val="none"/>
              </w:rPr>
              <w:t>.2.</w:t>
            </w:r>
            <w:r>
              <w:rPr>
                <w:rFonts w:hint="eastAsia"/>
                <w:color w:val="auto"/>
                <w:szCs w:val="21"/>
                <w:highlight w:val="none"/>
                <w:lang w:val="en-US" w:eastAsia="zh-CN"/>
              </w:rPr>
              <w:t>3</w:t>
            </w:r>
          </w:p>
        </w:tc>
        <w:tc>
          <w:tcPr>
            <w:tcW w:w="1559" w:type="dxa"/>
            <w:gridSpan w:val="4"/>
            <w:noWrap w:val="0"/>
            <w:vAlign w:val="center"/>
          </w:tcPr>
          <w:p>
            <w:pPr>
              <w:spacing w:line="400" w:lineRule="exact"/>
              <w:jc w:val="center"/>
              <w:rPr>
                <w:color w:val="auto"/>
                <w:szCs w:val="21"/>
                <w:highlight w:val="none"/>
              </w:rPr>
            </w:pPr>
            <w:r>
              <w:rPr>
                <w:rFonts w:hint="eastAsia"/>
                <w:color w:val="auto"/>
                <w:szCs w:val="21"/>
                <w:highlight w:val="none"/>
              </w:rPr>
              <w:t>通过第一个信封详细评审的投标人数量</w:t>
            </w:r>
          </w:p>
        </w:tc>
        <w:tc>
          <w:tcPr>
            <w:tcW w:w="6808" w:type="dxa"/>
            <w:gridSpan w:val="3"/>
            <w:noWrap w:val="0"/>
            <w:vAlign w:val="center"/>
          </w:tcPr>
          <w:p>
            <w:pPr>
              <w:spacing w:line="400" w:lineRule="exact"/>
              <w:rPr>
                <w:bCs/>
                <w:color w:val="auto"/>
                <w:szCs w:val="21"/>
                <w:highlight w:val="none"/>
              </w:rPr>
            </w:pPr>
            <w:r>
              <w:rPr>
                <w:rFonts w:hint="eastAsia"/>
                <w:bCs/>
                <w:color w:val="auto"/>
                <w:szCs w:val="21"/>
                <w:highlight w:val="none"/>
              </w:rPr>
              <w:t>按照投标人的商务和技术得分由高到低排序，选择</w:t>
            </w:r>
            <w:r>
              <w:rPr>
                <w:rFonts w:hint="eastAsia"/>
                <w:b/>
                <w:bCs/>
                <w:color w:val="auto"/>
                <w:szCs w:val="21"/>
                <w:highlight w:val="none"/>
              </w:rPr>
              <w:t>前</w:t>
            </w:r>
            <w:r>
              <w:rPr>
                <w:rFonts w:hint="eastAsia"/>
                <w:b/>
                <w:bCs/>
                <w:color w:val="auto"/>
                <w:szCs w:val="21"/>
                <w:highlight w:val="none"/>
                <w:u w:val="single"/>
              </w:rPr>
              <w:t xml:space="preserve"> 5 </w:t>
            </w:r>
            <w:r>
              <w:rPr>
                <w:rFonts w:hint="eastAsia"/>
                <w:b/>
                <w:bCs/>
                <w:color w:val="auto"/>
                <w:szCs w:val="21"/>
                <w:highlight w:val="none"/>
              </w:rPr>
              <w:t>名</w:t>
            </w:r>
            <w:r>
              <w:rPr>
                <w:rFonts w:hint="eastAsia"/>
                <w:color w:val="auto"/>
                <w:szCs w:val="21"/>
                <w:highlight w:val="none"/>
              </w:rPr>
              <w:t>（不少于3名但不足5名时，按全部实际数量）</w:t>
            </w:r>
            <w:r>
              <w:rPr>
                <w:rFonts w:hint="eastAsia"/>
                <w:bCs/>
                <w:color w:val="auto"/>
                <w:szCs w:val="21"/>
                <w:highlight w:val="none"/>
              </w:rPr>
              <w:t>通过详细评审。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828" w:type="dxa"/>
            <w:gridSpan w:val="8"/>
            <w:noWrap w:val="0"/>
            <w:vAlign w:val="center"/>
          </w:tcPr>
          <w:p>
            <w:pPr>
              <w:spacing w:line="400" w:lineRule="exact"/>
              <w:jc w:val="center"/>
              <w:rPr>
                <w:color w:val="auto"/>
                <w:szCs w:val="21"/>
                <w:highlight w:val="none"/>
              </w:rPr>
            </w:pPr>
            <w:r>
              <w:rPr>
                <w:rFonts w:hint="eastAsia"/>
                <w:color w:val="auto"/>
                <w:szCs w:val="21"/>
                <w:highlight w:val="none"/>
              </w:rPr>
              <w:t>评分因素与权重分值</w:t>
            </w:r>
          </w:p>
        </w:tc>
        <w:tc>
          <w:tcPr>
            <w:tcW w:w="5532" w:type="dxa"/>
            <w:vMerge w:val="restart"/>
            <w:noWrap w:val="0"/>
            <w:vAlign w:val="center"/>
          </w:tcPr>
          <w:p>
            <w:pPr>
              <w:spacing w:line="400" w:lineRule="exact"/>
              <w:jc w:val="center"/>
              <w:rPr>
                <w:color w:val="auto"/>
                <w:szCs w:val="21"/>
                <w:highlight w:val="none"/>
              </w:rPr>
            </w:pPr>
            <w:r>
              <w:rPr>
                <w:rFonts w:hint="eastAsia"/>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51" w:type="dxa"/>
            <w:noWrap w:val="0"/>
            <w:vAlign w:val="center"/>
          </w:tcPr>
          <w:p>
            <w:pPr>
              <w:spacing w:line="400" w:lineRule="exact"/>
              <w:jc w:val="center"/>
              <w:rPr>
                <w:color w:val="auto"/>
                <w:szCs w:val="21"/>
                <w:highlight w:val="none"/>
              </w:rPr>
            </w:pPr>
            <w:r>
              <w:rPr>
                <w:rFonts w:hint="eastAsia"/>
                <w:color w:val="auto"/>
                <w:szCs w:val="21"/>
                <w:highlight w:val="none"/>
              </w:rPr>
              <w:t>条款号</w:t>
            </w:r>
          </w:p>
        </w:tc>
        <w:tc>
          <w:tcPr>
            <w:tcW w:w="709" w:type="dxa"/>
            <w:gridSpan w:val="3"/>
            <w:noWrap w:val="0"/>
            <w:vAlign w:val="center"/>
          </w:tcPr>
          <w:p>
            <w:pPr>
              <w:spacing w:line="400" w:lineRule="exact"/>
              <w:jc w:val="center"/>
              <w:rPr>
                <w:color w:val="auto"/>
                <w:szCs w:val="21"/>
                <w:highlight w:val="none"/>
              </w:rPr>
            </w:pPr>
            <w:r>
              <w:rPr>
                <w:rFonts w:hint="eastAsia"/>
                <w:color w:val="auto"/>
                <w:szCs w:val="21"/>
                <w:highlight w:val="none"/>
              </w:rPr>
              <w:t>评分因素</w:t>
            </w:r>
          </w:p>
        </w:tc>
        <w:tc>
          <w:tcPr>
            <w:tcW w:w="708" w:type="dxa"/>
            <w:noWrap w:val="0"/>
            <w:vAlign w:val="center"/>
          </w:tcPr>
          <w:p>
            <w:pPr>
              <w:spacing w:line="400" w:lineRule="exact"/>
              <w:jc w:val="center"/>
              <w:rPr>
                <w:color w:val="auto"/>
                <w:szCs w:val="21"/>
                <w:highlight w:val="none"/>
              </w:rPr>
            </w:pPr>
            <w:r>
              <w:rPr>
                <w:rFonts w:hint="eastAsia"/>
                <w:color w:val="auto"/>
                <w:szCs w:val="21"/>
                <w:highlight w:val="none"/>
              </w:rPr>
              <w:t>评分因素权重</w:t>
            </w:r>
          </w:p>
        </w:tc>
        <w:tc>
          <w:tcPr>
            <w:tcW w:w="993" w:type="dxa"/>
            <w:gridSpan w:val="2"/>
            <w:noWrap w:val="0"/>
            <w:vAlign w:val="center"/>
          </w:tcPr>
          <w:p>
            <w:pPr>
              <w:spacing w:line="400" w:lineRule="exact"/>
              <w:jc w:val="center"/>
              <w:rPr>
                <w:color w:val="auto"/>
                <w:szCs w:val="21"/>
                <w:highlight w:val="none"/>
              </w:rPr>
            </w:pPr>
            <w:r>
              <w:rPr>
                <w:rFonts w:hint="eastAsia"/>
                <w:color w:val="auto"/>
                <w:szCs w:val="21"/>
                <w:highlight w:val="none"/>
              </w:rPr>
              <w:t>各评分因素细分项</w:t>
            </w:r>
          </w:p>
        </w:tc>
        <w:tc>
          <w:tcPr>
            <w:tcW w:w="567" w:type="dxa"/>
            <w:noWrap w:val="0"/>
            <w:vAlign w:val="center"/>
          </w:tcPr>
          <w:p>
            <w:pPr>
              <w:spacing w:line="400" w:lineRule="exact"/>
              <w:jc w:val="center"/>
              <w:rPr>
                <w:color w:val="auto"/>
                <w:szCs w:val="21"/>
                <w:highlight w:val="none"/>
              </w:rPr>
            </w:pPr>
            <w:r>
              <w:rPr>
                <w:rFonts w:hint="eastAsia"/>
                <w:color w:val="auto"/>
                <w:szCs w:val="21"/>
                <w:highlight w:val="none"/>
              </w:rPr>
              <w:t>分值</w:t>
            </w:r>
          </w:p>
        </w:tc>
        <w:tc>
          <w:tcPr>
            <w:tcW w:w="5532" w:type="dxa"/>
            <w:vMerge w:val="continue"/>
            <w:noWrap w:val="0"/>
            <w:vAlign w:val="center"/>
          </w:tcPr>
          <w:p>
            <w:pPr>
              <w:spacing w:line="40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vMerge w:val="restart"/>
            <w:noWrap w:val="0"/>
            <w:vAlign w:val="center"/>
          </w:tcPr>
          <w:p>
            <w:pPr>
              <w:spacing w:line="400" w:lineRule="exact"/>
              <w:jc w:val="center"/>
              <w:rPr>
                <w:rFonts w:hint="eastAsia" w:eastAsia="宋体"/>
                <w:color w:val="auto"/>
                <w:szCs w:val="21"/>
                <w:highlight w:val="none"/>
                <w:lang w:eastAsia="zh-CN"/>
              </w:rPr>
            </w:pPr>
            <w:r>
              <w:rPr>
                <w:rFonts w:hint="eastAsia"/>
                <w:color w:val="auto"/>
                <w:szCs w:val="21"/>
                <w:highlight w:val="none"/>
              </w:rPr>
              <w:t>2.2.</w:t>
            </w:r>
            <w:r>
              <w:rPr>
                <w:rFonts w:hint="eastAsia"/>
                <w:color w:val="auto"/>
                <w:szCs w:val="21"/>
                <w:highlight w:val="none"/>
                <w:lang w:val="en-US" w:eastAsia="zh-CN"/>
              </w:rPr>
              <w:t>4</w:t>
            </w:r>
          </w:p>
          <w:p>
            <w:pPr>
              <w:spacing w:line="400" w:lineRule="exact"/>
              <w:jc w:val="center"/>
              <w:rPr>
                <w:color w:val="auto"/>
                <w:szCs w:val="21"/>
                <w:highlight w:val="none"/>
              </w:rPr>
            </w:pPr>
            <w:r>
              <w:rPr>
                <w:rFonts w:hint="eastAsia"/>
                <w:color w:val="auto"/>
                <w:szCs w:val="21"/>
                <w:highlight w:val="none"/>
              </w:rPr>
              <w:t>（1）</w:t>
            </w:r>
          </w:p>
        </w:tc>
        <w:tc>
          <w:tcPr>
            <w:tcW w:w="709" w:type="dxa"/>
            <w:gridSpan w:val="3"/>
            <w:vMerge w:val="restart"/>
            <w:noWrap w:val="0"/>
            <w:vAlign w:val="center"/>
          </w:tcPr>
          <w:p>
            <w:pPr>
              <w:spacing w:line="400" w:lineRule="exact"/>
              <w:jc w:val="center"/>
              <w:rPr>
                <w:color w:val="auto"/>
                <w:szCs w:val="21"/>
                <w:highlight w:val="none"/>
              </w:rPr>
            </w:pPr>
            <w:r>
              <w:rPr>
                <w:rStyle w:val="12"/>
                <w:rFonts w:hint="eastAsia" w:ascii="宋体" w:hAnsi="宋体" w:eastAsia="宋体" w:cs="宋体"/>
                <w:color w:val="auto"/>
                <w:kern w:val="2"/>
                <w:sz w:val="21"/>
                <w:szCs w:val="21"/>
                <w:highlight w:val="none"/>
                <w:lang w:val="zh-CN" w:eastAsia="zh-CN" w:bidi="zh-CN"/>
              </w:rPr>
              <w:t>施工组织设计</w:t>
            </w:r>
          </w:p>
        </w:tc>
        <w:tc>
          <w:tcPr>
            <w:tcW w:w="708" w:type="dxa"/>
            <w:vMerge w:val="restart"/>
            <w:noWrap w:val="0"/>
            <w:vAlign w:val="center"/>
          </w:tcPr>
          <w:p>
            <w:pPr>
              <w:spacing w:line="400" w:lineRule="exact"/>
              <w:jc w:val="center"/>
              <w:rPr>
                <w:b/>
                <w:color w:val="auto"/>
                <w:szCs w:val="21"/>
                <w:highlight w:val="none"/>
              </w:rPr>
            </w:pPr>
            <w:r>
              <w:rPr>
                <w:rFonts w:hint="eastAsia"/>
                <w:b/>
                <w:color w:val="auto"/>
                <w:szCs w:val="21"/>
                <w:highlight w:val="none"/>
                <w:u w:val="single"/>
                <w:lang w:val="en-US" w:eastAsia="zh-CN"/>
              </w:rPr>
              <w:t>40</w:t>
            </w:r>
            <w:r>
              <w:rPr>
                <w:rFonts w:hint="eastAsia"/>
                <w:b/>
                <w:color w:val="auto"/>
                <w:szCs w:val="21"/>
                <w:highlight w:val="none"/>
              </w:rPr>
              <w:t>分</w:t>
            </w:r>
          </w:p>
        </w:tc>
        <w:tc>
          <w:tcPr>
            <w:tcW w:w="993" w:type="dxa"/>
            <w:gridSpan w:val="2"/>
            <w:noWrap w:val="0"/>
            <w:vAlign w:val="center"/>
          </w:tcPr>
          <w:p>
            <w:pPr>
              <w:keepNext w:val="0"/>
              <w:keepLines w:val="0"/>
              <w:suppressLineNumbers w:val="0"/>
              <w:tabs>
                <w:tab w:val="left" w:pos="917"/>
                <w:tab w:val="left" w:pos="1075"/>
              </w:tabs>
              <w:spacing w:before="0" w:beforeAutospacing="0" w:after="0" w:afterAutospacing="0" w:line="360" w:lineRule="exact"/>
              <w:ind w:left="0" w:leftChars="0" w:right="130" w:rightChars="59"/>
              <w:jc w:val="center"/>
              <w:rPr>
                <w:rFonts w:ascii="宋体" w:hAnsi="宋体" w:eastAsia="宋体" w:cs="宋体"/>
                <w:color w:val="auto"/>
                <w:spacing w:val="0"/>
                <w:kern w:val="2"/>
                <w:sz w:val="21"/>
                <w:szCs w:val="21"/>
                <w:highlight w:val="none"/>
                <w:u w:val="none"/>
                <w:lang w:val="zh-CN" w:eastAsia="zh-CN" w:bidi="zh-CN"/>
              </w:rPr>
            </w:pPr>
            <w:r>
              <w:rPr>
                <w:rStyle w:val="12"/>
                <w:rFonts w:hint="eastAsia" w:ascii="宋体" w:hAnsi="宋体" w:eastAsia="宋体" w:cs="宋体"/>
                <w:color w:val="auto"/>
                <w:kern w:val="2"/>
                <w:sz w:val="21"/>
                <w:szCs w:val="21"/>
                <w:highlight w:val="none"/>
              </w:rPr>
              <w:t>工期保证体系及保证措施</w:t>
            </w:r>
          </w:p>
        </w:tc>
        <w:tc>
          <w:tcPr>
            <w:tcW w:w="567" w:type="dxa"/>
            <w:noWrap w:val="0"/>
            <w:vAlign w:val="center"/>
          </w:tcPr>
          <w:p>
            <w:pPr>
              <w:pStyle w:val="11"/>
              <w:keepNext w:val="0"/>
              <w:keepLines w:val="0"/>
              <w:suppressLineNumbers w:val="0"/>
              <w:shd w:val="clear" w:color="auto" w:fill="auto"/>
              <w:tabs>
                <w:tab w:val="left" w:pos="917"/>
                <w:tab w:val="left" w:pos="1075"/>
              </w:tabs>
              <w:spacing w:before="0" w:beforeAutospacing="0" w:after="0" w:afterAutospacing="0" w:line="360" w:lineRule="exact"/>
              <w:ind w:left="0" w:leftChars="0" w:right="130" w:rightChars="59"/>
              <w:jc w:val="center"/>
              <w:rPr>
                <w:rFonts w:ascii="宋体" w:hAnsi="宋体" w:eastAsia="宋体" w:cs="宋体"/>
                <w:color w:val="auto"/>
                <w:spacing w:val="0"/>
                <w:sz w:val="21"/>
                <w:szCs w:val="21"/>
                <w:highlight w:val="none"/>
                <w:u w:val="none"/>
                <w:lang w:val="zh-CN" w:eastAsia="zh-CN" w:bidi="zh-CN"/>
              </w:rPr>
            </w:pPr>
            <w:r>
              <w:rPr>
                <w:rStyle w:val="12"/>
                <w:rFonts w:hint="eastAsia" w:ascii="宋体" w:hAnsi="宋体" w:eastAsia="宋体" w:cs="宋体"/>
                <w:color w:val="auto"/>
                <w:sz w:val="21"/>
                <w:szCs w:val="21"/>
                <w:highlight w:val="none"/>
              </w:rPr>
              <w:t>12分</w:t>
            </w:r>
          </w:p>
        </w:tc>
        <w:tc>
          <w:tcPr>
            <w:tcW w:w="5532" w:type="dxa"/>
            <w:noWrap w:val="0"/>
            <w:vAlign w:val="center"/>
          </w:tcPr>
          <w:p>
            <w:pPr>
              <w:keepNext w:val="0"/>
              <w:keepLines w:val="0"/>
              <w:suppressLineNumbers w:val="0"/>
              <w:tabs>
                <w:tab w:val="left" w:pos="380"/>
                <w:tab w:val="left" w:pos="840"/>
                <w:tab w:val="left" w:pos="917"/>
                <w:tab w:val="left" w:pos="1075"/>
                <w:tab w:val="left" w:pos="1260"/>
              </w:tabs>
              <w:snapToGrid w:val="0"/>
              <w:spacing w:before="0" w:beforeAutospacing="0" w:after="0" w:afterAutospacing="0" w:line="360" w:lineRule="exact"/>
              <w:ind w:left="10" w:right="130" w:rightChars="59" w:hanging="10" w:hangingChars="5"/>
              <w:rPr>
                <w:rStyle w:val="12"/>
                <w:rFonts w:ascii="宋体" w:hAnsi="宋体" w:eastAsia="宋体" w:cs="宋体"/>
                <w:color w:val="auto"/>
                <w:kern w:val="2"/>
                <w:sz w:val="21"/>
                <w:szCs w:val="21"/>
                <w:highlight w:val="none"/>
              </w:rPr>
            </w:pPr>
            <w:r>
              <w:rPr>
                <w:rStyle w:val="12"/>
                <w:rFonts w:hint="eastAsia" w:ascii="宋体" w:hAnsi="宋体" w:eastAsia="宋体" w:cs="宋体"/>
                <w:color w:val="auto"/>
                <w:kern w:val="2"/>
                <w:sz w:val="21"/>
                <w:szCs w:val="21"/>
                <w:highlight w:val="none"/>
              </w:rPr>
              <w:t>（1）进度控制措施得当，对本项目的工期重要性理解特别透彻，对地形地貌特征、重点工序、天气、关键设备故障、与其他承包人衔接、社会环境等问题有切实可行的应对或应急方案，计划科学合理，可操作性高，</w:t>
            </w:r>
            <w:r>
              <w:rPr>
                <w:rStyle w:val="12"/>
                <w:rFonts w:hint="eastAsia" w:ascii="宋体" w:hAnsi="宋体" w:eastAsia="宋体" w:cs="宋体"/>
                <w:b/>
                <w:color w:val="auto"/>
                <w:kern w:val="2"/>
                <w:sz w:val="21"/>
                <w:szCs w:val="21"/>
                <w:highlight w:val="none"/>
              </w:rPr>
              <w:t>得9.6~12分</w:t>
            </w:r>
            <w:r>
              <w:rPr>
                <w:rStyle w:val="12"/>
                <w:rFonts w:hint="eastAsia" w:ascii="宋体" w:hAnsi="宋体" w:eastAsia="宋体" w:cs="宋体"/>
                <w:color w:val="auto"/>
                <w:kern w:val="2"/>
                <w:sz w:val="21"/>
                <w:szCs w:val="21"/>
                <w:highlight w:val="none"/>
              </w:rPr>
              <w:t>；</w:t>
            </w:r>
          </w:p>
          <w:p>
            <w:pPr>
              <w:keepNext w:val="0"/>
              <w:keepLines w:val="0"/>
              <w:suppressLineNumbers w:val="0"/>
              <w:tabs>
                <w:tab w:val="left" w:pos="380"/>
                <w:tab w:val="left" w:pos="840"/>
                <w:tab w:val="left" w:pos="917"/>
                <w:tab w:val="left" w:pos="1075"/>
                <w:tab w:val="left" w:pos="1260"/>
              </w:tabs>
              <w:snapToGrid w:val="0"/>
              <w:spacing w:before="0" w:beforeAutospacing="0" w:after="0" w:afterAutospacing="0" w:line="360" w:lineRule="exact"/>
              <w:ind w:left="10" w:right="130" w:rightChars="59" w:hanging="10" w:hangingChars="5"/>
              <w:rPr>
                <w:rStyle w:val="12"/>
                <w:rFonts w:ascii="宋体" w:hAnsi="宋体" w:eastAsia="宋体" w:cs="宋体"/>
                <w:color w:val="auto"/>
                <w:kern w:val="2"/>
                <w:sz w:val="21"/>
                <w:szCs w:val="21"/>
                <w:highlight w:val="none"/>
              </w:rPr>
            </w:pPr>
            <w:r>
              <w:rPr>
                <w:rStyle w:val="12"/>
                <w:rFonts w:hint="eastAsia" w:ascii="宋体" w:hAnsi="宋体" w:eastAsia="宋体" w:cs="宋体"/>
                <w:color w:val="auto"/>
                <w:kern w:val="2"/>
                <w:sz w:val="21"/>
                <w:szCs w:val="21"/>
                <w:highlight w:val="none"/>
              </w:rPr>
              <w:t>（2）工期保证体系及保证措施基本可行，内容较为充实、全面的，</w:t>
            </w:r>
            <w:r>
              <w:rPr>
                <w:rStyle w:val="12"/>
                <w:rFonts w:hint="eastAsia" w:ascii="宋体" w:hAnsi="宋体" w:eastAsia="宋体" w:cs="宋体"/>
                <w:b/>
                <w:color w:val="auto"/>
                <w:kern w:val="2"/>
                <w:sz w:val="21"/>
                <w:szCs w:val="21"/>
                <w:highlight w:val="none"/>
              </w:rPr>
              <w:t>得7.</w:t>
            </w:r>
            <w:r>
              <w:rPr>
                <w:rStyle w:val="12"/>
                <w:rFonts w:hint="eastAsia" w:ascii="宋体" w:hAnsi="宋体" w:eastAsia="宋体" w:cs="宋体"/>
                <w:b/>
                <w:color w:val="auto"/>
                <w:kern w:val="2"/>
                <w:sz w:val="21"/>
                <w:szCs w:val="21"/>
                <w:highlight w:val="none"/>
                <w:lang w:val="en-US"/>
              </w:rPr>
              <w:t>2</w:t>
            </w:r>
            <w:r>
              <w:rPr>
                <w:rStyle w:val="12"/>
                <w:rFonts w:hint="eastAsia" w:ascii="宋体" w:hAnsi="宋体" w:eastAsia="宋体" w:cs="宋体"/>
                <w:b/>
                <w:color w:val="auto"/>
                <w:kern w:val="2"/>
                <w:sz w:val="21"/>
                <w:szCs w:val="21"/>
                <w:highlight w:val="none"/>
              </w:rPr>
              <w:t>~9.</w:t>
            </w:r>
            <w:r>
              <w:rPr>
                <w:rStyle w:val="12"/>
                <w:rFonts w:hint="eastAsia" w:ascii="宋体" w:hAnsi="宋体" w:eastAsia="宋体" w:cs="宋体"/>
                <w:b/>
                <w:color w:val="auto"/>
                <w:kern w:val="2"/>
                <w:sz w:val="21"/>
                <w:szCs w:val="21"/>
                <w:highlight w:val="none"/>
                <w:lang w:val="en-US"/>
              </w:rPr>
              <w:t>6</w:t>
            </w:r>
            <w:r>
              <w:rPr>
                <w:rStyle w:val="12"/>
                <w:rFonts w:hint="eastAsia" w:ascii="宋体" w:hAnsi="宋体" w:eastAsia="宋体" w:cs="宋体"/>
                <w:b/>
                <w:color w:val="auto"/>
                <w:kern w:val="2"/>
                <w:sz w:val="21"/>
                <w:szCs w:val="21"/>
                <w:highlight w:val="none"/>
              </w:rPr>
              <w:t>分</w:t>
            </w:r>
            <w:r>
              <w:rPr>
                <w:rStyle w:val="12"/>
                <w:rFonts w:hint="eastAsia" w:ascii="宋体" w:hAnsi="宋体" w:eastAsia="宋体" w:cs="宋体"/>
                <w:color w:val="auto"/>
                <w:kern w:val="2"/>
                <w:sz w:val="21"/>
                <w:szCs w:val="21"/>
                <w:highlight w:val="none"/>
              </w:rPr>
              <w:t>；</w:t>
            </w:r>
          </w:p>
          <w:p>
            <w:pPr>
              <w:keepNext w:val="0"/>
              <w:keepLines w:val="0"/>
              <w:suppressLineNumbers w:val="0"/>
              <w:tabs>
                <w:tab w:val="left" w:pos="380"/>
                <w:tab w:val="left" w:pos="840"/>
                <w:tab w:val="left" w:pos="917"/>
                <w:tab w:val="left" w:pos="1075"/>
                <w:tab w:val="left" w:pos="1260"/>
              </w:tabs>
              <w:snapToGrid w:val="0"/>
              <w:spacing w:before="0" w:beforeAutospacing="0" w:after="0" w:afterAutospacing="0" w:line="360" w:lineRule="exact"/>
              <w:ind w:left="10" w:leftChars="0" w:right="130" w:rightChars="59" w:hanging="10" w:hangingChars="5"/>
              <w:rPr>
                <w:rFonts w:ascii="宋体" w:hAnsi="宋体" w:eastAsia="宋体" w:cs="宋体"/>
                <w:color w:val="auto"/>
                <w:spacing w:val="0"/>
                <w:kern w:val="2"/>
                <w:sz w:val="21"/>
                <w:szCs w:val="21"/>
                <w:highlight w:val="none"/>
                <w:u w:val="none"/>
                <w:lang w:val="zh-CN" w:eastAsia="zh-CN" w:bidi="zh-CN"/>
              </w:rPr>
            </w:pPr>
            <w:r>
              <w:rPr>
                <w:rStyle w:val="12"/>
                <w:rFonts w:hint="eastAsia" w:ascii="宋体" w:hAnsi="宋体" w:eastAsia="宋体" w:cs="宋体"/>
                <w:color w:val="auto"/>
                <w:kern w:val="2"/>
                <w:sz w:val="21"/>
                <w:szCs w:val="21"/>
                <w:highlight w:val="none"/>
              </w:rPr>
              <w:t>（3）一般但不被评定为不响应的,起评分</w:t>
            </w:r>
            <w:r>
              <w:rPr>
                <w:rStyle w:val="12"/>
                <w:rFonts w:hint="eastAsia" w:ascii="宋体" w:hAnsi="宋体" w:eastAsia="宋体" w:cs="宋体"/>
                <w:b/>
                <w:color w:val="auto"/>
                <w:kern w:val="2"/>
                <w:sz w:val="21"/>
                <w:szCs w:val="21"/>
                <w:highlight w:val="none"/>
              </w:rPr>
              <w:t>7.2分</w:t>
            </w:r>
            <w:r>
              <w:rPr>
                <w:rStyle w:val="12"/>
                <w:rFonts w:hint="eastAsia" w:ascii="宋体" w:hAnsi="宋体" w:eastAsia="宋体" w:cs="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vMerge w:val="continue"/>
            <w:noWrap w:val="0"/>
            <w:vAlign w:val="center"/>
          </w:tcPr>
          <w:p>
            <w:pPr>
              <w:spacing w:line="400" w:lineRule="exact"/>
              <w:jc w:val="center"/>
              <w:rPr>
                <w:color w:val="auto"/>
                <w:szCs w:val="21"/>
                <w:highlight w:val="none"/>
              </w:rPr>
            </w:pPr>
          </w:p>
        </w:tc>
        <w:tc>
          <w:tcPr>
            <w:tcW w:w="709" w:type="dxa"/>
            <w:gridSpan w:val="3"/>
            <w:vMerge w:val="continue"/>
            <w:noWrap w:val="0"/>
            <w:vAlign w:val="center"/>
          </w:tcPr>
          <w:p>
            <w:pPr>
              <w:spacing w:line="400" w:lineRule="exact"/>
              <w:jc w:val="center"/>
              <w:rPr>
                <w:color w:val="auto"/>
                <w:szCs w:val="21"/>
                <w:highlight w:val="none"/>
              </w:rPr>
            </w:pPr>
          </w:p>
        </w:tc>
        <w:tc>
          <w:tcPr>
            <w:tcW w:w="708" w:type="dxa"/>
            <w:vMerge w:val="continue"/>
            <w:noWrap w:val="0"/>
            <w:vAlign w:val="center"/>
          </w:tcPr>
          <w:p>
            <w:pPr>
              <w:spacing w:line="400" w:lineRule="exact"/>
              <w:jc w:val="center"/>
              <w:rPr>
                <w:color w:val="auto"/>
                <w:szCs w:val="21"/>
                <w:highlight w:val="none"/>
                <w:u w:val="single"/>
              </w:rPr>
            </w:pPr>
          </w:p>
        </w:tc>
        <w:tc>
          <w:tcPr>
            <w:tcW w:w="993" w:type="dxa"/>
            <w:gridSpan w:val="2"/>
            <w:noWrap w:val="0"/>
            <w:vAlign w:val="center"/>
          </w:tcPr>
          <w:p>
            <w:pPr>
              <w:keepNext w:val="0"/>
              <w:keepLines w:val="0"/>
              <w:suppressLineNumbers w:val="0"/>
              <w:tabs>
                <w:tab w:val="left" w:pos="917"/>
                <w:tab w:val="left" w:pos="1075"/>
              </w:tabs>
              <w:spacing w:before="0" w:beforeAutospacing="0" w:after="0" w:afterAutospacing="0" w:line="360" w:lineRule="exact"/>
              <w:ind w:left="0" w:leftChars="0" w:right="130" w:rightChars="59"/>
              <w:jc w:val="center"/>
              <w:rPr>
                <w:rFonts w:ascii="宋体" w:hAnsi="宋体" w:eastAsia="宋体" w:cs="宋体"/>
                <w:color w:val="auto"/>
                <w:spacing w:val="0"/>
                <w:kern w:val="2"/>
                <w:sz w:val="21"/>
                <w:szCs w:val="21"/>
                <w:highlight w:val="none"/>
                <w:u w:val="none"/>
                <w:lang w:val="zh-CN" w:eastAsia="zh-CN" w:bidi="zh-CN"/>
              </w:rPr>
            </w:pPr>
            <w:r>
              <w:rPr>
                <w:rStyle w:val="12"/>
                <w:rFonts w:hint="eastAsia" w:ascii="宋体" w:hAnsi="宋体" w:eastAsia="宋体" w:cs="宋体"/>
                <w:color w:val="auto"/>
                <w:kern w:val="2"/>
                <w:sz w:val="21"/>
                <w:szCs w:val="21"/>
                <w:highlight w:val="none"/>
              </w:rPr>
              <w:t>质量、安全保证体系及保证措施</w:t>
            </w:r>
          </w:p>
        </w:tc>
        <w:tc>
          <w:tcPr>
            <w:tcW w:w="567" w:type="dxa"/>
            <w:noWrap w:val="0"/>
            <w:vAlign w:val="center"/>
          </w:tcPr>
          <w:p>
            <w:pPr>
              <w:pStyle w:val="11"/>
              <w:keepNext w:val="0"/>
              <w:keepLines w:val="0"/>
              <w:suppressLineNumbers w:val="0"/>
              <w:shd w:val="clear" w:color="auto" w:fill="auto"/>
              <w:tabs>
                <w:tab w:val="left" w:pos="917"/>
                <w:tab w:val="left" w:pos="1075"/>
              </w:tabs>
              <w:spacing w:before="0" w:beforeAutospacing="0" w:after="0" w:afterAutospacing="0" w:line="360" w:lineRule="exact"/>
              <w:ind w:left="0" w:leftChars="0" w:right="130" w:rightChars="59"/>
              <w:jc w:val="center"/>
              <w:rPr>
                <w:rFonts w:ascii="宋体" w:hAnsi="宋体" w:eastAsia="宋体" w:cs="宋体"/>
                <w:color w:val="auto"/>
                <w:spacing w:val="0"/>
                <w:sz w:val="21"/>
                <w:szCs w:val="21"/>
                <w:highlight w:val="none"/>
                <w:u w:val="none"/>
                <w:lang w:val="zh-CN" w:eastAsia="zh-CN" w:bidi="zh-CN"/>
              </w:rPr>
            </w:pPr>
            <w:r>
              <w:rPr>
                <w:rStyle w:val="12"/>
                <w:rFonts w:hint="eastAsia" w:ascii="宋体" w:hAnsi="宋体" w:eastAsia="宋体" w:cs="宋体"/>
                <w:color w:val="auto"/>
                <w:sz w:val="21"/>
                <w:szCs w:val="21"/>
                <w:highlight w:val="none"/>
              </w:rPr>
              <w:t>16分</w:t>
            </w:r>
          </w:p>
        </w:tc>
        <w:tc>
          <w:tcPr>
            <w:tcW w:w="5532" w:type="dxa"/>
            <w:noWrap w:val="0"/>
            <w:vAlign w:val="center"/>
          </w:tcPr>
          <w:p>
            <w:pPr>
              <w:keepNext w:val="0"/>
              <w:keepLines w:val="0"/>
              <w:suppressLineNumbers w:val="0"/>
              <w:tabs>
                <w:tab w:val="left" w:pos="917"/>
                <w:tab w:val="left" w:pos="1075"/>
                <w:tab w:val="left" w:pos="1260"/>
              </w:tabs>
              <w:snapToGrid w:val="0"/>
              <w:spacing w:before="0" w:beforeAutospacing="0" w:after="0" w:afterAutospacing="0" w:line="360" w:lineRule="exact"/>
              <w:ind w:left="10" w:right="130" w:rightChars="59" w:hanging="10" w:hangingChars="5"/>
              <w:rPr>
                <w:rStyle w:val="12"/>
                <w:rFonts w:ascii="宋体" w:hAnsi="宋体" w:eastAsia="宋体" w:cs="宋体"/>
                <w:color w:val="auto"/>
                <w:kern w:val="2"/>
                <w:sz w:val="21"/>
                <w:szCs w:val="21"/>
                <w:highlight w:val="none"/>
              </w:rPr>
            </w:pPr>
            <w:r>
              <w:rPr>
                <w:rStyle w:val="12"/>
                <w:rFonts w:hint="eastAsia" w:ascii="宋体" w:hAnsi="宋体" w:eastAsia="宋体" w:cs="宋体"/>
                <w:color w:val="auto"/>
                <w:kern w:val="2"/>
                <w:sz w:val="21"/>
                <w:szCs w:val="21"/>
                <w:highlight w:val="none"/>
              </w:rPr>
              <w:t>（1）对本项目质量及安全控制有透彻的认识，对施工过程中可能发生的各种质量和安全问题有深刻的认识和合理的预见，并有相应的应对措施，应对措施应科学、充分，能有效处理各种突发问题的，</w:t>
            </w:r>
            <w:r>
              <w:rPr>
                <w:rStyle w:val="12"/>
                <w:rFonts w:hint="eastAsia" w:ascii="宋体" w:hAnsi="宋体" w:eastAsia="宋体" w:cs="宋体"/>
                <w:b/>
                <w:color w:val="auto"/>
                <w:kern w:val="2"/>
                <w:sz w:val="21"/>
                <w:szCs w:val="21"/>
                <w:highlight w:val="none"/>
              </w:rPr>
              <w:t>得12.8~16分</w:t>
            </w:r>
            <w:r>
              <w:rPr>
                <w:rStyle w:val="12"/>
                <w:rFonts w:hint="eastAsia" w:ascii="宋体" w:hAnsi="宋体" w:eastAsia="宋体" w:cs="宋体"/>
                <w:color w:val="auto"/>
                <w:kern w:val="2"/>
                <w:sz w:val="21"/>
                <w:szCs w:val="21"/>
                <w:highlight w:val="none"/>
              </w:rPr>
              <w:t>；</w:t>
            </w:r>
          </w:p>
          <w:p>
            <w:pPr>
              <w:keepNext w:val="0"/>
              <w:keepLines w:val="0"/>
              <w:suppressLineNumbers w:val="0"/>
              <w:tabs>
                <w:tab w:val="left" w:pos="917"/>
                <w:tab w:val="left" w:pos="1075"/>
                <w:tab w:val="left" w:pos="1260"/>
              </w:tabs>
              <w:snapToGrid w:val="0"/>
              <w:spacing w:before="0" w:beforeAutospacing="0" w:after="0" w:afterAutospacing="0" w:line="360" w:lineRule="exact"/>
              <w:ind w:left="10" w:right="130" w:rightChars="59" w:hanging="10" w:hangingChars="5"/>
              <w:rPr>
                <w:rStyle w:val="12"/>
                <w:rFonts w:ascii="宋体" w:hAnsi="宋体" w:eastAsia="宋体" w:cs="宋体"/>
                <w:color w:val="auto"/>
                <w:kern w:val="2"/>
                <w:sz w:val="21"/>
                <w:szCs w:val="21"/>
                <w:highlight w:val="none"/>
              </w:rPr>
            </w:pPr>
            <w:r>
              <w:rPr>
                <w:rStyle w:val="12"/>
                <w:rFonts w:hint="eastAsia" w:ascii="宋体" w:hAnsi="宋体" w:eastAsia="宋体" w:cs="宋体"/>
                <w:color w:val="auto"/>
                <w:kern w:val="2"/>
                <w:sz w:val="21"/>
                <w:szCs w:val="21"/>
                <w:highlight w:val="none"/>
              </w:rPr>
              <w:t>（2）对本项目质量及安全控制有一定的认识，基本能合理的预见施工过程中可能发生的各种质量和安全基本能有效处理各种质量和安全问题的，</w:t>
            </w:r>
            <w:r>
              <w:rPr>
                <w:rStyle w:val="12"/>
                <w:rFonts w:hint="eastAsia" w:ascii="宋体" w:hAnsi="宋体" w:eastAsia="宋体" w:cs="宋体"/>
                <w:b/>
                <w:color w:val="auto"/>
                <w:kern w:val="2"/>
                <w:sz w:val="21"/>
                <w:szCs w:val="21"/>
                <w:highlight w:val="none"/>
              </w:rPr>
              <w:t>得9.</w:t>
            </w:r>
            <w:r>
              <w:rPr>
                <w:rStyle w:val="12"/>
                <w:rFonts w:hint="eastAsia" w:ascii="宋体" w:hAnsi="宋体" w:eastAsia="宋体" w:cs="宋体"/>
                <w:b/>
                <w:color w:val="auto"/>
                <w:kern w:val="2"/>
                <w:sz w:val="21"/>
                <w:szCs w:val="21"/>
                <w:highlight w:val="none"/>
                <w:lang w:val="en-US"/>
              </w:rPr>
              <w:t>6</w:t>
            </w:r>
            <w:r>
              <w:rPr>
                <w:rStyle w:val="12"/>
                <w:rFonts w:hint="eastAsia" w:ascii="宋体" w:hAnsi="宋体" w:eastAsia="宋体" w:cs="宋体"/>
                <w:b/>
                <w:color w:val="auto"/>
                <w:kern w:val="2"/>
                <w:sz w:val="21"/>
                <w:szCs w:val="21"/>
                <w:highlight w:val="none"/>
              </w:rPr>
              <w:t>~12.8分</w:t>
            </w:r>
            <w:r>
              <w:rPr>
                <w:rStyle w:val="12"/>
                <w:rFonts w:hint="eastAsia" w:ascii="宋体" w:hAnsi="宋体" w:eastAsia="宋体" w:cs="宋体"/>
                <w:color w:val="auto"/>
                <w:kern w:val="2"/>
                <w:sz w:val="21"/>
                <w:szCs w:val="21"/>
                <w:highlight w:val="none"/>
              </w:rPr>
              <w:t>；</w:t>
            </w:r>
          </w:p>
          <w:p>
            <w:pPr>
              <w:keepNext w:val="0"/>
              <w:keepLines w:val="0"/>
              <w:suppressLineNumbers w:val="0"/>
              <w:tabs>
                <w:tab w:val="left" w:pos="917"/>
                <w:tab w:val="left" w:pos="1075"/>
              </w:tabs>
              <w:spacing w:before="0" w:beforeAutospacing="0" w:after="0" w:afterAutospacing="0" w:line="360" w:lineRule="exact"/>
              <w:ind w:left="10" w:leftChars="0" w:right="130" w:rightChars="59" w:hanging="10" w:hangingChars="5"/>
              <w:rPr>
                <w:rFonts w:ascii="宋体" w:hAnsi="宋体" w:eastAsia="宋体" w:cs="宋体"/>
                <w:color w:val="auto"/>
                <w:spacing w:val="0"/>
                <w:kern w:val="2"/>
                <w:sz w:val="21"/>
                <w:szCs w:val="21"/>
                <w:highlight w:val="none"/>
                <w:u w:val="none"/>
                <w:lang w:val="zh-CN" w:eastAsia="zh-CN" w:bidi="zh-CN"/>
              </w:rPr>
            </w:pPr>
            <w:r>
              <w:rPr>
                <w:rStyle w:val="12"/>
                <w:rFonts w:hint="eastAsia" w:ascii="宋体" w:hAnsi="宋体" w:eastAsia="宋体" w:cs="宋体"/>
                <w:color w:val="auto"/>
                <w:kern w:val="2"/>
                <w:sz w:val="21"/>
                <w:szCs w:val="21"/>
                <w:highlight w:val="none"/>
              </w:rPr>
              <w:t>（3）一般但不被评定为不响应的, 起评分</w:t>
            </w:r>
            <w:r>
              <w:rPr>
                <w:rStyle w:val="12"/>
                <w:rFonts w:hint="eastAsia" w:ascii="宋体" w:hAnsi="宋体" w:eastAsia="宋体" w:cs="宋体"/>
                <w:b/>
                <w:color w:val="auto"/>
                <w:kern w:val="2"/>
                <w:sz w:val="21"/>
                <w:szCs w:val="21"/>
                <w:highlight w:val="none"/>
              </w:rPr>
              <w:t>9.6分</w:t>
            </w:r>
            <w:r>
              <w:rPr>
                <w:rStyle w:val="12"/>
                <w:rFonts w:hint="eastAsia" w:ascii="宋体" w:hAnsi="宋体" w:eastAsia="宋体" w:cs="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vMerge w:val="continue"/>
            <w:noWrap w:val="0"/>
            <w:vAlign w:val="center"/>
          </w:tcPr>
          <w:p>
            <w:pPr>
              <w:spacing w:line="400" w:lineRule="exact"/>
              <w:jc w:val="center"/>
              <w:rPr>
                <w:color w:val="auto"/>
                <w:szCs w:val="21"/>
                <w:highlight w:val="none"/>
              </w:rPr>
            </w:pPr>
          </w:p>
        </w:tc>
        <w:tc>
          <w:tcPr>
            <w:tcW w:w="709" w:type="dxa"/>
            <w:gridSpan w:val="3"/>
            <w:vMerge w:val="continue"/>
            <w:noWrap w:val="0"/>
            <w:vAlign w:val="center"/>
          </w:tcPr>
          <w:p>
            <w:pPr>
              <w:spacing w:line="400" w:lineRule="exact"/>
              <w:jc w:val="center"/>
              <w:rPr>
                <w:color w:val="auto"/>
                <w:szCs w:val="21"/>
                <w:highlight w:val="none"/>
              </w:rPr>
            </w:pPr>
          </w:p>
        </w:tc>
        <w:tc>
          <w:tcPr>
            <w:tcW w:w="708" w:type="dxa"/>
            <w:vMerge w:val="continue"/>
            <w:noWrap w:val="0"/>
            <w:vAlign w:val="center"/>
          </w:tcPr>
          <w:p>
            <w:pPr>
              <w:spacing w:line="400" w:lineRule="exact"/>
              <w:jc w:val="center"/>
              <w:rPr>
                <w:color w:val="auto"/>
                <w:szCs w:val="21"/>
                <w:highlight w:val="none"/>
                <w:u w:val="single"/>
              </w:rPr>
            </w:pPr>
          </w:p>
        </w:tc>
        <w:tc>
          <w:tcPr>
            <w:tcW w:w="993" w:type="dxa"/>
            <w:gridSpan w:val="2"/>
            <w:noWrap w:val="0"/>
            <w:vAlign w:val="center"/>
          </w:tcPr>
          <w:p>
            <w:pPr>
              <w:keepNext w:val="0"/>
              <w:keepLines w:val="0"/>
              <w:suppressLineNumbers w:val="0"/>
              <w:tabs>
                <w:tab w:val="left" w:pos="917"/>
                <w:tab w:val="left" w:pos="1075"/>
              </w:tabs>
              <w:spacing w:before="0" w:beforeAutospacing="0" w:after="0" w:afterAutospacing="0" w:line="360" w:lineRule="exact"/>
              <w:ind w:left="0" w:leftChars="0" w:right="130" w:rightChars="59"/>
              <w:jc w:val="center"/>
              <w:rPr>
                <w:rFonts w:ascii="宋体" w:hAnsi="宋体" w:eastAsia="宋体" w:cs="宋体"/>
                <w:color w:val="auto"/>
                <w:spacing w:val="0"/>
                <w:kern w:val="2"/>
                <w:sz w:val="21"/>
                <w:szCs w:val="21"/>
                <w:highlight w:val="none"/>
                <w:u w:val="none"/>
                <w:lang w:val="zh-CN" w:eastAsia="zh-CN" w:bidi="zh-CN"/>
              </w:rPr>
            </w:pPr>
            <w:r>
              <w:rPr>
                <w:rStyle w:val="12"/>
                <w:rFonts w:hint="eastAsia" w:ascii="宋体" w:hAnsi="宋体" w:eastAsia="宋体" w:cs="宋体"/>
                <w:color w:val="auto"/>
                <w:kern w:val="2"/>
                <w:sz w:val="21"/>
                <w:szCs w:val="21"/>
                <w:highlight w:val="none"/>
              </w:rPr>
              <w:t>环境保护、文明施工保证体系及措施</w:t>
            </w:r>
          </w:p>
        </w:tc>
        <w:tc>
          <w:tcPr>
            <w:tcW w:w="567" w:type="dxa"/>
            <w:noWrap w:val="0"/>
            <w:vAlign w:val="center"/>
          </w:tcPr>
          <w:p>
            <w:pPr>
              <w:pStyle w:val="11"/>
              <w:keepNext w:val="0"/>
              <w:keepLines w:val="0"/>
              <w:suppressLineNumbers w:val="0"/>
              <w:shd w:val="clear" w:color="auto" w:fill="auto"/>
              <w:tabs>
                <w:tab w:val="left" w:pos="917"/>
                <w:tab w:val="left" w:pos="1075"/>
              </w:tabs>
              <w:spacing w:before="0" w:beforeAutospacing="0" w:after="0" w:afterAutospacing="0" w:line="360" w:lineRule="exact"/>
              <w:ind w:left="0" w:leftChars="0" w:right="130" w:rightChars="59"/>
              <w:jc w:val="center"/>
              <w:rPr>
                <w:rFonts w:ascii="宋体" w:hAnsi="宋体" w:eastAsia="宋体" w:cs="宋体"/>
                <w:color w:val="auto"/>
                <w:spacing w:val="0"/>
                <w:sz w:val="21"/>
                <w:szCs w:val="21"/>
                <w:highlight w:val="none"/>
                <w:u w:val="none"/>
                <w:lang w:val="zh-CN" w:eastAsia="zh-CN" w:bidi="zh-CN"/>
              </w:rPr>
            </w:pPr>
            <w:r>
              <w:rPr>
                <w:rStyle w:val="12"/>
                <w:rFonts w:ascii="宋体" w:hAnsi="宋体" w:eastAsia="宋体" w:cs="宋体"/>
                <w:color w:val="auto"/>
                <w:sz w:val="21"/>
                <w:szCs w:val="21"/>
                <w:highlight w:val="none"/>
              </w:rPr>
              <w:t>1</w:t>
            </w:r>
            <w:r>
              <w:rPr>
                <w:rStyle w:val="12"/>
                <w:rFonts w:hint="eastAsia" w:ascii="宋体" w:hAnsi="宋体" w:eastAsia="宋体" w:cs="宋体"/>
                <w:color w:val="auto"/>
                <w:sz w:val="21"/>
                <w:szCs w:val="21"/>
                <w:highlight w:val="none"/>
              </w:rPr>
              <w:t>2分</w:t>
            </w:r>
          </w:p>
        </w:tc>
        <w:tc>
          <w:tcPr>
            <w:tcW w:w="5532" w:type="dxa"/>
            <w:noWrap w:val="0"/>
            <w:vAlign w:val="center"/>
          </w:tcPr>
          <w:p>
            <w:pPr>
              <w:keepNext w:val="0"/>
              <w:keepLines w:val="0"/>
              <w:suppressLineNumbers w:val="0"/>
              <w:tabs>
                <w:tab w:val="left" w:pos="917"/>
                <w:tab w:val="left" w:pos="1075"/>
                <w:tab w:val="left" w:pos="1260"/>
              </w:tabs>
              <w:snapToGrid w:val="0"/>
              <w:spacing w:before="0" w:beforeAutospacing="0" w:after="0" w:afterAutospacing="0" w:line="360" w:lineRule="exact"/>
              <w:ind w:left="10" w:right="130" w:rightChars="59" w:hanging="10" w:hangingChars="5"/>
              <w:rPr>
                <w:rStyle w:val="12"/>
                <w:rFonts w:ascii="宋体" w:hAnsi="宋体" w:eastAsia="宋体" w:cs="宋体"/>
                <w:color w:val="auto"/>
                <w:kern w:val="2"/>
                <w:sz w:val="21"/>
                <w:szCs w:val="21"/>
                <w:highlight w:val="none"/>
              </w:rPr>
            </w:pPr>
            <w:r>
              <w:rPr>
                <w:rStyle w:val="12"/>
                <w:rFonts w:hint="eastAsia" w:ascii="宋体" w:hAnsi="宋体" w:eastAsia="宋体" w:cs="宋体"/>
                <w:color w:val="auto"/>
                <w:kern w:val="2"/>
                <w:sz w:val="21"/>
                <w:szCs w:val="21"/>
                <w:highlight w:val="none"/>
              </w:rPr>
              <w:t>（1）对本项目的环保及文明施工等工作有独到的见解，能制定科学的措施，施工做到符合环保的要求，对文明施工有相应的措施，能创造良好的施工环境的，</w:t>
            </w:r>
            <w:r>
              <w:rPr>
                <w:rStyle w:val="12"/>
                <w:rFonts w:hint="eastAsia" w:ascii="宋体" w:hAnsi="宋体" w:eastAsia="宋体" w:cs="宋体"/>
                <w:b/>
                <w:color w:val="auto"/>
                <w:kern w:val="2"/>
                <w:sz w:val="21"/>
                <w:szCs w:val="21"/>
                <w:highlight w:val="none"/>
              </w:rPr>
              <w:t>得9.6~</w:t>
            </w:r>
            <w:r>
              <w:rPr>
                <w:rStyle w:val="12"/>
                <w:rFonts w:ascii="宋体" w:hAnsi="宋体" w:eastAsia="宋体" w:cs="宋体"/>
                <w:b/>
                <w:color w:val="auto"/>
                <w:kern w:val="2"/>
                <w:sz w:val="21"/>
                <w:szCs w:val="21"/>
                <w:highlight w:val="none"/>
              </w:rPr>
              <w:t>1</w:t>
            </w:r>
            <w:r>
              <w:rPr>
                <w:rStyle w:val="12"/>
                <w:rFonts w:hint="eastAsia" w:ascii="宋体" w:hAnsi="宋体" w:eastAsia="宋体" w:cs="宋体"/>
                <w:b/>
                <w:color w:val="auto"/>
                <w:kern w:val="2"/>
                <w:sz w:val="21"/>
                <w:szCs w:val="21"/>
                <w:highlight w:val="none"/>
              </w:rPr>
              <w:t>2分</w:t>
            </w:r>
            <w:r>
              <w:rPr>
                <w:rStyle w:val="12"/>
                <w:rFonts w:hint="eastAsia" w:ascii="宋体" w:hAnsi="宋体" w:eastAsia="宋体" w:cs="宋体"/>
                <w:color w:val="auto"/>
                <w:kern w:val="2"/>
                <w:sz w:val="21"/>
                <w:szCs w:val="21"/>
                <w:highlight w:val="none"/>
              </w:rPr>
              <w:t>；</w:t>
            </w:r>
          </w:p>
          <w:p>
            <w:pPr>
              <w:keepNext w:val="0"/>
              <w:keepLines w:val="0"/>
              <w:suppressLineNumbers w:val="0"/>
              <w:tabs>
                <w:tab w:val="left" w:pos="917"/>
                <w:tab w:val="left" w:pos="1075"/>
                <w:tab w:val="left" w:pos="1260"/>
              </w:tabs>
              <w:snapToGrid w:val="0"/>
              <w:spacing w:before="0" w:beforeAutospacing="0" w:after="0" w:afterAutospacing="0" w:line="360" w:lineRule="exact"/>
              <w:ind w:left="10" w:right="130" w:rightChars="59" w:hanging="10" w:hangingChars="5"/>
              <w:rPr>
                <w:rStyle w:val="12"/>
                <w:rFonts w:ascii="宋体" w:hAnsi="宋体" w:eastAsia="宋体" w:cs="宋体"/>
                <w:color w:val="auto"/>
                <w:kern w:val="2"/>
                <w:sz w:val="21"/>
                <w:szCs w:val="21"/>
                <w:highlight w:val="none"/>
              </w:rPr>
            </w:pPr>
            <w:r>
              <w:rPr>
                <w:rStyle w:val="12"/>
                <w:rFonts w:hint="eastAsia" w:ascii="宋体" w:hAnsi="宋体" w:eastAsia="宋体" w:cs="宋体"/>
                <w:color w:val="auto"/>
                <w:kern w:val="2"/>
                <w:sz w:val="21"/>
                <w:szCs w:val="21"/>
                <w:highlight w:val="none"/>
              </w:rPr>
              <w:t>（2）对工程环保及文明施工等工作制定有相关的措施，基本能满足本项目环保及文明施工的要求的，</w:t>
            </w:r>
            <w:r>
              <w:rPr>
                <w:rStyle w:val="12"/>
                <w:rFonts w:hint="eastAsia" w:ascii="宋体" w:hAnsi="宋体" w:eastAsia="宋体" w:cs="宋体"/>
                <w:b/>
                <w:color w:val="auto"/>
                <w:kern w:val="2"/>
                <w:sz w:val="21"/>
                <w:szCs w:val="21"/>
                <w:highlight w:val="none"/>
              </w:rPr>
              <w:t>得7.</w:t>
            </w:r>
            <w:r>
              <w:rPr>
                <w:rStyle w:val="12"/>
                <w:rFonts w:hint="eastAsia" w:ascii="宋体" w:hAnsi="宋体" w:eastAsia="宋体" w:cs="宋体"/>
                <w:b/>
                <w:color w:val="auto"/>
                <w:kern w:val="2"/>
                <w:sz w:val="21"/>
                <w:szCs w:val="21"/>
                <w:highlight w:val="none"/>
                <w:lang w:val="en-US"/>
              </w:rPr>
              <w:t>2</w:t>
            </w:r>
            <w:r>
              <w:rPr>
                <w:rStyle w:val="12"/>
                <w:rFonts w:hint="eastAsia" w:ascii="宋体" w:hAnsi="宋体" w:eastAsia="宋体" w:cs="宋体"/>
                <w:b/>
                <w:color w:val="auto"/>
                <w:kern w:val="2"/>
                <w:sz w:val="21"/>
                <w:szCs w:val="21"/>
                <w:highlight w:val="none"/>
              </w:rPr>
              <w:t>~9.</w:t>
            </w:r>
            <w:r>
              <w:rPr>
                <w:rStyle w:val="12"/>
                <w:rFonts w:hint="eastAsia" w:ascii="宋体" w:hAnsi="宋体" w:eastAsia="宋体" w:cs="宋体"/>
                <w:b/>
                <w:color w:val="auto"/>
                <w:kern w:val="2"/>
                <w:sz w:val="21"/>
                <w:szCs w:val="21"/>
                <w:highlight w:val="none"/>
                <w:lang w:val="en-US"/>
              </w:rPr>
              <w:t>6</w:t>
            </w:r>
            <w:r>
              <w:rPr>
                <w:rStyle w:val="12"/>
                <w:rFonts w:hint="eastAsia" w:ascii="宋体" w:hAnsi="宋体" w:eastAsia="宋体" w:cs="宋体"/>
                <w:b/>
                <w:color w:val="auto"/>
                <w:kern w:val="2"/>
                <w:sz w:val="21"/>
                <w:szCs w:val="21"/>
                <w:highlight w:val="none"/>
              </w:rPr>
              <w:t>分</w:t>
            </w:r>
            <w:r>
              <w:rPr>
                <w:rStyle w:val="12"/>
                <w:rFonts w:hint="eastAsia" w:ascii="宋体" w:hAnsi="宋体" w:eastAsia="宋体" w:cs="宋体"/>
                <w:color w:val="auto"/>
                <w:kern w:val="2"/>
                <w:sz w:val="21"/>
                <w:szCs w:val="21"/>
                <w:highlight w:val="none"/>
              </w:rPr>
              <w:t>；</w:t>
            </w:r>
          </w:p>
          <w:p>
            <w:pPr>
              <w:keepNext w:val="0"/>
              <w:keepLines w:val="0"/>
              <w:suppressLineNumbers w:val="0"/>
              <w:tabs>
                <w:tab w:val="left" w:pos="917"/>
                <w:tab w:val="left" w:pos="1075"/>
              </w:tabs>
              <w:spacing w:before="0" w:beforeAutospacing="0" w:after="0" w:afterAutospacing="0" w:line="360" w:lineRule="exact"/>
              <w:ind w:left="10" w:leftChars="0" w:right="130" w:rightChars="59" w:hanging="10" w:hangingChars="5"/>
              <w:rPr>
                <w:rFonts w:ascii="宋体" w:hAnsi="宋体" w:eastAsia="宋体" w:cs="宋体"/>
                <w:color w:val="auto"/>
                <w:spacing w:val="0"/>
                <w:kern w:val="2"/>
                <w:sz w:val="21"/>
                <w:szCs w:val="21"/>
                <w:highlight w:val="none"/>
                <w:u w:val="none"/>
                <w:lang w:val="zh-CN" w:eastAsia="zh-CN" w:bidi="zh-CN"/>
              </w:rPr>
            </w:pPr>
            <w:r>
              <w:rPr>
                <w:rStyle w:val="12"/>
                <w:rFonts w:hint="eastAsia" w:ascii="宋体" w:hAnsi="宋体" w:eastAsia="宋体" w:cs="宋体"/>
                <w:color w:val="auto"/>
                <w:kern w:val="2"/>
                <w:sz w:val="21"/>
                <w:szCs w:val="21"/>
                <w:highlight w:val="none"/>
              </w:rPr>
              <w:t>（3）一般但不被评定为不响应的, 起评分</w:t>
            </w:r>
            <w:r>
              <w:rPr>
                <w:rStyle w:val="12"/>
                <w:rFonts w:hint="eastAsia" w:ascii="宋体" w:hAnsi="宋体" w:eastAsia="宋体" w:cs="宋体"/>
                <w:b/>
                <w:color w:val="auto"/>
                <w:kern w:val="2"/>
                <w:sz w:val="21"/>
                <w:szCs w:val="21"/>
                <w:highlight w:val="none"/>
              </w:rPr>
              <w:t>7.2分</w:t>
            </w:r>
            <w:r>
              <w:rPr>
                <w:rStyle w:val="12"/>
                <w:rFonts w:hint="eastAsia" w:ascii="宋体" w:hAnsi="宋体" w:eastAsia="宋体" w:cs="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vMerge w:val="restart"/>
            <w:noWrap w:val="0"/>
            <w:vAlign w:val="center"/>
          </w:tcPr>
          <w:p>
            <w:pPr>
              <w:spacing w:line="400" w:lineRule="exact"/>
              <w:jc w:val="center"/>
              <w:rPr>
                <w:rFonts w:hint="eastAsia" w:eastAsia="宋体"/>
                <w:color w:val="auto"/>
                <w:szCs w:val="21"/>
                <w:highlight w:val="none"/>
                <w:lang w:eastAsia="zh-CN"/>
              </w:rPr>
            </w:pPr>
            <w:r>
              <w:rPr>
                <w:rFonts w:hint="eastAsia"/>
                <w:color w:val="auto"/>
                <w:szCs w:val="21"/>
                <w:highlight w:val="none"/>
              </w:rPr>
              <w:t>2.2.</w:t>
            </w:r>
            <w:r>
              <w:rPr>
                <w:rFonts w:hint="eastAsia"/>
                <w:color w:val="auto"/>
                <w:szCs w:val="21"/>
                <w:highlight w:val="none"/>
                <w:lang w:val="en-US" w:eastAsia="zh-CN"/>
              </w:rPr>
              <w:t>4</w:t>
            </w:r>
          </w:p>
          <w:p>
            <w:pPr>
              <w:spacing w:line="400" w:lineRule="exact"/>
              <w:jc w:val="center"/>
              <w:rPr>
                <w:color w:val="auto"/>
                <w:szCs w:val="21"/>
                <w:highlight w:val="none"/>
              </w:rPr>
            </w:pPr>
            <w:r>
              <w:rPr>
                <w:rFonts w:hint="eastAsia"/>
                <w:color w:val="auto"/>
                <w:szCs w:val="21"/>
                <w:highlight w:val="none"/>
              </w:rPr>
              <w:t>（2）</w:t>
            </w:r>
          </w:p>
        </w:tc>
        <w:tc>
          <w:tcPr>
            <w:tcW w:w="709" w:type="dxa"/>
            <w:gridSpan w:val="3"/>
            <w:vMerge w:val="restart"/>
            <w:noWrap w:val="0"/>
            <w:vAlign w:val="center"/>
          </w:tcPr>
          <w:p>
            <w:pPr>
              <w:spacing w:line="400" w:lineRule="exact"/>
              <w:jc w:val="center"/>
              <w:rPr>
                <w:color w:val="auto"/>
                <w:szCs w:val="21"/>
                <w:highlight w:val="none"/>
              </w:rPr>
            </w:pPr>
            <w:r>
              <w:rPr>
                <w:rStyle w:val="12"/>
                <w:rFonts w:hint="eastAsia" w:ascii="宋体" w:hAnsi="宋体" w:eastAsia="宋体" w:cs="宋体"/>
                <w:color w:val="auto"/>
                <w:sz w:val="21"/>
                <w:szCs w:val="21"/>
                <w:highlight w:val="none"/>
              </w:rPr>
              <w:t>主要人员</w:t>
            </w:r>
          </w:p>
        </w:tc>
        <w:tc>
          <w:tcPr>
            <w:tcW w:w="708" w:type="dxa"/>
            <w:vMerge w:val="restart"/>
            <w:noWrap w:val="0"/>
            <w:vAlign w:val="center"/>
          </w:tcPr>
          <w:p>
            <w:pPr>
              <w:spacing w:line="400" w:lineRule="exact"/>
              <w:jc w:val="center"/>
              <w:rPr>
                <w:b/>
                <w:color w:val="auto"/>
                <w:szCs w:val="21"/>
                <w:highlight w:val="none"/>
              </w:rPr>
            </w:pPr>
            <w:r>
              <w:rPr>
                <w:rFonts w:hint="eastAsia"/>
                <w:b/>
                <w:color w:val="auto"/>
                <w:szCs w:val="21"/>
                <w:highlight w:val="none"/>
                <w:u w:val="single"/>
              </w:rPr>
              <w:t xml:space="preserve"> </w:t>
            </w:r>
            <w:r>
              <w:rPr>
                <w:rFonts w:hint="eastAsia"/>
                <w:b/>
                <w:color w:val="auto"/>
                <w:szCs w:val="21"/>
                <w:highlight w:val="none"/>
                <w:u w:val="single"/>
                <w:lang w:val="en-US" w:eastAsia="zh-CN"/>
              </w:rPr>
              <w:t>30</w:t>
            </w:r>
            <w:r>
              <w:rPr>
                <w:rFonts w:hint="eastAsia"/>
                <w:b/>
                <w:color w:val="auto"/>
                <w:szCs w:val="21"/>
                <w:highlight w:val="none"/>
                <w:u w:val="single"/>
              </w:rPr>
              <w:t xml:space="preserve"> </w:t>
            </w:r>
            <w:r>
              <w:rPr>
                <w:rFonts w:hint="eastAsia"/>
                <w:b/>
                <w:color w:val="auto"/>
                <w:szCs w:val="21"/>
                <w:highlight w:val="none"/>
              </w:rPr>
              <w:t>分</w:t>
            </w:r>
          </w:p>
        </w:tc>
        <w:tc>
          <w:tcPr>
            <w:tcW w:w="993" w:type="dxa"/>
            <w:gridSpan w:val="2"/>
            <w:noWrap w:val="0"/>
            <w:vAlign w:val="center"/>
          </w:tcPr>
          <w:p>
            <w:pPr>
              <w:keepNext w:val="0"/>
              <w:keepLines w:val="0"/>
              <w:suppressLineNumbers w:val="0"/>
              <w:tabs>
                <w:tab w:val="left" w:pos="917"/>
                <w:tab w:val="left" w:pos="1075"/>
              </w:tabs>
              <w:spacing w:before="0" w:beforeAutospacing="0" w:after="0" w:afterAutospacing="0" w:line="360" w:lineRule="exact"/>
              <w:ind w:left="0" w:leftChars="0" w:right="130" w:rightChars="59"/>
              <w:jc w:val="center"/>
              <w:rPr>
                <w:rFonts w:ascii="宋体" w:hAnsi="宋体" w:eastAsia="宋体" w:cs="宋体"/>
                <w:color w:val="auto"/>
                <w:spacing w:val="0"/>
                <w:kern w:val="2"/>
                <w:sz w:val="21"/>
                <w:szCs w:val="21"/>
                <w:highlight w:val="none"/>
                <w:u w:val="none"/>
                <w:lang w:val="zh-CN" w:eastAsia="zh-CN" w:bidi="zh-CN"/>
              </w:rPr>
            </w:pPr>
            <w:r>
              <w:rPr>
                <w:rStyle w:val="12"/>
                <w:rFonts w:hint="eastAsia" w:ascii="宋体" w:hAnsi="宋体" w:eastAsia="宋体" w:cs="宋体"/>
                <w:color w:val="auto"/>
                <w:kern w:val="2"/>
                <w:sz w:val="21"/>
                <w:szCs w:val="21"/>
                <w:highlight w:val="none"/>
              </w:rPr>
              <w:t>项目经理任职资格</w:t>
            </w:r>
          </w:p>
        </w:tc>
        <w:tc>
          <w:tcPr>
            <w:tcW w:w="567" w:type="dxa"/>
            <w:noWrap w:val="0"/>
            <w:vAlign w:val="center"/>
          </w:tcPr>
          <w:p>
            <w:pPr>
              <w:pStyle w:val="11"/>
              <w:keepNext w:val="0"/>
              <w:keepLines w:val="0"/>
              <w:suppressLineNumbers w:val="0"/>
              <w:shd w:val="clear" w:color="auto" w:fill="auto"/>
              <w:tabs>
                <w:tab w:val="left" w:pos="917"/>
                <w:tab w:val="left" w:pos="1075"/>
              </w:tabs>
              <w:spacing w:before="0" w:beforeAutospacing="0" w:after="0" w:afterAutospacing="0" w:line="360" w:lineRule="exact"/>
              <w:ind w:left="0" w:leftChars="0" w:right="130" w:rightChars="59"/>
              <w:jc w:val="center"/>
              <w:rPr>
                <w:rFonts w:ascii="宋体" w:hAnsi="宋体" w:eastAsia="宋体" w:cs="宋体"/>
                <w:color w:val="auto"/>
                <w:spacing w:val="0"/>
                <w:sz w:val="21"/>
                <w:szCs w:val="21"/>
                <w:highlight w:val="none"/>
                <w:u w:val="none"/>
                <w:lang w:val="zh-CN" w:eastAsia="zh-CN" w:bidi="zh-CN"/>
              </w:rPr>
            </w:pPr>
            <w:r>
              <w:rPr>
                <w:rStyle w:val="12"/>
                <w:rFonts w:hint="eastAsia" w:ascii="宋体" w:hAnsi="宋体" w:eastAsia="宋体" w:cs="宋体"/>
                <w:color w:val="auto"/>
                <w:sz w:val="21"/>
                <w:szCs w:val="21"/>
                <w:highlight w:val="none"/>
                <w:lang w:val="en-US" w:eastAsia="zh-CN"/>
              </w:rPr>
              <w:t>10</w:t>
            </w:r>
            <w:r>
              <w:rPr>
                <w:rStyle w:val="12"/>
                <w:rFonts w:hint="eastAsia" w:ascii="宋体" w:hAnsi="宋体" w:eastAsia="宋体" w:cs="宋体"/>
                <w:color w:val="auto"/>
                <w:sz w:val="21"/>
                <w:szCs w:val="21"/>
                <w:highlight w:val="none"/>
              </w:rPr>
              <w:t>分</w:t>
            </w:r>
          </w:p>
        </w:tc>
        <w:tc>
          <w:tcPr>
            <w:tcW w:w="5532" w:type="dxa"/>
            <w:noWrap w:val="0"/>
            <w:vAlign w:val="center"/>
          </w:tcPr>
          <w:p>
            <w:pPr>
              <w:keepNext w:val="0"/>
              <w:keepLines w:val="0"/>
              <w:suppressLineNumbers w:val="0"/>
              <w:tabs>
                <w:tab w:val="left" w:pos="917"/>
                <w:tab w:val="left" w:pos="1075"/>
              </w:tabs>
              <w:adjustRightInd w:val="0"/>
              <w:snapToGrid w:val="0"/>
              <w:spacing w:before="0" w:beforeAutospacing="0" w:after="0" w:afterAutospacing="0" w:line="360" w:lineRule="exact"/>
              <w:ind w:left="0" w:leftChars="0" w:right="130" w:rightChars="59"/>
              <w:rPr>
                <w:rFonts w:ascii="宋体" w:hAnsi="宋体" w:eastAsia="宋体" w:cs="宋体"/>
                <w:color w:val="auto"/>
                <w:spacing w:val="0"/>
                <w:kern w:val="2"/>
                <w:sz w:val="21"/>
                <w:szCs w:val="21"/>
                <w:highlight w:val="none"/>
                <w:u w:val="none"/>
                <w:lang w:val="zh-CN" w:eastAsia="zh-CN" w:bidi="zh-CN"/>
              </w:rPr>
            </w:pPr>
            <w:r>
              <w:rPr>
                <w:rStyle w:val="12"/>
                <w:rFonts w:hint="eastAsia" w:ascii="宋体" w:hAnsi="宋体" w:eastAsia="宋体" w:cs="宋体"/>
                <w:color w:val="auto"/>
                <w:kern w:val="2"/>
                <w:sz w:val="21"/>
                <w:szCs w:val="21"/>
                <w:highlight w:val="none"/>
              </w:rPr>
              <w:t>（1）项目经理在满足资格审查条件的最低要求时，</w:t>
            </w:r>
            <w:r>
              <w:rPr>
                <w:rStyle w:val="12"/>
                <w:rFonts w:hint="eastAsia" w:ascii="宋体" w:hAnsi="宋体" w:eastAsia="宋体" w:cs="宋体"/>
                <w:b w:val="0"/>
                <w:bCs/>
                <w:color w:val="auto"/>
                <w:kern w:val="2"/>
                <w:sz w:val="21"/>
                <w:szCs w:val="21"/>
                <w:highlight w:val="none"/>
              </w:rPr>
              <w:t>得</w:t>
            </w:r>
            <w:r>
              <w:rPr>
                <w:rStyle w:val="12"/>
                <w:rFonts w:hint="eastAsia" w:ascii="宋体" w:hAnsi="宋体" w:eastAsia="宋体" w:cs="宋体"/>
                <w:b w:val="0"/>
                <w:bCs/>
                <w:color w:val="auto"/>
                <w:kern w:val="2"/>
                <w:sz w:val="21"/>
                <w:szCs w:val="21"/>
                <w:highlight w:val="none"/>
                <w:lang w:val="en-US" w:eastAsia="zh-CN"/>
              </w:rPr>
              <w:t>10</w:t>
            </w:r>
            <w:r>
              <w:rPr>
                <w:rStyle w:val="12"/>
                <w:rFonts w:hint="eastAsia" w:ascii="宋体" w:hAnsi="宋体" w:eastAsia="宋体" w:cs="宋体"/>
                <w:b w:val="0"/>
                <w:bCs/>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vMerge w:val="continue"/>
            <w:noWrap w:val="0"/>
            <w:vAlign w:val="center"/>
          </w:tcPr>
          <w:p>
            <w:pPr>
              <w:spacing w:line="400" w:lineRule="exact"/>
              <w:jc w:val="center"/>
              <w:rPr>
                <w:color w:val="auto"/>
                <w:szCs w:val="21"/>
                <w:highlight w:val="none"/>
              </w:rPr>
            </w:pPr>
          </w:p>
        </w:tc>
        <w:tc>
          <w:tcPr>
            <w:tcW w:w="709" w:type="dxa"/>
            <w:gridSpan w:val="3"/>
            <w:vMerge w:val="continue"/>
            <w:noWrap w:val="0"/>
            <w:vAlign w:val="center"/>
          </w:tcPr>
          <w:p>
            <w:pPr>
              <w:spacing w:line="400" w:lineRule="exact"/>
              <w:jc w:val="center"/>
              <w:rPr>
                <w:color w:val="auto"/>
                <w:szCs w:val="21"/>
                <w:highlight w:val="none"/>
              </w:rPr>
            </w:pPr>
          </w:p>
        </w:tc>
        <w:tc>
          <w:tcPr>
            <w:tcW w:w="708" w:type="dxa"/>
            <w:vMerge w:val="continue"/>
            <w:noWrap w:val="0"/>
            <w:vAlign w:val="center"/>
          </w:tcPr>
          <w:p>
            <w:pPr>
              <w:spacing w:line="400" w:lineRule="exact"/>
              <w:jc w:val="center"/>
              <w:rPr>
                <w:b/>
                <w:color w:val="auto"/>
                <w:szCs w:val="21"/>
                <w:highlight w:val="none"/>
                <w:u w:val="single"/>
              </w:rPr>
            </w:pPr>
          </w:p>
        </w:tc>
        <w:tc>
          <w:tcPr>
            <w:tcW w:w="993" w:type="dxa"/>
            <w:gridSpan w:val="2"/>
            <w:noWrap w:val="0"/>
            <w:vAlign w:val="center"/>
          </w:tcPr>
          <w:p>
            <w:pPr>
              <w:keepNext w:val="0"/>
              <w:keepLines w:val="0"/>
              <w:suppressLineNumbers w:val="0"/>
              <w:tabs>
                <w:tab w:val="left" w:pos="917"/>
                <w:tab w:val="left" w:pos="1075"/>
              </w:tabs>
              <w:spacing w:before="0" w:beforeAutospacing="0" w:after="0" w:afterAutospacing="0" w:line="360" w:lineRule="exact"/>
              <w:ind w:left="0" w:leftChars="0" w:right="130" w:rightChars="59"/>
              <w:jc w:val="center"/>
              <w:rPr>
                <w:rFonts w:ascii="宋体" w:hAnsi="宋体" w:eastAsia="宋体" w:cs="宋体"/>
                <w:color w:val="auto"/>
                <w:spacing w:val="0"/>
                <w:kern w:val="2"/>
                <w:sz w:val="21"/>
                <w:szCs w:val="21"/>
                <w:highlight w:val="none"/>
                <w:u w:val="none"/>
                <w:lang w:val="zh-CN" w:eastAsia="zh-CN" w:bidi="zh-CN"/>
              </w:rPr>
            </w:pPr>
            <w:r>
              <w:rPr>
                <w:rStyle w:val="12"/>
                <w:rFonts w:hint="eastAsia" w:ascii="宋体" w:hAnsi="宋体" w:eastAsia="宋体" w:cs="宋体"/>
                <w:color w:val="auto"/>
                <w:kern w:val="2"/>
                <w:sz w:val="21"/>
                <w:szCs w:val="21"/>
                <w:highlight w:val="none"/>
              </w:rPr>
              <w:t>项目总工任职资格</w:t>
            </w:r>
          </w:p>
        </w:tc>
        <w:tc>
          <w:tcPr>
            <w:tcW w:w="567" w:type="dxa"/>
            <w:noWrap w:val="0"/>
            <w:vAlign w:val="center"/>
          </w:tcPr>
          <w:p>
            <w:pPr>
              <w:pStyle w:val="11"/>
              <w:keepNext w:val="0"/>
              <w:keepLines w:val="0"/>
              <w:suppressLineNumbers w:val="0"/>
              <w:shd w:val="clear" w:color="auto" w:fill="auto"/>
              <w:tabs>
                <w:tab w:val="left" w:pos="917"/>
                <w:tab w:val="left" w:pos="1075"/>
              </w:tabs>
              <w:spacing w:before="0" w:beforeAutospacing="0" w:after="0" w:afterAutospacing="0" w:line="360" w:lineRule="exact"/>
              <w:ind w:left="0" w:leftChars="0" w:right="130" w:rightChars="59"/>
              <w:jc w:val="center"/>
              <w:rPr>
                <w:rFonts w:ascii="宋体" w:hAnsi="宋体" w:eastAsia="宋体" w:cs="宋体"/>
                <w:color w:val="auto"/>
                <w:spacing w:val="0"/>
                <w:sz w:val="21"/>
                <w:szCs w:val="21"/>
                <w:highlight w:val="none"/>
                <w:u w:val="none"/>
                <w:lang w:val="zh-CN" w:eastAsia="zh-CN" w:bidi="zh-CN"/>
              </w:rPr>
            </w:pPr>
            <w:r>
              <w:rPr>
                <w:rStyle w:val="12"/>
                <w:rFonts w:hint="eastAsia" w:ascii="宋体" w:hAnsi="宋体" w:eastAsia="宋体" w:cs="宋体"/>
                <w:color w:val="auto"/>
                <w:sz w:val="21"/>
                <w:szCs w:val="21"/>
                <w:highlight w:val="none"/>
                <w:lang w:val="en-US" w:eastAsia="zh-CN"/>
              </w:rPr>
              <w:t>10</w:t>
            </w:r>
            <w:r>
              <w:rPr>
                <w:rStyle w:val="12"/>
                <w:rFonts w:hint="eastAsia" w:ascii="宋体" w:hAnsi="宋体" w:eastAsia="宋体" w:cs="宋体"/>
                <w:color w:val="auto"/>
                <w:sz w:val="21"/>
                <w:szCs w:val="21"/>
                <w:highlight w:val="none"/>
              </w:rPr>
              <w:t>分</w:t>
            </w:r>
          </w:p>
        </w:tc>
        <w:tc>
          <w:tcPr>
            <w:tcW w:w="5532" w:type="dxa"/>
            <w:noWrap w:val="0"/>
            <w:vAlign w:val="center"/>
          </w:tcPr>
          <w:p>
            <w:pPr>
              <w:keepNext w:val="0"/>
              <w:keepLines w:val="0"/>
              <w:numPr>
                <w:ilvl w:val="0"/>
                <w:numId w:val="2"/>
              </w:numPr>
              <w:suppressLineNumbers w:val="0"/>
              <w:tabs>
                <w:tab w:val="left" w:pos="917"/>
                <w:tab w:val="left" w:pos="1075"/>
              </w:tabs>
              <w:adjustRightInd w:val="0"/>
              <w:snapToGrid w:val="0"/>
              <w:spacing w:before="0" w:beforeAutospacing="0" w:after="0" w:afterAutospacing="0" w:line="360" w:lineRule="exact"/>
              <w:ind w:left="0" w:right="130" w:rightChars="59"/>
              <w:jc w:val="both"/>
              <w:rPr>
                <w:rStyle w:val="12"/>
                <w:rFonts w:ascii="宋体" w:hAnsi="宋体" w:eastAsia="宋体" w:cs="宋体"/>
                <w:color w:val="auto"/>
                <w:kern w:val="2"/>
                <w:sz w:val="21"/>
                <w:szCs w:val="21"/>
                <w:highlight w:val="none"/>
              </w:rPr>
            </w:pPr>
            <w:r>
              <w:rPr>
                <w:rStyle w:val="12"/>
                <w:rFonts w:hint="eastAsia" w:ascii="宋体" w:hAnsi="宋体" w:eastAsia="宋体" w:cs="宋体"/>
                <w:color w:val="auto"/>
                <w:kern w:val="2"/>
                <w:sz w:val="21"/>
                <w:szCs w:val="21"/>
                <w:highlight w:val="none"/>
              </w:rPr>
              <w:t>项目总工在满足资格审查条件的最低要求时</w:t>
            </w:r>
            <w:r>
              <w:rPr>
                <w:rStyle w:val="12"/>
                <w:rFonts w:hint="eastAsia" w:ascii="宋体" w:hAnsi="宋体" w:eastAsia="宋体" w:cs="宋体"/>
                <w:b w:val="0"/>
                <w:bCs w:val="0"/>
                <w:color w:val="auto"/>
                <w:kern w:val="2"/>
                <w:sz w:val="21"/>
                <w:szCs w:val="21"/>
                <w:highlight w:val="none"/>
              </w:rPr>
              <w:t>，得</w:t>
            </w:r>
            <w:r>
              <w:rPr>
                <w:rStyle w:val="12"/>
                <w:rFonts w:hint="eastAsia" w:ascii="宋体" w:hAnsi="宋体" w:eastAsia="宋体" w:cs="宋体"/>
                <w:b w:val="0"/>
                <w:bCs w:val="0"/>
                <w:color w:val="auto"/>
                <w:kern w:val="2"/>
                <w:sz w:val="21"/>
                <w:szCs w:val="21"/>
                <w:highlight w:val="none"/>
                <w:lang w:val="en-US" w:eastAsia="zh-CN"/>
              </w:rPr>
              <w:t>5</w:t>
            </w:r>
            <w:r>
              <w:rPr>
                <w:rStyle w:val="12"/>
                <w:rFonts w:hint="eastAsia" w:ascii="宋体" w:hAnsi="宋体" w:eastAsia="宋体" w:cs="宋体"/>
                <w:b w:val="0"/>
                <w:bCs w:val="0"/>
                <w:color w:val="auto"/>
                <w:kern w:val="2"/>
                <w:sz w:val="21"/>
                <w:szCs w:val="21"/>
                <w:highlight w:val="none"/>
              </w:rPr>
              <w:t>分；</w:t>
            </w:r>
          </w:p>
          <w:p>
            <w:pPr>
              <w:keepNext w:val="0"/>
              <w:keepLines w:val="0"/>
              <w:suppressLineNumbers w:val="0"/>
              <w:tabs>
                <w:tab w:val="left" w:pos="917"/>
                <w:tab w:val="left" w:pos="1075"/>
              </w:tabs>
              <w:spacing w:before="0" w:beforeAutospacing="0" w:after="0" w:afterAutospacing="0" w:line="360" w:lineRule="exact"/>
              <w:ind w:left="0" w:leftChars="0" w:right="130" w:rightChars="59"/>
              <w:rPr>
                <w:rFonts w:hint="default" w:ascii="宋体" w:hAnsi="宋体" w:eastAsia="宋体" w:cs="宋体"/>
                <w:color w:val="auto"/>
                <w:spacing w:val="0"/>
                <w:kern w:val="2"/>
                <w:sz w:val="21"/>
                <w:szCs w:val="21"/>
                <w:highlight w:val="none"/>
                <w:u w:val="none"/>
                <w:lang w:val="en-US" w:eastAsia="zh-CN" w:bidi="zh-CN"/>
              </w:rPr>
            </w:pPr>
            <w:r>
              <w:rPr>
                <w:rStyle w:val="12"/>
                <w:rFonts w:hint="eastAsia" w:ascii="宋体" w:hAnsi="宋体" w:eastAsia="宋体" w:cs="宋体"/>
                <w:color w:val="auto"/>
                <w:kern w:val="2"/>
                <w:sz w:val="21"/>
                <w:szCs w:val="21"/>
                <w:highlight w:val="none"/>
                <w:lang w:eastAsia="zh-CN"/>
              </w:rPr>
              <w:t>（</w:t>
            </w:r>
            <w:r>
              <w:rPr>
                <w:rStyle w:val="12"/>
                <w:rFonts w:hint="eastAsia" w:ascii="宋体" w:hAnsi="宋体" w:eastAsia="宋体" w:cs="宋体"/>
                <w:b w:val="0"/>
                <w:bCs w:val="0"/>
                <w:color w:val="auto"/>
                <w:kern w:val="2"/>
                <w:sz w:val="21"/>
                <w:szCs w:val="21"/>
                <w:highlight w:val="none"/>
              </w:rPr>
              <w:t>2）</w:t>
            </w:r>
            <w:r>
              <w:rPr>
                <w:rStyle w:val="12"/>
                <w:rFonts w:hint="eastAsia" w:ascii="宋体" w:hAnsi="宋体" w:eastAsia="宋体" w:cs="宋体"/>
                <w:color w:val="auto"/>
                <w:kern w:val="2"/>
                <w:sz w:val="21"/>
                <w:szCs w:val="21"/>
                <w:highlight w:val="none"/>
              </w:rPr>
              <w:t>项目总工满足资格审查条件的最低要求</w:t>
            </w:r>
            <w:r>
              <w:rPr>
                <w:rFonts w:hint="eastAsia"/>
                <w:bCs/>
                <w:color w:val="auto"/>
                <w:szCs w:val="21"/>
                <w:highlight w:val="none"/>
              </w:rPr>
              <w:t>并持有住房和城乡建设部门颁发的公路工程专业</w:t>
            </w:r>
            <w:r>
              <w:rPr>
                <w:rFonts w:hint="eastAsia"/>
                <w:bCs/>
                <w:color w:val="auto"/>
                <w:szCs w:val="21"/>
                <w:highlight w:val="none"/>
                <w:lang w:val="en-US" w:eastAsia="zh-CN"/>
              </w:rPr>
              <w:t>一</w:t>
            </w:r>
            <w:r>
              <w:rPr>
                <w:rFonts w:hint="eastAsia"/>
                <w:bCs/>
                <w:color w:val="auto"/>
                <w:szCs w:val="21"/>
                <w:highlight w:val="none"/>
              </w:rPr>
              <w:t>级注册建造师注册执业资格证书</w:t>
            </w:r>
            <w:r>
              <w:rPr>
                <w:rStyle w:val="12"/>
                <w:rFonts w:hint="eastAsia" w:ascii="宋体" w:hAnsi="宋体" w:eastAsia="宋体" w:cs="宋体"/>
                <w:b w:val="0"/>
                <w:bCs w:val="0"/>
                <w:color w:val="auto"/>
                <w:kern w:val="2"/>
                <w:sz w:val="21"/>
                <w:szCs w:val="21"/>
                <w:highlight w:val="none"/>
              </w:rPr>
              <w:t>，得</w:t>
            </w:r>
            <w:r>
              <w:rPr>
                <w:rStyle w:val="12"/>
                <w:rFonts w:hint="eastAsia" w:cs="宋体"/>
                <w:b w:val="0"/>
                <w:bCs w:val="0"/>
                <w:color w:val="auto"/>
                <w:kern w:val="2"/>
                <w:sz w:val="21"/>
                <w:szCs w:val="21"/>
                <w:highlight w:val="none"/>
                <w:lang w:val="en-US" w:eastAsia="zh-CN"/>
              </w:rPr>
              <w:t>10</w:t>
            </w:r>
            <w:r>
              <w:rPr>
                <w:rStyle w:val="12"/>
                <w:rFonts w:hint="eastAsia" w:ascii="宋体" w:hAnsi="宋体" w:eastAsia="宋体" w:cs="宋体"/>
                <w:b w:val="0"/>
                <w:bCs w:val="0"/>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vMerge w:val="continue"/>
            <w:noWrap w:val="0"/>
            <w:vAlign w:val="center"/>
          </w:tcPr>
          <w:p>
            <w:pPr>
              <w:spacing w:line="400" w:lineRule="exact"/>
              <w:jc w:val="center"/>
              <w:rPr>
                <w:color w:val="auto"/>
                <w:szCs w:val="21"/>
                <w:highlight w:val="none"/>
              </w:rPr>
            </w:pPr>
          </w:p>
        </w:tc>
        <w:tc>
          <w:tcPr>
            <w:tcW w:w="709" w:type="dxa"/>
            <w:gridSpan w:val="3"/>
            <w:vMerge w:val="continue"/>
            <w:noWrap w:val="0"/>
            <w:vAlign w:val="center"/>
          </w:tcPr>
          <w:p>
            <w:pPr>
              <w:spacing w:line="400" w:lineRule="exact"/>
              <w:jc w:val="center"/>
              <w:rPr>
                <w:color w:val="auto"/>
                <w:szCs w:val="21"/>
                <w:highlight w:val="none"/>
              </w:rPr>
            </w:pPr>
          </w:p>
        </w:tc>
        <w:tc>
          <w:tcPr>
            <w:tcW w:w="708" w:type="dxa"/>
            <w:vMerge w:val="continue"/>
            <w:noWrap w:val="0"/>
            <w:vAlign w:val="center"/>
          </w:tcPr>
          <w:p>
            <w:pPr>
              <w:spacing w:line="400" w:lineRule="exact"/>
              <w:jc w:val="center"/>
              <w:rPr>
                <w:b/>
                <w:color w:val="auto"/>
                <w:szCs w:val="21"/>
                <w:highlight w:val="none"/>
                <w:u w:val="single"/>
              </w:rPr>
            </w:pPr>
          </w:p>
        </w:tc>
        <w:tc>
          <w:tcPr>
            <w:tcW w:w="993" w:type="dxa"/>
            <w:gridSpan w:val="2"/>
            <w:noWrap w:val="0"/>
            <w:vAlign w:val="center"/>
          </w:tcPr>
          <w:p>
            <w:pPr>
              <w:keepNext w:val="0"/>
              <w:keepLines w:val="0"/>
              <w:suppressLineNumbers w:val="0"/>
              <w:tabs>
                <w:tab w:val="left" w:pos="917"/>
                <w:tab w:val="left" w:pos="1075"/>
              </w:tabs>
              <w:spacing w:before="0" w:beforeAutospacing="0" w:after="0" w:afterAutospacing="0" w:line="360" w:lineRule="exact"/>
              <w:ind w:left="0" w:leftChars="0" w:right="130" w:rightChars="59"/>
              <w:jc w:val="center"/>
              <w:rPr>
                <w:rStyle w:val="12"/>
                <w:rFonts w:hint="eastAsia" w:ascii="宋体" w:hAnsi="宋体" w:eastAsia="宋体" w:cs="宋体"/>
                <w:color w:val="auto"/>
                <w:kern w:val="2"/>
                <w:sz w:val="21"/>
                <w:szCs w:val="21"/>
                <w:highlight w:val="none"/>
              </w:rPr>
            </w:pPr>
            <w:r>
              <w:rPr>
                <w:rStyle w:val="12"/>
                <w:rFonts w:hint="eastAsia" w:ascii="宋体" w:hAnsi="宋体" w:eastAsia="宋体" w:cs="宋体"/>
                <w:color w:val="auto"/>
                <w:kern w:val="2"/>
                <w:sz w:val="21"/>
                <w:szCs w:val="21"/>
                <w:highlight w:val="none"/>
              </w:rPr>
              <w:t>道路工程师</w:t>
            </w:r>
          </w:p>
        </w:tc>
        <w:tc>
          <w:tcPr>
            <w:tcW w:w="567" w:type="dxa"/>
            <w:noWrap w:val="0"/>
            <w:vAlign w:val="center"/>
          </w:tcPr>
          <w:p>
            <w:pPr>
              <w:pStyle w:val="11"/>
              <w:keepNext w:val="0"/>
              <w:keepLines w:val="0"/>
              <w:suppressLineNumbers w:val="0"/>
              <w:shd w:val="clear" w:color="auto" w:fill="auto"/>
              <w:tabs>
                <w:tab w:val="left" w:pos="917"/>
                <w:tab w:val="left" w:pos="1075"/>
              </w:tabs>
              <w:spacing w:before="0" w:beforeAutospacing="0" w:after="0" w:afterAutospacing="0" w:line="360" w:lineRule="exact"/>
              <w:ind w:left="0" w:leftChars="0" w:right="130" w:rightChars="59"/>
              <w:jc w:val="center"/>
              <w:rPr>
                <w:rStyle w:val="12"/>
                <w:rFonts w:hint="default" w:ascii="宋体" w:hAnsi="宋体" w:eastAsia="宋体" w:cs="宋体"/>
                <w:color w:val="auto"/>
                <w:sz w:val="21"/>
                <w:szCs w:val="21"/>
                <w:highlight w:val="none"/>
                <w:lang w:val="en-US" w:eastAsia="zh-CN"/>
              </w:rPr>
            </w:pPr>
            <w:r>
              <w:rPr>
                <w:rStyle w:val="12"/>
                <w:rFonts w:hint="eastAsia" w:ascii="宋体" w:eastAsia="宋体" w:cs="宋体"/>
                <w:color w:val="auto"/>
                <w:sz w:val="21"/>
                <w:szCs w:val="21"/>
                <w:highlight w:val="none"/>
                <w:lang w:val="en-US" w:eastAsia="zh-CN"/>
              </w:rPr>
              <w:t>10</w:t>
            </w:r>
            <w:r>
              <w:rPr>
                <w:rStyle w:val="12"/>
                <w:rFonts w:hint="eastAsia" w:ascii="宋体" w:hAnsi="宋体" w:eastAsia="宋体" w:cs="宋体"/>
                <w:color w:val="auto"/>
                <w:sz w:val="21"/>
                <w:szCs w:val="21"/>
                <w:highlight w:val="none"/>
              </w:rPr>
              <w:t>分</w:t>
            </w:r>
          </w:p>
        </w:tc>
        <w:tc>
          <w:tcPr>
            <w:tcW w:w="5532" w:type="dxa"/>
            <w:noWrap w:val="0"/>
            <w:vAlign w:val="center"/>
          </w:tcPr>
          <w:p>
            <w:pPr>
              <w:keepNext w:val="0"/>
              <w:keepLines w:val="0"/>
              <w:numPr>
                <w:ilvl w:val="0"/>
                <w:numId w:val="3"/>
              </w:numPr>
              <w:suppressLineNumbers w:val="0"/>
              <w:tabs>
                <w:tab w:val="left" w:pos="917"/>
                <w:tab w:val="left" w:pos="1075"/>
              </w:tabs>
              <w:adjustRightInd w:val="0"/>
              <w:snapToGrid w:val="0"/>
              <w:spacing w:before="0" w:beforeAutospacing="0" w:after="0" w:afterAutospacing="0" w:line="360" w:lineRule="exact"/>
              <w:ind w:left="0" w:right="130" w:rightChars="59"/>
              <w:jc w:val="both"/>
              <w:rPr>
                <w:rStyle w:val="12"/>
                <w:rFonts w:ascii="宋体" w:hAnsi="宋体" w:eastAsia="宋体" w:cs="宋体"/>
                <w:color w:val="auto"/>
                <w:kern w:val="2"/>
                <w:sz w:val="21"/>
                <w:szCs w:val="21"/>
                <w:highlight w:val="none"/>
              </w:rPr>
            </w:pPr>
            <w:r>
              <w:rPr>
                <w:rStyle w:val="12"/>
                <w:rFonts w:hint="eastAsia" w:ascii="宋体" w:hAnsi="宋体" w:eastAsia="宋体" w:cs="宋体"/>
                <w:color w:val="auto"/>
                <w:kern w:val="2"/>
                <w:sz w:val="21"/>
                <w:szCs w:val="21"/>
                <w:highlight w:val="none"/>
              </w:rPr>
              <w:t>道路工程师在满足资格审查条件的最低要求时</w:t>
            </w:r>
            <w:r>
              <w:rPr>
                <w:rStyle w:val="12"/>
                <w:rFonts w:hint="eastAsia" w:ascii="宋体" w:hAnsi="宋体" w:eastAsia="宋体" w:cs="宋体"/>
                <w:b w:val="0"/>
                <w:bCs w:val="0"/>
                <w:color w:val="auto"/>
                <w:kern w:val="2"/>
                <w:sz w:val="21"/>
                <w:szCs w:val="21"/>
                <w:highlight w:val="none"/>
              </w:rPr>
              <w:t>，得</w:t>
            </w:r>
            <w:r>
              <w:rPr>
                <w:rStyle w:val="12"/>
                <w:rFonts w:hint="eastAsia" w:ascii="宋体" w:hAnsi="宋体" w:eastAsia="宋体" w:cs="宋体"/>
                <w:b w:val="0"/>
                <w:bCs w:val="0"/>
                <w:color w:val="auto"/>
                <w:kern w:val="2"/>
                <w:sz w:val="21"/>
                <w:szCs w:val="21"/>
                <w:highlight w:val="none"/>
                <w:lang w:val="en-US" w:eastAsia="zh-CN"/>
              </w:rPr>
              <w:t>5</w:t>
            </w:r>
            <w:r>
              <w:rPr>
                <w:rStyle w:val="12"/>
                <w:rFonts w:hint="eastAsia" w:ascii="宋体" w:hAnsi="宋体" w:eastAsia="宋体" w:cs="宋体"/>
                <w:b w:val="0"/>
                <w:bCs w:val="0"/>
                <w:color w:val="auto"/>
                <w:kern w:val="2"/>
                <w:sz w:val="21"/>
                <w:szCs w:val="21"/>
                <w:highlight w:val="none"/>
              </w:rPr>
              <w:t>分；</w:t>
            </w:r>
          </w:p>
          <w:p>
            <w:pPr>
              <w:keepNext w:val="0"/>
              <w:keepLines w:val="0"/>
              <w:numPr>
                <w:ilvl w:val="0"/>
                <w:numId w:val="0"/>
              </w:numPr>
              <w:suppressLineNumbers w:val="0"/>
              <w:tabs>
                <w:tab w:val="left" w:pos="917"/>
                <w:tab w:val="left" w:pos="1075"/>
              </w:tabs>
              <w:adjustRightInd w:val="0"/>
              <w:snapToGrid w:val="0"/>
              <w:spacing w:before="0" w:beforeAutospacing="0" w:after="0" w:afterAutospacing="0" w:line="360" w:lineRule="exact"/>
              <w:ind w:left="0" w:right="130" w:rightChars="59"/>
              <w:jc w:val="both"/>
              <w:rPr>
                <w:rStyle w:val="12"/>
                <w:rFonts w:hint="eastAsia" w:ascii="宋体" w:hAnsi="宋体" w:eastAsia="宋体" w:cs="宋体"/>
                <w:color w:val="auto"/>
                <w:kern w:val="2"/>
                <w:sz w:val="21"/>
                <w:szCs w:val="21"/>
                <w:highlight w:val="none"/>
                <w:lang w:eastAsia="zh-CN"/>
              </w:rPr>
            </w:pPr>
            <w:r>
              <w:rPr>
                <w:rStyle w:val="12"/>
                <w:rFonts w:hint="eastAsia" w:ascii="宋体" w:hAnsi="宋体" w:eastAsia="宋体" w:cs="宋体"/>
                <w:color w:val="auto"/>
                <w:kern w:val="2"/>
                <w:sz w:val="21"/>
                <w:szCs w:val="21"/>
                <w:highlight w:val="none"/>
                <w:lang w:eastAsia="zh-CN"/>
              </w:rPr>
              <w:t>（</w:t>
            </w:r>
            <w:r>
              <w:rPr>
                <w:rStyle w:val="12"/>
                <w:rFonts w:hint="eastAsia" w:ascii="宋体" w:hAnsi="宋体" w:eastAsia="宋体" w:cs="宋体"/>
                <w:b w:val="0"/>
                <w:bCs w:val="0"/>
                <w:color w:val="auto"/>
                <w:kern w:val="2"/>
                <w:sz w:val="21"/>
                <w:szCs w:val="21"/>
                <w:highlight w:val="none"/>
              </w:rPr>
              <w:t>2）</w:t>
            </w:r>
            <w:r>
              <w:rPr>
                <w:rStyle w:val="12"/>
                <w:rFonts w:hint="eastAsia" w:ascii="宋体" w:hAnsi="宋体" w:eastAsia="宋体" w:cs="宋体"/>
                <w:color w:val="auto"/>
                <w:kern w:val="2"/>
                <w:sz w:val="21"/>
                <w:szCs w:val="21"/>
                <w:highlight w:val="none"/>
              </w:rPr>
              <w:t>道路工程师</w:t>
            </w:r>
            <w:r>
              <w:rPr>
                <w:rFonts w:hint="eastAsia"/>
                <w:bCs/>
                <w:color w:val="auto"/>
                <w:szCs w:val="21"/>
                <w:highlight w:val="none"/>
              </w:rPr>
              <w:t>持有</w:t>
            </w:r>
            <w:r>
              <w:rPr>
                <w:rFonts w:hint="eastAsia" w:ascii="Calibri" w:hAnsi="Calibri" w:cs="Calibri"/>
                <w:color w:val="auto"/>
                <w:szCs w:val="21"/>
                <w:highlight w:val="none"/>
                <w:lang w:val="en-US"/>
              </w:rPr>
              <w:t>路桥相关专业</w:t>
            </w:r>
            <w:r>
              <w:rPr>
                <w:rFonts w:hint="eastAsia" w:ascii="Calibri" w:hAnsi="Calibri" w:cs="Calibri"/>
                <w:color w:val="auto"/>
                <w:szCs w:val="21"/>
                <w:highlight w:val="none"/>
                <w:lang w:val="en-US" w:eastAsia="zh-CN"/>
              </w:rPr>
              <w:t>高级及以上</w:t>
            </w:r>
            <w:r>
              <w:rPr>
                <w:rFonts w:hint="eastAsia" w:ascii="Calibri" w:hAnsi="Calibri" w:cs="Calibri"/>
                <w:color w:val="auto"/>
                <w:szCs w:val="21"/>
                <w:highlight w:val="none"/>
                <w:lang w:val="en-US"/>
              </w:rPr>
              <w:t>工程师</w:t>
            </w:r>
            <w:r>
              <w:rPr>
                <w:rStyle w:val="12"/>
                <w:rFonts w:hint="eastAsia" w:ascii="宋体" w:hAnsi="宋体" w:eastAsia="宋体" w:cs="宋体"/>
                <w:b w:val="0"/>
                <w:bCs w:val="0"/>
                <w:color w:val="auto"/>
                <w:kern w:val="2"/>
                <w:sz w:val="21"/>
                <w:szCs w:val="21"/>
                <w:highlight w:val="none"/>
              </w:rPr>
              <w:t>，得</w:t>
            </w:r>
            <w:r>
              <w:rPr>
                <w:rStyle w:val="12"/>
                <w:rFonts w:hint="eastAsia" w:cs="宋体"/>
                <w:b w:val="0"/>
                <w:bCs w:val="0"/>
                <w:color w:val="auto"/>
                <w:kern w:val="2"/>
                <w:sz w:val="21"/>
                <w:szCs w:val="21"/>
                <w:highlight w:val="none"/>
                <w:lang w:val="en-US" w:eastAsia="zh-CN"/>
              </w:rPr>
              <w:t>10</w:t>
            </w:r>
            <w:r>
              <w:rPr>
                <w:rStyle w:val="12"/>
                <w:rFonts w:hint="eastAsia" w:ascii="宋体" w:hAnsi="宋体" w:eastAsia="宋体" w:cs="宋体"/>
                <w:b w:val="0"/>
                <w:bCs w:val="0"/>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vMerge w:val="restart"/>
            <w:noWrap w:val="0"/>
            <w:vAlign w:val="center"/>
          </w:tcPr>
          <w:p>
            <w:pPr>
              <w:spacing w:line="400" w:lineRule="exact"/>
              <w:jc w:val="center"/>
              <w:rPr>
                <w:rFonts w:hint="eastAsia" w:eastAsia="宋体"/>
                <w:color w:val="auto"/>
                <w:szCs w:val="21"/>
                <w:highlight w:val="none"/>
                <w:lang w:eastAsia="zh-CN"/>
              </w:rPr>
            </w:pPr>
            <w:r>
              <w:rPr>
                <w:rFonts w:hint="eastAsia"/>
                <w:color w:val="auto"/>
                <w:szCs w:val="21"/>
                <w:highlight w:val="none"/>
              </w:rPr>
              <w:t>2.2.</w:t>
            </w:r>
            <w:r>
              <w:rPr>
                <w:rFonts w:hint="eastAsia"/>
                <w:color w:val="auto"/>
                <w:szCs w:val="21"/>
                <w:highlight w:val="none"/>
                <w:lang w:val="en-US" w:eastAsia="zh-CN"/>
              </w:rPr>
              <w:t>4</w:t>
            </w:r>
          </w:p>
          <w:p>
            <w:pPr>
              <w:spacing w:line="400" w:lineRule="exact"/>
              <w:jc w:val="center"/>
              <w:rPr>
                <w:color w:val="auto"/>
                <w:szCs w:val="21"/>
                <w:highlight w:val="none"/>
              </w:rPr>
            </w:pPr>
            <w:r>
              <w:rPr>
                <w:rFonts w:hint="eastAsia"/>
                <w:color w:val="auto"/>
                <w:szCs w:val="21"/>
                <w:highlight w:val="none"/>
              </w:rPr>
              <w:t>（3）</w:t>
            </w:r>
          </w:p>
        </w:tc>
        <w:tc>
          <w:tcPr>
            <w:tcW w:w="354" w:type="dxa"/>
            <w:gridSpan w:val="2"/>
            <w:vMerge w:val="restart"/>
            <w:noWrap w:val="0"/>
            <w:vAlign w:val="center"/>
          </w:tcPr>
          <w:p>
            <w:pPr>
              <w:spacing w:line="400" w:lineRule="exact"/>
              <w:jc w:val="center"/>
              <w:rPr>
                <w:color w:val="auto"/>
                <w:szCs w:val="21"/>
                <w:highlight w:val="none"/>
              </w:rPr>
            </w:pPr>
            <w:r>
              <w:rPr>
                <w:rFonts w:hint="eastAsia"/>
                <w:color w:val="auto"/>
                <w:szCs w:val="21"/>
                <w:highlight w:val="none"/>
              </w:rPr>
              <w:t>其他因素</w:t>
            </w:r>
          </w:p>
        </w:tc>
        <w:tc>
          <w:tcPr>
            <w:tcW w:w="355" w:type="dxa"/>
            <w:noWrap w:val="0"/>
            <w:vAlign w:val="center"/>
          </w:tcPr>
          <w:p>
            <w:pPr>
              <w:spacing w:line="400" w:lineRule="exact"/>
              <w:jc w:val="center"/>
              <w:rPr>
                <w:color w:val="auto"/>
                <w:szCs w:val="21"/>
                <w:highlight w:val="none"/>
              </w:rPr>
            </w:pPr>
            <w:r>
              <w:rPr>
                <w:rFonts w:hint="eastAsia"/>
                <w:color w:val="auto"/>
                <w:szCs w:val="21"/>
                <w:highlight w:val="none"/>
              </w:rPr>
              <w:t>技术能力</w:t>
            </w:r>
          </w:p>
        </w:tc>
        <w:tc>
          <w:tcPr>
            <w:tcW w:w="708" w:type="dxa"/>
            <w:noWrap w:val="0"/>
            <w:vAlign w:val="center"/>
          </w:tcPr>
          <w:p>
            <w:pPr>
              <w:spacing w:line="400" w:lineRule="exact"/>
              <w:jc w:val="center"/>
              <w:rPr>
                <w:b/>
                <w:color w:val="auto"/>
                <w:szCs w:val="21"/>
                <w:highlight w:val="none"/>
              </w:rPr>
            </w:pPr>
            <w:r>
              <w:rPr>
                <w:rFonts w:hint="eastAsia"/>
                <w:b/>
                <w:color w:val="auto"/>
                <w:szCs w:val="21"/>
                <w:highlight w:val="none"/>
                <w:u w:val="single"/>
              </w:rPr>
              <w:t xml:space="preserve"> </w:t>
            </w:r>
            <w:r>
              <w:rPr>
                <w:rFonts w:hint="eastAsia"/>
                <w:b/>
                <w:color w:val="auto"/>
                <w:szCs w:val="21"/>
                <w:highlight w:val="none"/>
                <w:u w:val="single"/>
                <w:lang w:val="en-US" w:eastAsia="zh-CN"/>
              </w:rPr>
              <w:t>15</w:t>
            </w:r>
            <w:r>
              <w:rPr>
                <w:rFonts w:hint="eastAsia"/>
                <w:b/>
                <w:color w:val="auto"/>
                <w:szCs w:val="21"/>
                <w:highlight w:val="none"/>
                <w:u w:val="single"/>
              </w:rPr>
              <w:t xml:space="preserve"> </w:t>
            </w:r>
            <w:r>
              <w:rPr>
                <w:rFonts w:hint="eastAsia"/>
                <w:b/>
                <w:color w:val="auto"/>
                <w:szCs w:val="21"/>
                <w:highlight w:val="none"/>
              </w:rPr>
              <w:t>分</w:t>
            </w:r>
          </w:p>
        </w:tc>
        <w:tc>
          <w:tcPr>
            <w:tcW w:w="7092" w:type="dxa"/>
            <w:gridSpan w:val="4"/>
            <w:noWrap w:val="0"/>
            <w:vAlign w:val="center"/>
          </w:tcPr>
          <w:p>
            <w:pPr>
              <w:pStyle w:val="11"/>
              <w:keepNext w:val="0"/>
              <w:keepLines w:val="0"/>
              <w:suppressLineNumbers w:val="0"/>
              <w:shd w:val="clear" w:color="auto" w:fill="auto"/>
              <w:tabs>
                <w:tab w:val="left" w:pos="917"/>
                <w:tab w:val="left" w:pos="1075"/>
              </w:tabs>
              <w:spacing w:before="0" w:beforeAutospacing="0" w:after="0" w:afterAutospacing="0" w:line="360" w:lineRule="exact"/>
              <w:ind w:left="0" w:right="130" w:rightChars="59"/>
              <w:jc w:val="both"/>
              <w:rPr>
                <w:rStyle w:val="12"/>
                <w:rFonts w:hint="eastAsia" w:ascii="宋体" w:hAnsi="宋体" w:eastAsia="宋体" w:cs="宋体"/>
                <w:color w:val="auto"/>
                <w:sz w:val="21"/>
                <w:szCs w:val="21"/>
                <w:highlight w:val="none"/>
              </w:rPr>
            </w:pPr>
            <w:r>
              <w:rPr>
                <w:rStyle w:val="12"/>
                <w:rFonts w:hint="eastAsia" w:ascii="宋体" w:hAnsi="宋体" w:eastAsia="宋体" w:cs="宋体"/>
                <w:color w:val="auto"/>
                <w:sz w:val="21"/>
                <w:szCs w:val="21"/>
                <w:highlight w:val="none"/>
                <w:lang w:eastAsia="zh-CN"/>
              </w:rPr>
              <w:t>（</w:t>
            </w:r>
            <w:r>
              <w:rPr>
                <w:rStyle w:val="12"/>
                <w:rFonts w:hint="eastAsia" w:ascii="宋体" w:hAnsi="宋体" w:eastAsia="宋体" w:cs="宋体"/>
                <w:color w:val="auto"/>
                <w:sz w:val="21"/>
                <w:szCs w:val="21"/>
                <w:highlight w:val="none"/>
                <w:lang w:val="en-US" w:eastAsia="zh-CN"/>
              </w:rPr>
              <w:t>1</w:t>
            </w:r>
            <w:r>
              <w:rPr>
                <w:rStyle w:val="12"/>
                <w:rFonts w:hint="eastAsia" w:ascii="宋体" w:hAnsi="宋体" w:eastAsia="宋体" w:cs="宋体"/>
                <w:color w:val="auto"/>
                <w:sz w:val="21"/>
                <w:szCs w:val="21"/>
                <w:highlight w:val="none"/>
                <w:lang w:eastAsia="zh-CN"/>
              </w:rPr>
              <w:t>）</w:t>
            </w:r>
            <w:r>
              <w:rPr>
                <w:rStyle w:val="12"/>
                <w:rFonts w:hint="eastAsia" w:ascii="宋体" w:hAnsi="宋体" w:eastAsia="宋体" w:cs="宋体"/>
                <w:color w:val="auto"/>
                <w:sz w:val="21"/>
                <w:szCs w:val="21"/>
                <w:highlight w:val="none"/>
              </w:rPr>
              <w:t>投标人获得与公路项目施工有关的专利（发明专利或实用新型专利）、省级科学技术进步奖、主编或参编过的行业或地方（指省级）标准，每项加</w:t>
            </w:r>
            <w:r>
              <w:rPr>
                <w:rStyle w:val="12"/>
                <w:rFonts w:hint="eastAsia" w:ascii="宋体" w:eastAsia="宋体" w:cs="宋体"/>
                <w:color w:val="auto"/>
                <w:sz w:val="21"/>
                <w:szCs w:val="21"/>
                <w:highlight w:val="none"/>
                <w:lang w:val="en-US" w:eastAsia="zh-CN"/>
              </w:rPr>
              <w:t>5</w:t>
            </w:r>
            <w:r>
              <w:rPr>
                <w:rStyle w:val="12"/>
                <w:rFonts w:hint="eastAsia" w:ascii="宋体" w:hAnsi="宋体" w:eastAsia="宋体" w:cs="宋体"/>
                <w:color w:val="auto"/>
                <w:sz w:val="21"/>
                <w:szCs w:val="21"/>
                <w:highlight w:val="none"/>
              </w:rPr>
              <w:t>分，最多加</w:t>
            </w:r>
            <w:r>
              <w:rPr>
                <w:rStyle w:val="12"/>
                <w:rFonts w:hint="eastAsia" w:ascii="宋体" w:eastAsia="宋体" w:cs="宋体"/>
                <w:color w:val="auto"/>
                <w:sz w:val="21"/>
                <w:szCs w:val="21"/>
                <w:highlight w:val="none"/>
                <w:lang w:val="en-US" w:eastAsia="zh-CN"/>
              </w:rPr>
              <w:t>15</w:t>
            </w:r>
            <w:r>
              <w:rPr>
                <w:rStyle w:val="12"/>
                <w:rFonts w:hint="eastAsia" w:ascii="宋体" w:hAnsi="宋体" w:eastAsia="宋体" w:cs="宋体"/>
                <w:color w:val="auto"/>
                <w:sz w:val="21"/>
                <w:szCs w:val="21"/>
                <w:highlight w:val="none"/>
              </w:rPr>
              <w:t>分。</w:t>
            </w:r>
          </w:p>
          <w:p>
            <w:pPr>
              <w:pStyle w:val="11"/>
              <w:keepNext w:val="0"/>
              <w:keepLines w:val="0"/>
              <w:suppressLineNumbers w:val="0"/>
              <w:shd w:val="clear" w:color="auto" w:fill="auto"/>
              <w:tabs>
                <w:tab w:val="left" w:pos="917"/>
                <w:tab w:val="left" w:pos="1075"/>
              </w:tabs>
              <w:spacing w:before="0" w:beforeAutospacing="0" w:after="0" w:afterAutospacing="0" w:line="360" w:lineRule="exact"/>
              <w:ind w:left="0" w:right="130" w:rightChars="59"/>
              <w:jc w:val="both"/>
              <w:rPr>
                <w:rStyle w:val="12"/>
                <w:rFonts w:hint="eastAsia" w:ascii="宋体" w:hAnsi="宋体" w:eastAsia="宋体" w:cs="宋体"/>
                <w:color w:val="auto"/>
                <w:sz w:val="21"/>
                <w:szCs w:val="21"/>
                <w:highlight w:val="none"/>
              </w:rPr>
            </w:pPr>
            <w:r>
              <w:rPr>
                <w:rStyle w:val="12"/>
                <w:rFonts w:hint="eastAsia" w:ascii="宋体" w:hAnsi="宋体" w:eastAsia="宋体" w:cs="宋体"/>
                <w:color w:val="auto"/>
                <w:sz w:val="21"/>
                <w:szCs w:val="21"/>
                <w:highlight w:val="none"/>
              </w:rPr>
              <w:t>本项累计加分最高</w:t>
            </w:r>
            <w:r>
              <w:rPr>
                <w:rStyle w:val="12"/>
                <w:rFonts w:hint="eastAsia" w:ascii="宋体" w:eastAsia="宋体" w:cs="宋体"/>
                <w:color w:val="auto"/>
                <w:sz w:val="21"/>
                <w:szCs w:val="21"/>
                <w:highlight w:val="none"/>
                <w:lang w:val="en-US" w:eastAsia="zh-CN"/>
              </w:rPr>
              <w:t>15</w:t>
            </w:r>
            <w:r>
              <w:rPr>
                <w:rStyle w:val="12"/>
                <w:rFonts w:hint="eastAsia" w:ascii="宋体" w:hAnsi="宋体" w:eastAsia="宋体" w:cs="宋体"/>
                <w:color w:val="auto"/>
                <w:sz w:val="21"/>
                <w:szCs w:val="21"/>
                <w:highlight w:val="none"/>
              </w:rPr>
              <w:t>分，同一事项同时获得国家及省级科学技术进步奖的按较高分只计一次，主编或参编过的标准同时满足国家或行业或地方（指省级）的按较高分只计一次。</w:t>
            </w:r>
          </w:p>
          <w:p>
            <w:pPr>
              <w:pStyle w:val="11"/>
              <w:keepNext w:val="0"/>
              <w:keepLines w:val="0"/>
              <w:suppressLineNumbers w:val="0"/>
              <w:shd w:val="clear" w:color="auto" w:fill="auto"/>
              <w:tabs>
                <w:tab w:val="left" w:pos="917"/>
                <w:tab w:val="left" w:pos="1075"/>
              </w:tabs>
              <w:spacing w:before="0" w:beforeAutospacing="0" w:after="0" w:afterAutospacing="0" w:line="360" w:lineRule="exact"/>
              <w:ind w:left="0" w:right="130" w:rightChars="59"/>
              <w:jc w:val="both"/>
              <w:rPr>
                <w:rStyle w:val="12"/>
                <w:rFonts w:hint="eastAsia" w:ascii="宋体" w:hAnsi="宋体" w:eastAsia="宋体" w:cs="宋体"/>
                <w:color w:val="auto"/>
                <w:sz w:val="21"/>
                <w:szCs w:val="21"/>
                <w:highlight w:val="none"/>
              </w:rPr>
            </w:pPr>
            <w:r>
              <w:rPr>
                <w:rStyle w:val="12"/>
                <w:rFonts w:hint="eastAsia" w:ascii="宋体" w:hAnsi="宋体" w:eastAsia="宋体" w:cs="宋体"/>
                <w:color w:val="auto"/>
                <w:sz w:val="21"/>
                <w:szCs w:val="21"/>
                <w:highlight w:val="none"/>
              </w:rPr>
              <w:t>注：（1）应提供相关证明材料彩色扫描件或彩色复印件，不提供不得分</w:t>
            </w:r>
            <w:r>
              <w:rPr>
                <w:rStyle w:val="12"/>
                <w:rFonts w:hint="default" w:ascii="宋体" w:hAnsi="宋体" w:eastAsia="宋体" w:cs="宋体"/>
                <w:color w:val="auto"/>
                <w:sz w:val="21"/>
                <w:szCs w:val="21"/>
                <w:highlight w:val="none"/>
                <w:lang w:val="en-US"/>
              </w:rPr>
              <w:t>。</w:t>
            </w:r>
          </w:p>
          <w:p>
            <w:pPr>
              <w:spacing w:line="400" w:lineRule="exact"/>
              <w:rPr>
                <w:b/>
                <w:color w:val="auto"/>
                <w:szCs w:val="21"/>
                <w:highlight w:val="none"/>
              </w:rPr>
            </w:pPr>
            <w:r>
              <w:rPr>
                <w:rStyle w:val="12"/>
                <w:rFonts w:hint="eastAsia" w:ascii="宋体" w:hAnsi="宋体" w:eastAsia="宋体" w:cs="宋体"/>
                <w:color w:val="auto"/>
                <w:sz w:val="21"/>
                <w:szCs w:val="21"/>
                <w:highlight w:val="none"/>
              </w:rPr>
              <w:t>（</w:t>
            </w:r>
            <w:r>
              <w:rPr>
                <w:rStyle w:val="12"/>
                <w:rFonts w:hint="eastAsia" w:ascii="宋体" w:hAnsi="宋体" w:eastAsia="宋体" w:cs="宋体"/>
                <w:color w:val="auto"/>
                <w:sz w:val="21"/>
                <w:szCs w:val="21"/>
                <w:highlight w:val="none"/>
                <w:lang w:val="en-US" w:eastAsia="zh-CN"/>
              </w:rPr>
              <w:t>2</w:t>
            </w:r>
            <w:r>
              <w:rPr>
                <w:rStyle w:val="12"/>
                <w:rFonts w:hint="eastAsia" w:ascii="宋体" w:hAnsi="宋体" w:eastAsia="宋体" w:cs="宋体"/>
                <w:color w:val="auto"/>
                <w:sz w:val="21"/>
                <w:szCs w:val="21"/>
                <w:highlight w:val="none"/>
              </w:rPr>
              <w:t>）获奖证书上必须有投标人的单位名称，如果没有投标人的单位名称，则须附颁奖机构出具证明材料，否则不予认可。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vMerge w:val="continue"/>
            <w:noWrap w:val="0"/>
            <w:vAlign w:val="center"/>
          </w:tcPr>
          <w:p>
            <w:pPr>
              <w:spacing w:line="400" w:lineRule="exact"/>
              <w:jc w:val="center"/>
              <w:rPr>
                <w:color w:val="auto"/>
                <w:szCs w:val="21"/>
                <w:highlight w:val="none"/>
              </w:rPr>
            </w:pPr>
          </w:p>
        </w:tc>
        <w:tc>
          <w:tcPr>
            <w:tcW w:w="354" w:type="dxa"/>
            <w:gridSpan w:val="2"/>
            <w:vMerge w:val="continue"/>
            <w:noWrap w:val="0"/>
            <w:vAlign w:val="center"/>
          </w:tcPr>
          <w:p>
            <w:pPr>
              <w:spacing w:line="400" w:lineRule="exact"/>
              <w:jc w:val="center"/>
              <w:rPr>
                <w:color w:val="auto"/>
                <w:szCs w:val="21"/>
                <w:highlight w:val="none"/>
              </w:rPr>
            </w:pPr>
          </w:p>
        </w:tc>
        <w:tc>
          <w:tcPr>
            <w:tcW w:w="355" w:type="dxa"/>
            <w:noWrap w:val="0"/>
            <w:vAlign w:val="center"/>
          </w:tcPr>
          <w:p>
            <w:pPr>
              <w:spacing w:line="400" w:lineRule="exact"/>
              <w:jc w:val="center"/>
              <w:rPr>
                <w:color w:val="auto"/>
                <w:szCs w:val="21"/>
                <w:highlight w:val="none"/>
              </w:rPr>
            </w:pPr>
            <w:r>
              <w:rPr>
                <w:rFonts w:hint="eastAsia"/>
                <w:color w:val="auto"/>
                <w:szCs w:val="21"/>
                <w:highlight w:val="none"/>
              </w:rPr>
              <w:t>履约信誉</w:t>
            </w:r>
          </w:p>
        </w:tc>
        <w:tc>
          <w:tcPr>
            <w:tcW w:w="708" w:type="dxa"/>
            <w:noWrap w:val="0"/>
            <w:vAlign w:val="center"/>
          </w:tcPr>
          <w:p>
            <w:pPr>
              <w:spacing w:line="400" w:lineRule="exact"/>
              <w:jc w:val="center"/>
              <w:rPr>
                <w:b/>
                <w:color w:val="auto"/>
                <w:szCs w:val="21"/>
                <w:highlight w:val="none"/>
                <w:u w:val="single"/>
              </w:rPr>
            </w:pPr>
            <w:r>
              <w:rPr>
                <w:rFonts w:hint="eastAsia"/>
                <w:b/>
                <w:color w:val="auto"/>
                <w:szCs w:val="21"/>
                <w:highlight w:val="none"/>
                <w:u w:val="single"/>
              </w:rPr>
              <w:t xml:space="preserve"> </w:t>
            </w:r>
            <w:r>
              <w:rPr>
                <w:rFonts w:hint="eastAsia"/>
                <w:b/>
                <w:color w:val="auto"/>
                <w:szCs w:val="21"/>
                <w:highlight w:val="none"/>
                <w:u w:val="single"/>
                <w:lang w:val="en-US" w:eastAsia="zh-CN"/>
              </w:rPr>
              <w:t>15</w:t>
            </w:r>
            <w:r>
              <w:rPr>
                <w:rFonts w:hint="eastAsia"/>
                <w:b/>
                <w:color w:val="auto"/>
                <w:szCs w:val="21"/>
                <w:highlight w:val="none"/>
                <w:u w:val="none"/>
              </w:rPr>
              <w:t>分</w:t>
            </w:r>
          </w:p>
        </w:tc>
        <w:tc>
          <w:tcPr>
            <w:tcW w:w="7092" w:type="dxa"/>
            <w:gridSpan w:val="4"/>
            <w:noWrap w:val="0"/>
            <w:vAlign w:val="center"/>
          </w:tcPr>
          <w:p>
            <w:pPr>
              <w:pStyle w:val="11"/>
              <w:keepNext w:val="0"/>
              <w:keepLines w:val="0"/>
              <w:suppressLineNumbers w:val="0"/>
              <w:shd w:val="clear" w:color="auto" w:fill="auto"/>
              <w:tabs>
                <w:tab w:val="left" w:pos="917"/>
                <w:tab w:val="left" w:pos="1075"/>
              </w:tabs>
              <w:spacing w:before="0" w:beforeAutospacing="0" w:after="0" w:afterAutospacing="0" w:line="360" w:lineRule="exact"/>
              <w:ind w:left="0" w:right="130" w:rightChars="59"/>
              <w:jc w:val="both"/>
              <w:rPr>
                <w:rStyle w:val="12"/>
                <w:rFonts w:ascii="宋体" w:hAnsi="宋体" w:eastAsia="宋体" w:cs="宋体"/>
                <w:b/>
                <w:color w:val="auto"/>
                <w:sz w:val="21"/>
                <w:szCs w:val="21"/>
                <w:highlight w:val="none"/>
              </w:rPr>
            </w:pPr>
            <w:r>
              <w:rPr>
                <w:rStyle w:val="12"/>
                <w:rFonts w:hint="eastAsia" w:ascii="宋体" w:hAnsi="宋体" w:eastAsia="宋体" w:cs="宋体"/>
                <w:b/>
                <w:color w:val="auto"/>
                <w:sz w:val="21"/>
                <w:szCs w:val="21"/>
                <w:highlight w:val="none"/>
              </w:rPr>
              <w:t>1. 信用等级分值（</w:t>
            </w:r>
            <w:r>
              <w:rPr>
                <w:rStyle w:val="12"/>
                <w:rFonts w:hint="eastAsia" w:ascii="宋体" w:eastAsia="宋体" w:cs="宋体"/>
                <w:b/>
                <w:color w:val="auto"/>
                <w:sz w:val="21"/>
                <w:szCs w:val="21"/>
                <w:highlight w:val="none"/>
                <w:lang w:val="en-US" w:eastAsia="zh-CN"/>
              </w:rPr>
              <w:t>10</w:t>
            </w:r>
            <w:r>
              <w:rPr>
                <w:rStyle w:val="12"/>
                <w:rFonts w:hint="eastAsia" w:ascii="宋体" w:hAnsi="宋体" w:eastAsia="宋体" w:cs="宋体"/>
                <w:b/>
                <w:color w:val="auto"/>
                <w:sz w:val="21"/>
                <w:szCs w:val="21"/>
                <w:highlight w:val="none"/>
              </w:rPr>
              <w:t>分）</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AA、A、B、C级单位的信用等级分得分分别为 10、9.5、8.9、7.3分。</w:t>
            </w:r>
          </w:p>
          <w:p>
            <w:pPr>
              <w:pStyle w:val="11"/>
              <w:keepNext w:val="0"/>
              <w:keepLines w:val="0"/>
              <w:suppressLineNumbers w:val="0"/>
              <w:shd w:val="clear" w:color="auto" w:fill="auto"/>
              <w:tabs>
                <w:tab w:val="left" w:pos="917"/>
                <w:tab w:val="left" w:pos="1075"/>
              </w:tabs>
              <w:spacing w:before="0" w:beforeAutospacing="0" w:after="0" w:afterAutospacing="0" w:line="360" w:lineRule="exact"/>
              <w:ind w:left="0" w:right="130" w:rightChars="59"/>
              <w:jc w:val="both"/>
              <w:rPr>
                <w:rStyle w:val="12"/>
                <w:rFonts w:ascii="宋体" w:hAnsi="宋体" w:eastAsia="宋体" w:cs="宋体"/>
                <w:color w:val="auto"/>
                <w:sz w:val="21"/>
                <w:szCs w:val="21"/>
                <w:highlight w:val="none"/>
              </w:rPr>
            </w:pPr>
            <w:r>
              <w:rPr>
                <w:rStyle w:val="12"/>
                <w:rFonts w:hint="eastAsia" w:ascii="宋体" w:hAnsi="宋体" w:eastAsia="宋体" w:cs="宋体"/>
                <w:color w:val="auto"/>
                <w:sz w:val="21"/>
                <w:szCs w:val="21"/>
                <w:highlight w:val="none"/>
              </w:rPr>
              <w:t>注：信用等级的确定原则遵循投标人须知前附表10.2款的规定。</w:t>
            </w:r>
          </w:p>
          <w:p>
            <w:pPr>
              <w:pStyle w:val="11"/>
              <w:keepNext w:val="0"/>
              <w:keepLines w:val="0"/>
              <w:suppressLineNumbers w:val="0"/>
              <w:shd w:val="clear" w:color="auto" w:fill="auto"/>
              <w:tabs>
                <w:tab w:val="left" w:pos="917"/>
                <w:tab w:val="left" w:pos="1075"/>
              </w:tabs>
              <w:spacing w:before="0" w:beforeAutospacing="0" w:after="0" w:afterAutospacing="0" w:line="360" w:lineRule="exact"/>
              <w:ind w:left="0" w:right="130" w:rightChars="59"/>
              <w:jc w:val="both"/>
              <w:rPr>
                <w:rStyle w:val="12"/>
                <w:rFonts w:ascii="宋体" w:hAnsi="宋体" w:eastAsia="宋体" w:cs="宋体"/>
                <w:b/>
                <w:color w:val="auto"/>
                <w:sz w:val="21"/>
                <w:szCs w:val="21"/>
                <w:highlight w:val="none"/>
              </w:rPr>
            </w:pPr>
            <w:r>
              <w:rPr>
                <w:rStyle w:val="12"/>
                <w:rFonts w:hint="eastAsia" w:ascii="宋体" w:hAnsi="宋体" w:eastAsia="宋体" w:cs="宋体"/>
                <w:b/>
                <w:color w:val="auto"/>
                <w:sz w:val="21"/>
                <w:szCs w:val="21"/>
                <w:highlight w:val="none"/>
              </w:rPr>
              <w:t>2. 履约情况（</w:t>
            </w:r>
            <w:r>
              <w:rPr>
                <w:rStyle w:val="12"/>
                <w:rFonts w:hint="eastAsia" w:ascii="宋体" w:eastAsia="宋体" w:cs="宋体"/>
                <w:b/>
                <w:color w:val="auto"/>
                <w:sz w:val="21"/>
                <w:szCs w:val="21"/>
                <w:highlight w:val="none"/>
                <w:lang w:val="en-US" w:eastAsia="zh-CN"/>
              </w:rPr>
              <w:t>5</w:t>
            </w:r>
            <w:r>
              <w:rPr>
                <w:rStyle w:val="12"/>
                <w:rFonts w:hint="eastAsia" w:ascii="宋体" w:hAnsi="宋体" w:eastAsia="宋体" w:cs="宋体"/>
                <w:b/>
                <w:color w:val="auto"/>
                <w:sz w:val="21"/>
                <w:szCs w:val="21"/>
                <w:highlight w:val="none"/>
              </w:rPr>
              <w:t>分）</w:t>
            </w:r>
          </w:p>
          <w:p>
            <w:pPr>
              <w:pStyle w:val="11"/>
              <w:keepNext w:val="0"/>
              <w:keepLines w:val="0"/>
              <w:suppressLineNumbers w:val="0"/>
              <w:shd w:val="clear" w:color="auto" w:fill="auto"/>
              <w:tabs>
                <w:tab w:val="left" w:pos="917"/>
                <w:tab w:val="left" w:pos="1075"/>
              </w:tabs>
              <w:spacing w:before="0" w:beforeAutospacing="0" w:after="0" w:afterAutospacing="0" w:line="360" w:lineRule="exact"/>
              <w:ind w:left="0" w:right="130" w:rightChars="59"/>
              <w:jc w:val="both"/>
              <w:rPr>
                <w:rStyle w:val="12"/>
                <w:rFonts w:ascii="宋体" w:hAnsi="宋体" w:eastAsia="宋体" w:cs="宋体"/>
                <w:color w:val="auto"/>
                <w:sz w:val="21"/>
                <w:szCs w:val="21"/>
                <w:highlight w:val="none"/>
              </w:rPr>
            </w:pPr>
            <w:r>
              <w:rPr>
                <w:rStyle w:val="12"/>
                <w:rFonts w:hint="eastAsia" w:ascii="宋体" w:hAnsi="宋体" w:eastAsia="宋体" w:cs="宋体"/>
                <w:color w:val="auto"/>
                <w:sz w:val="21"/>
                <w:szCs w:val="21"/>
                <w:highlight w:val="none"/>
              </w:rPr>
              <w:t>若没出现下述情形得满分；</w:t>
            </w:r>
          </w:p>
          <w:p>
            <w:pPr>
              <w:pStyle w:val="11"/>
              <w:keepNext w:val="0"/>
              <w:keepLines w:val="0"/>
              <w:suppressLineNumbers w:val="0"/>
              <w:shd w:val="clear" w:color="auto" w:fill="auto"/>
              <w:tabs>
                <w:tab w:val="left" w:pos="917"/>
                <w:tab w:val="left" w:pos="1075"/>
              </w:tabs>
              <w:spacing w:before="0" w:beforeAutospacing="0" w:after="0" w:afterAutospacing="0" w:line="360" w:lineRule="exact"/>
              <w:ind w:left="0" w:right="130" w:rightChars="59"/>
              <w:jc w:val="both"/>
              <w:rPr>
                <w:rStyle w:val="12"/>
                <w:rFonts w:ascii="宋体" w:hAnsi="宋体" w:eastAsia="宋体" w:cs="宋体"/>
                <w:color w:val="auto"/>
                <w:sz w:val="21"/>
                <w:szCs w:val="21"/>
                <w:highlight w:val="none"/>
              </w:rPr>
            </w:pPr>
            <w:r>
              <w:rPr>
                <w:rStyle w:val="12"/>
                <w:rFonts w:hint="eastAsia" w:ascii="宋体" w:hAnsi="宋体" w:eastAsia="宋体" w:cs="宋体"/>
                <w:color w:val="auto"/>
                <w:sz w:val="21"/>
                <w:szCs w:val="21"/>
                <w:highlight w:val="none"/>
              </w:rPr>
              <w:t>自2020年</w:t>
            </w:r>
            <w:r>
              <w:rPr>
                <w:rStyle w:val="12"/>
                <w:rFonts w:hint="eastAsia" w:ascii="宋体" w:eastAsia="宋体" w:cs="宋体"/>
                <w:color w:val="auto"/>
                <w:sz w:val="21"/>
                <w:szCs w:val="21"/>
                <w:highlight w:val="none"/>
                <w:lang w:val="en-US" w:eastAsia="zh-CN"/>
              </w:rPr>
              <w:t>1</w:t>
            </w:r>
            <w:r>
              <w:rPr>
                <w:rStyle w:val="12"/>
                <w:rFonts w:hint="eastAsia" w:ascii="宋体" w:hAnsi="宋体" w:eastAsia="宋体" w:cs="宋体"/>
                <w:color w:val="auto"/>
                <w:sz w:val="21"/>
                <w:szCs w:val="21"/>
                <w:highlight w:val="none"/>
              </w:rPr>
              <w:t>月1日至投标文件递交截止日，因公路工程（含附属设施）质量、安全、履约或招标投标问题等原因被：</w:t>
            </w:r>
          </w:p>
          <w:p>
            <w:pPr>
              <w:pStyle w:val="11"/>
              <w:keepNext w:val="0"/>
              <w:keepLines w:val="0"/>
              <w:suppressLineNumbers w:val="0"/>
              <w:shd w:val="clear" w:color="auto" w:fill="auto"/>
              <w:tabs>
                <w:tab w:val="left" w:pos="917"/>
                <w:tab w:val="left" w:pos="1075"/>
              </w:tabs>
              <w:spacing w:before="0" w:beforeAutospacing="0" w:after="0" w:afterAutospacing="0" w:line="360" w:lineRule="exact"/>
              <w:ind w:left="0" w:right="130" w:rightChars="59"/>
              <w:jc w:val="both"/>
              <w:rPr>
                <w:rStyle w:val="12"/>
                <w:rFonts w:ascii="宋体" w:hAnsi="宋体" w:eastAsia="宋体" w:cs="宋体"/>
                <w:color w:val="auto"/>
                <w:sz w:val="21"/>
                <w:szCs w:val="21"/>
                <w:highlight w:val="none"/>
              </w:rPr>
            </w:pPr>
            <w:r>
              <w:rPr>
                <w:rStyle w:val="12"/>
                <w:rFonts w:hint="eastAsia" w:ascii="宋体" w:hAnsi="宋体" w:eastAsia="宋体" w:cs="宋体"/>
                <w:color w:val="auto"/>
                <w:sz w:val="21"/>
                <w:szCs w:val="21"/>
                <w:highlight w:val="none"/>
              </w:rPr>
              <w:t>（1）交通运输部通报批评的，扣5分/次；</w:t>
            </w:r>
          </w:p>
          <w:p>
            <w:pPr>
              <w:pStyle w:val="11"/>
              <w:keepNext w:val="0"/>
              <w:keepLines w:val="0"/>
              <w:suppressLineNumbers w:val="0"/>
              <w:shd w:val="clear" w:color="auto" w:fill="auto"/>
              <w:tabs>
                <w:tab w:val="left" w:pos="917"/>
                <w:tab w:val="left" w:pos="1075"/>
              </w:tabs>
              <w:spacing w:before="0" w:beforeAutospacing="0" w:after="0" w:afterAutospacing="0" w:line="360" w:lineRule="exact"/>
              <w:ind w:left="0" w:right="130" w:rightChars="59"/>
              <w:jc w:val="both"/>
              <w:rPr>
                <w:rStyle w:val="12"/>
                <w:rFonts w:ascii="宋体" w:hAnsi="宋体" w:eastAsia="宋体" w:cs="宋体"/>
                <w:color w:val="auto"/>
                <w:sz w:val="21"/>
                <w:szCs w:val="21"/>
                <w:highlight w:val="none"/>
              </w:rPr>
            </w:pPr>
            <w:r>
              <w:rPr>
                <w:rStyle w:val="12"/>
                <w:rFonts w:hint="eastAsia" w:ascii="宋体" w:hAnsi="宋体" w:eastAsia="宋体" w:cs="宋体"/>
                <w:color w:val="auto"/>
                <w:sz w:val="21"/>
                <w:szCs w:val="21"/>
                <w:highlight w:val="none"/>
              </w:rPr>
              <w:t>（2）广东省交通运输厅通报批评的，扣</w:t>
            </w:r>
            <w:r>
              <w:rPr>
                <w:rStyle w:val="12"/>
                <w:rFonts w:hint="eastAsia" w:ascii="宋体" w:eastAsia="宋体" w:cs="宋体"/>
                <w:color w:val="auto"/>
                <w:sz w:val="21"/>
                <w:szCs w:val="21"/>
                <w:highlight w:val="none"/>
                <w:lang w:val="en-US" w:eastAsia="zh-CN"/>
              </w:rPr>
              <w:t>5</w:t>
            </w:r>
            <w:r>
              <w:rPr>
                <w:rStyle w:val="12"/>
                <w:rFonts w:hint="eastAsia" w:ascii="宋体" w:hAnsi="宋体" w:eastAsia="宋体" w:cs="宋体"/>
                <w:color w:val="auto"/>
                <w:sz w:val="21"/>
                <w:szCs w:val="21"/>
                <w:highlight w:val="none"/>
              </w:rPr>
              <w:t>分/次；</w:t>
            </w:r>
          </w:p>
          <w:p>
            <w:pPr>
              <w:spacing w:line="400" w:lineRule="exact"/>
              <w:ind w:firstLine="457" w:firstLineChars="218"/>
              <w:rPr>
                <w:b/>
                <w:color w:val="auto"/>
                <w:szCs w:val="21"/>
                <w:highlight w:val="none"/>
              </w:rPr>
            </w:pPr>
            <w:r>
              <w:rPr>
                <w:rStyle w:val="12"/>
                <w:rFonts w:hint="eastAsia" w:ascii="宋体" w:hAnsi="宋体" w:eastAsia="宋体" w:cs="宋体"/>
                <w:color w:val="auto"/>
                <w:sz w:val="21"/>
                <w:szCs w:val="21"/>
                <w:highlight w:val="none"/>
              </w:rPr>
              <w:t>同一事项同时被多个部门通报批评只按最高的扣分计算1次。如果扣完本项分值，可以从总分中扣。</w:t>
            </w:r>
          </w:p>
        </w:tc>
      </w:tr>
    </w:tbl>
    <w:p>
      <w:pPr>
        <w:pStyle w:val="6"/>
        <w:spacing w:before="3"/>
        <w:rPr>
          <w:color w:val="auto"/>
          <w:sz w:val="6"/>
          <w:highlight w:val="none"/>
        </w:rPr>
      </w:pPr>
    </w:p>
    <w:p>
      <w:pPr>
        <w:rPr>
          <w:color w:val="auto"/>
          <w:sz w:val="21"/>
          <w:highlight w:val="none"/>
        </w:rPr>
      </w:pPr>
    </w:p>
    <w:p>
      <w:pPr>
        <w:rPr>
          <w:color w:val="auto"/>
          <w:sz w:val="21"/>
          <w:highlight w:val="none"/>
        </w:rPr>
      </w:pPr>
    </w:p>
    <w:p>
      <w:pPr>
        <w:rPr>
          <w:color w:val="auto"/>
          <w:sz w:val="21"/>
          <w:highlight w:val="none"/>
        </w:rPr>
      </w:pPr>
    </w:p>
    <w:p>
      <w:pPr>
        <w:rPr>
          <w:color w:val="auto"/>
          <w:sz w:val="21"/>
          <w:highlight w:val="none"/>
        </w:rPr>
      </w:pPr>
    </w:p>
    <w:p>
      <w:pPr>
        <w:rPr>
          <w:color w:val="auto"/>
          <w:sz w:val="21"/>
          <w:highlight w:val="none"/>
        </w:rPr>
      </w:pPr>
    </w:p>
    <w:p>
      <w:pPr>
        <w:rPr>
          <w:color w:val="auto"/>
          <w:sz w:val="21"/>
          <w:highlight w:val="none"/>
        </w:rPr>
      </w:pPr>
    </w:p>
    <w:p>
      <w:pPr>
        <w:rPr>
          <w:color w:val="auto"/>
          <w:sz w:val="21"/>
          <w:highlight w:val="none"/>
        </w:rPr>
      </w:pPr>
    </w:p>
    <w:p>
      <w:pPr>
        <w:rPr>
          <w:color w:val="auto"/>
          <w:sz w:val="21"/>
          <w:highlight w:val="none"/>
        </w:rPr>
      </w:pPr>
    </w:p>
    <w:p>
      <w:pPr>
        <w:rPr>
          <w:color w:val="auto"/>
          <w:sz w:val="21"/>
          <w:highlight w:val="none"/>
        </w:rPr>
      </w:pPr>
    </w:p>
    <w:p>
      <w:pPr>
        <w:rPr>
          <w:color w:val="auto"/>
          <w:sz w:val="21"/>
          <w:highlight w:val="none"/>
        </w:rPr>
      </w:pPr>
    </w:p>
    <w:p>
      <w:pPr>
        <w:rPr>
          <w:color w:val="auto"/>
          <w:sz w:val="21"/>
          <w:highlight w:val="none"/>
        </w:rPr>
      </w:pPr>
    </w:p>
    <w:p>
      <w:pPr>
        <w:rPr>
          <w:color w:val="auto"/>
          <w:sz w:val="21"/>
          <w:highlight w:val="none"/>
        </w:rPr>
      </w:pPr>
    </w:p>
    <w:p>
      <w:pPr>
        <w:rPr>
          <w:color w:val="auto"/>
          <w:sz w:val="21"/>
          <w:highlight w:val="none"/>
        </w:rPr>
      </w:pPr>
    </w:p>
    <w:p>
      <w:pPr>
        <w:rPr>
          <w:color w:val="auto"/>
          <w:sz w:val="21"/>
          <w:highlight w:val="none"/>
        </w:rPr>
      </w:pPr>
    </w:p>
    <w:p>
      <w:pPr>
        <w:rPr>
          <w:color w:val="auto"/>
          <w:sz w:val="21"/>
          <w:highlight w:val="none"/>
        </w:rPr>
      </w:pPr>
    </w:p>
    <w:p>
      <w:pPr>
        <w:rPr>
          <w:color w:val="auto"/>
          <w:sz w:val="21"/>
          <w:highlight w:val="none"/>
        </w:rPr>
      </w:pPr>
    </w:p>
    <w:p>
      <w:pPr>
        <w:rPr>
          <w:color w:val="auto"/>
          <w:sz w:val="21"/>
          <w:highlight w:val="none"/>
        </w:rPr>
      </w:pPr>
    </w:p>
    <w:p>
      <w:pPr>
        <w:rPr>
          <w:color w:val="auto"/>
          <w:sz w:val="21"/>
          <w:highlight w:val="none"/>
        </w:rPr>
      </w:pPr>
    </w:p>
    <w:p>
      <w:pPr>
        <w:rPr>
          <w:color w:val="auto"/>
          <w:sz w:val="21"/>
          <w:highlight w:val="none"/>
        </w:rPr>
      </w:pPr>
    </w:p>
    <w:p>
      <w:pPr>
        <w:rPr>
          <w:color w:val="auto"/>
          <w:sz w:val="21"/>
          <w:highlight w:val="none"/>
        </w:rPr>
        <w:sectPr>
          <w:pgSz w:w="11900" w:h="16840"/>
          <w:pgMar w:top="1320" w:right="820" w:bottom="1120" w:left="1000" w:header="708" w:footer="921" w:gutter="0"/>
          <w:cols w:space="720" w:num="1"/>
        </w:sectPr>
      </w:pPr>
    </w:p>
    <w:p>
      <w:pPr>
        <w:pStyle w:val="6"/>
        <w:spacing w:before="3"/>
        <w:rPr>
          <w:color w:val="auto"/>
          <w:sz w:val="6"/>
          <w:highlight w:val="none"/>
        </w:rPr>
      </w:pPr>
    </w:p>
    <w:tbl>
      <w:tblPr>
        <w:tblStyle w:val="14"/>
        <w:tblW w:w="0" w:type="auto"/>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8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150" w:type="dxa"/>
            <w:gridSpan w:val="2"/>
            <w:noWrap w:val="0"/>
            <w:vAlign w:val="top"/>
          </w:tcPr>
          <w:p>
            <w:pPr>
              <w:pStyle w:val="13"/>
              <w:spacing w:before="1"/>
              <w:ind w:left="107"/>
              <w:rPr>
                <w:b/>
                <w:color w:val="auto"/>
                <w:sz w:val="21"/>
                <w:highlight w:val="none"/>
              </w:rPr>
            </w:pPr>
            <w:r>
              <w:rPr>
                <w:b/>
                <w:color w:val="auto"/>
                <w:w w:val="95"/>
                <w:sz w:val="21"/>
                <w:highlight w:val="none"/>
              </w:rPr>
              <w:t>需要补充的其他内容</w:t>
            </w:r>
            <w:r>
              <w:rPr>
                <w:b/>
                <w:color w:val="auto"/>
                <w:spacing w:val="-10"/>
                <w:w w:val="95"/>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60" w:type="dxa"/>
            <w:noWrap w:val="0"/>
            <w:vAlign w:val="top"/>
          </w:tcPr>
          <w:p>
            <w:pPr>
              <w:pStyle w:val="13"/>
              <w:spacing w:before="11"/>
              <w:ind w:left="153" w:right="143"/>
              <w:jc w:val="center"/>
              <w:rPr>
                <w:b/>
                <w:color w:val="auto"/>
                <w:sz w:val="21"/>
                <w:highlight w:val="none"/>
              </w:rPr>
            </w:pPr>
            <w:r>
              <w:rPr>
                <w:b/>
                <w:color w:val="auto"/>
                <w:w w:val="95"/>
                <w:sz w:val="21"/>
                <w:highlight w:val="none"/>
              </w:rPr>
              <w:t>条款</w:t>
            </w:r>
            <w:r>
              <w:rPr>
                <w:b/>
                <w:color w:val="auto"/>
                <w:spacing w:val="-10"/>
                <w:w w:val="95"/>
                <w:sz w:val="21"/>
                <w:highlight w:val="none"/>
              </w:rPr>
              <w:t>号</w:t>
            </w:r>
          </w:p>
        </w:tc>
        <w:tc>
          <w:tcPr>
            <w:tcW w:w="8190" w:type="dxa"/>
            <w:noWrap w:val="0"/>
            <w:vAlign w:val="top"/>
          </w:tcPr>
          <w:p>
            <w:pPr>
              <w:pStyle w:val="13"/>
              <w:spacing w:before="11"/>
              <w:ind w:left="3226" w:right="3215"/>
              <w:jc w:val="center"/>
              <w:rPr>
                <w:b/>
                <w:color w:val="auto"/>
                <w:sz w:val="21"/>
                <w:highlight w:val="none"/>
              </w:rPr>
            </w:pPr>
            <w:r>
              <w:rPr>
                <w:b/>
                <w:color w:val="auto"/>
                <w:w w:val="95"/>
                <w:sz w:val="21"/>
                <w:highlight w:val="none"/>
              </w:rPr>
              <w:t>补充或修改的内</w:t>
            </w:r>
            <w:r>
              <w:rPr>
                <w:b/>
                <w:color w:val="auto"/>
                <w:spacing w:val="-10"/>
                <w:w w:val="95"/>
                <w:sz w:val="21"/>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9" w:hRule="atLeast"/>
        </w:trPr>
        <w:tc>
          <w:tcPr>
            <w:tcW w:w="960" w:type="dxa"/>
            <w:noWrap w:val="0"/>
            <w:vAlign w:val="top"/>
          </w:tcPr>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spacing w:before="10"/>
              <w:rPr>
                <w:color w:val="auto"/>
                <w:sz w:val="14"/>
                <w:highlight w:val="none"/>
              </w:rPr>
            </w:pPr>
          </w:p>
          <w:p>
            <w:pPr>
              <w:pStyle w:val="13"/>
              <w:ind w:left="7"/>
              <w:jc w:val="center"/>
              <w:rPr>
                <w:color w:val="auto"/>
                <w:sz w:val="21"/>
                <w:highlight w:val="none"/>
              </w:rPr>
            </w:pPr>
            <w:r>
              <w:rPr>
                <w:color w:val="auto"/>
                <w:w w:val="99"/>
                <w:sz w:val="21"/>
                <w:highlight w:val="none"/>
              </w:rPr>
              <w:t>1</w:t>
            </w:r>
          </w:p>
        </w:tc>
        <w:tc>
          <w:tcPr>
            <w:tcW w:w="8190" w:type="dxa"/>
            <w:noWrap w:val="0"/>
            <w:vAlign w:val="top"/>
          </w:tcPr>
          <w:p>
            <w:pPr>
              <w:pStyle w:val="13"/>
              <w:spacing w:line="364" w:lineRule="auto"/>
              <w:ind w:left="227" w:right="216"/>
              <w:rPr>
                <w:color w:val="auto"/>
                <w:sz w:val="21"/>
                <w:highlight w:val="none"/>
              </w:rPr>
            </w:pPr>
            <w:r>
              <w:rPr>
                <w:color w:val="auto"/>
                <w:spacing w:val="1"/>
                <w:w w:val="99"/>
                <w:sz w:val="21"/>
                <w:highlight w:val="none"/>
              </w:rPr>
              <w:t>将评标办法原文第</w:t>
            </w:r>
            <w:r>
              <w:rPr>
                <w:color w:val="auto"/>
                <w:spacing w:val="-48"/>
                <w:sz w:val="21"/>
                <w:highlight w:val="none"/>
              </w:rPr>
              <w:t xml:space="preserve"> </w:t>
            </w:r>
            <w:r>
              <w:rPr>
                <w:color w:val="auto"/>
                <w:w w:val="99"/>
                <w:sz w:val="21"/>
                <w:highlight w:val="none"/>
              </w:rPr>
              <w:t>1</w:t>
            </w:r>
            <w:r>
              <w:rPr>
                <w:color w:val="auto"/>
                <w:spacing w:val="-52"/>
                <w:sz w:val="21"/>
                <w:highlight w:val="none"/>
              </w:rPr>
              <w:t xml:space="preserve"> </w:t>
            </w:r>
            <w:r>
              <w:rPr>
                <w:color w:val="auto"/>
                <w:spacing w:val="1"/>
                <w:w w:val="99"/>
                <w:sz w:val="21"/>
                <w:highlight w:val="none"/>
              </w:rPr>
              <w:t>条“评标方法”改为“评标方法、组织及工作程序”，原文内</w:t>
            </w:r>
            <w:r>
              <w:rPr>
                <w:color w:val="auto"/>
                <w:spacing w:val="-1"/>
                <w:w w:val="99"/>
                <w:sz w:val="21"/>
                <w:highlight w:val="none"/>
              </w:rPr>
              <w:t>容修改如下：</w:t>
            </w:r>
          </w:p>
          <w:p>
            <w:pPr>
              <w:pStyle w:val="13"/>
              <w:numPr>
                <w:ilvl w:val="0"/>
                <w:numId w:val="4"/>
              </w:numPr>
              <w:tabs>
                <w:tab w:val="left" w:pos="450"/>
              </w:tabs>
              <w:ind w:hanging="223"/>
              <w:rPr>
                <w:color w:val="auto"/>
                <w:highlight w:val="none"/>
              </w:rPr>
            </w:pPr>
            <w:r>
              <w:rPr>
                <w:color w:val="auto"/>
                <w:spacing w:val="-3"/>
                <w:highlight w:val="none"/>
              </w:rPr>
              <w:t>评标方法、组织及工作程序</w:t>
            </w:r>
          </w:p>
          <w:p>
            <w:pPr>
              <w:pStyle w:val="13"/>
              <w:numPr>
                <w:ilvl w:val="1"/>
                <w:numId w:val="4"/>
              </w:numPr>
              <w:tabs>
                <w:tab w:val="left" w:pos="595"/>
              </w:tabs>
              <w:spacing w:before="145"/>
              <w:jc w:val="both"/>
              <w:rPr>
                <w:color w:val="auto"/>
                <w:sz w:val="21"/>
                <w:highlight w:val="none"/>
              </w:rPr>
            </w:pPr>
            <w:r>
              <w:rPr>
                <w:color w:val="auto"/>
                <w:spacing w:val="-3"/>
                <w:w w:val="95"/>
                <w:sz w:val="21"/>
                <w:highlight w:val="none"/>
              </w:rPr>
              <w:t>评标方法</w:t>
            </w:r>
          </w:p>
          <w:p>
            <w:pPr>
              <w:pStyle w:val="13"/>
              <w:spacing w:before="139" w:line="364" w:lineRule="auto"/>
              <w:ind w:left="227" w:right="216" w:firstLine="420"/>
              <w:jc w:val="both"/>
              <w:rPr>
                <w:color w:val="auto"/>
                <w:sz w:val="21"/>
                <w:highlight w:val="none"/>
              </w:rPr>
            </w:pPr>
            <w:r>
              <w:rPr>
                <w:color w:val="auto"/>
                <w:spacing w:val="1"/>
                <w:w w:val="99"/>
                <w:sz w:val="21"/>
                <w:highlight w:val="none"/>
              </w:rPr>
              <w:t>本次评标采用双信封的技术评分最低标价法。评标委员会对满足招标文件实质性要求的投标文件，按照本章第</w:t>
            </w:r>
            <w:r>
              <w:rPr>
                <w:color w:val="auto"/>
                <w:spacing w:val="-50"/>
                <w:sz w:val="21"/>
                <w:highlight w:val="none"/>
              </w:rPr>
              <w:t xml:space="preserve"> </w:t>
            </w:r>
            <w:r>
              <w:rPr>
                <w:color w:val="auto"/>
                <w:spacing w:val="1"/>
                <w:w w:val="99"/>
                <w:sz w:val="21"/>
                <w:highlight w:val="none"/>
              </w:rPr>
              <w:t>2.</w:t>
            </w:r>
            <w:r>
              <w:rPr>
                <w:color w:val="auto"/>
                <w:w w:val="99"/>
                <w:sz w:val="21"/>
                <w:highlight w:val="none"/>
              </w:rPr>
              <w:t>2</w:t>
            </w:r>
            <w:r>
              <w:rPr>
                <w:color w:val="auto"/>
                <w:spacing w:val="-52"/>
                <w:sz w:val="21"/>
                <w:highlight w:val="none"/>
              </w:rPr>
              <w:t xml:space="preserve"> </w:t>
            </w:r>
            <w:r>
              <w:rPr>
                <w:color w:val="auto"/>
                <w:spacing w:val="1"/>
                <w:w w:val="99"/>
                <w:sz w:val="21"/>
                <w:highlight w:val="none"/>
              </w:rPr>
              <w:t>款规定对通过初步评审的投标人的施工组织设计、主要人员、其他因素等进行评分，按照得分由高到低排序，对排名在招标文件</w:t>
            </w:r>
            <w:r>
              <w:rPr>
                <w:color w:val="auto"/>
                <w:spacing w:val="-1"/>
                <w:w w:val="99"/>
                <w:sz w:val="21"/>
                <w:highlight w:val="none"/>
              </w:rPr>
              <w:t>规定数量</w:t>
            </w:r>
            <w:r>
              <w:rPr>
                <w:color w:val="auto"/>
                <w:w w:val="99"/>
                <w:sz w:val="21"/>
                <w:highlight w:val="none"/>
                <w:u w:val="single"/>
              </w:rPr>
              <w:t>前</w:t>
            </w:r>
            <w:r>
              <w:rPr>
                <w:color w:val="auto"/>
                <w:sz w:val="21"/>
                <w:highlight w:val="none"/>
                <w:u w:val="single"/>
              </w:rPr>
              <w:t xml:space="preserve">  </w:t>
            </w:r>
            <w:r>
              <w:rPr>
                <w:color w:val="auto"/>
                <w:w w:val="99"/>
                <w:sz w:val="21"/>
                <w:highlight w:val="none"/>
                <w:u w:val="single"/>
              </w:rPr>
              <w:t>5</w:t>
            </w:r>
            <w:r>
              <w:rPr>
                <w:color w:val="auto"/>
                <w:spacing w:val="-1"/>
                <w:sz w:val="21"/>
                <w:highlight w:val="none"/>
                <w:u w:val="single"/>
              </w:rPr>
              <w:t xml:space="preserve">  </w:t>
            </w:r>
            <w:r>
              <w:rPr>
                <w:color w:val="auto"/>
                <w:spacing w:val="-10"/>
                <w:w w:val="99"/>
                <w:sz w:val="21"/>
                <w:highlight w:val="none"/>
                <w:u w:val="single"/>
              </w:rPr>
              <w:t>名</w:t>
            </w:r>
            <w:r>
              <w:rPr>
                <w:color w:val="auto"/>
                <w:spacing w:val="-1"/>
                <w:w w:val="99"/>
                <w:sz w:val="21"/>
                <w:highlight w:val="none"/>
                <w:u w:val="single"/>
              </w:rPr>
              <w:t>（</w:t>
            </w:r>
            <w:r>
              <w:rPr>
                <w:color w:val="auto"/>
                <w:w w:val="99"/>
                <w:sz w:val="21"/>
                <w:highlight w:val="none"/>
                <w:u w:val="single"/>
              </w:rPr>
              <w:t>不少于</w:t>
            </w:r>
            <w:r>
              <w:rPr>
                <w:color w:val="auto"/>
                <w:spacing w:val="-50"/>
                <w:sz w:val="21"/>
                <w:highlight w:val="none"/>
                <w:u w:val="single"/>
              </w:rPr>
              <w:t xml:space="preserve"> </w:t>
            </w:r>
            <w:r>
              <w:rPr>
                <w:color w:val="auto"/>
                <w:w w:val="99"/>
                <w:sz w:val="21"/>
                <w:highlight w:val="none"/>
                <w:u w:val="single"/>
              </w:rPr>
              <w:t>3</w:t>
            </w:r>
            <w:r>
              <w:rPr>
                <w:color w:val="auto"/>
                <w:spacing w:val="-54"/>
                <w:sz w:val="21"/>
                <w:highlight w:val="none"/>
                <w:u w:val="single"/>
              </w:rPr>
              <w:t xml:space="preserve"> </w:t>
            </w:r>
            <w:r>
              <w:rPr>
                <w:color w:val="auto"/>
                <w:w w:val="99"/>
                <w:sz w:val="21"/>
                <w:highlight w:val="none"/>
                <w:u w:val="single"/>
              </w:rPr>
              <w:t>名但不足</w:t>
            </w:r>
            <w:r>
              <w:rPr>
                <w:color w:val="auto"/>
                <w:spacing w:val="-50"/>
                <w:sz w:val="21"/>
                <w:highlight w:val="none"/>
                <w:u w:val="single"/>
              </w:rPr>
              <w:t xml:space="preserve"> </w:t>
            </w:r>
            <w:r>
              <w:rPr>
                <w:color w:val="auto"/>
                <w:w w:val="99"/>
                <w:sz w:val="21"/>
                <w:highlight w:val="none"/>
                <w:u w:val="single"/>
              </w:rPr>
              <w:t>5</w:t>
            </w:r>
            <w:r>
              <w:rPr>
                <w:color w:val="auto"/>
                <w:spacing w:val="-54"/>
                <w:sz w:val="21"/>
                <w:highlight w:val="none"/>
                <w:u w:val="single"/>
              </w:rPr>
              <w:t xml:space="preserve"> </w:t>
            </w:r>
            <w:r>
              <w:rPr>
                <w:color w:val="auto"/>
                <w:spacing w:val="-3"/>
                <w:w w:val="99"/>
                <w:sz w:val="21"/>
                <w:highlight w:val="none"/>
                <w:u w:val="single"/>
              </w:rPr>
              <w:t>名时，按全部实际数量</w:t>
            </w:r>
            <w:r>
              <w:rPr>
                <w:color w:val="auto"/>
                <w:spacing w:val="-10"/>
                <w:w w:val="99"/>
                <w:sz w:val="21"/>
                <w:highlight w:val="none"/>
                <w:u w:val="single"/>
              </w:rPr>
              <w:t>）</w:t>
            </w:r>
            <w:r>
              <w:rPr>
                <w:color w:val="auto"/>
                <w:spacing w:val="-1"/>
                <w:w w:val="99"/>
                <w:sz w:val="21"/>
                <w:highlight w:val="none"/>
              </w:rPr>
              <w:t>的投标人的报价</w:t>
            </w:r>
            <w:r>
              <w:rPr>
                <w:color w:val="auto"/>
                <w:spacing w:val="1"/>
                <w:w w:val="99"/>
                <w:sz w:val="21"/>
                <w:highlight w:val="none"/>
              </w:rPr>
              <w:t>文件进行评审，按照评标价由低到高的顺序推荐中标候选人的评标方法。但投标报价低于其成本的除外。评标价相等时，评标委员会应按照评标办法前附表规定的优</w:t>
            </w:r>
            <w:r>
              <w:rPr>
                <w:color w:val="auto"/>
                <w:spacing w:val="-1"/>
                <w:w w:val="99"/>
                <w:sz w:val="21"/>
                <w:highlight w:val="none"/>
              </w:rPr>
              <w:t>先次序推荐中标候选人或确定中标人。</w:t>
            </w:r>
          </w:p>
          <w:p>
            <w:pPr>
              <w:pStyle w:val="13"/>
              <w:numPr>
                <w:ilvl w:val="1"/>
                <w:numId w:val="4"/>
              </w:numPr>
              <w:tabs>
                <w:tab w:val="left" w:pos="595"/>
              </w:tabs>
              <w:spacing w:line="267" w:lineRule="exact"/>
              <w:jc w:val="both"/>
              <w:rPr>
                <w:color w:val="auto"/>
                <w:sz w:val="21"/>
                <w:highlight w:val="none"/>
              </w:rPr>
            </w:pPr>
            <w:r>
              <w:rPr>
                <w:color w:val="auto"/>
                <w:spacing w:val="-3"/>
                <w:w w:val="95"/>
                <w:sz w:val="21"/>
                <w:highlight w:val="none"/>
              </w:rPr>
              <w:t>评标组织</w:t>
            </w:r>
          </w:p>
          <w:p>
            <w:pPr>
              <w:pStyle w:val="13"/>
              <w:numPr>
                <w:ilvl w:val="2"/>
                <w:numId w:val="4"/>
              </w:numPr>
              <w:tabs>
                <w:tab w:val="left" w:pos="806"/>
              </w:tabs>
              <w:spacing w:before="139"/>
              <w:jc w:val="both"/>
              <w:rPr>
                <w:color w:val="auto"/>
                <w:sz w:val="21"/>
                <w:highlight w:val="none"/>
              </w:rPr>
            </w:pPr>
            <w:r>
              <w:rPr>
                <w:color w:val="auto"/>
                <w:spacing w:val="-2"/>
                <w:w w:val="95"/>
                <w:sz w:val="21"/>
                <w:highlight w:val="none"/>
              </w:rPr>
              <w:t>协助工作组</w:t>
            </w:r>
          </w:p>
          <w:p>
            <w:pPr>
              <w:pStyle w:val="13"/>
              <w:spacing w:before="139" w:line="364" w:lineRule="auto"/>
              <w:ind w:left="227" w:right="218" w:firstLine="314"/>
              <w:jc w:val="both"/>
              <w:rPr>
                <w:color w:val="auto"/>
                <w:sz w:val="21"/>
                <w:highlight w:val="none"/>
              </w:rPr>
            </w:pPr>
            <w:r>
              <w:rPr>
                <w:color w:val="auto"/>
                <w:spacing w:val="-3"/>
                <w:w w:val="99"/>
                <w:sz w:val="21"/>
                <w:highlight w:val="none"/>
              </w:rPr>
              <w:t>招标人可在评标工作开始前成立协助工作组，选派熟悉招标工作、政治素质高的</w:t>
            </w:r>
            <w:r>
              <w:rPr>
                <w:color w:val="auto"/>
                <w:spacing w:val="1"/>
                <w:w w:val="99"/>
                <w:sz w:val="21"/>
                <w:highlight w:val="none"/>
              </w:rPr>
              <w:t>人员组成，协助评标委员会工作。协助工作组人员的具体数量由招标人视评标工作</w:t>
            </w:r>
            <w:r>
              <w:rPr>
                <w:color w:val="auto"/>
                <w:spacing w:val="-1"/>
                <w:w w:val="99"/>
                <w:sz w:val="21"/>
                <w:highlight w:val="none"/>
              </w:rPr>
              <w:t>量确定。</w:t>
            </w:r>
          </w:p>
          <w:p>
            <w:pPr>
              <w:pStyle w:val="13"/>
              <w:spacing w:line="269" w:lineRule="exact"/>
              <w:ind w:left="651"/>
              <w:rPr>
                <w:color w:val="auto"/>
                <w:sz w:val="21"/>
                <w:highlight w:val="none"/>
              </w:rPr>
            </w:pPr>
            <w:r>
              <w:rPr>
                <w:color w:val="auto"/>
                <w:spacing w:val="-1"/>
                <w:w w:val="95"/>
                <w:sz w:val="21"/>
                <w:highlight w:val="none"/>
              </w:rPr>
              <w:t>招标人可以协助评标委员会开展下列工作并提供相关信息：</w:t>
            </w:r>
          </w:p>
          <w:p>
            <w:pPr>
              <w:pStyle w:val="13"/>
              <w:numPr>
                <w:ilvl w:val="3"/>
                <w:numId w:val="4"/>
              </w:numPr>
              <w:tabs>
                <w:tab w:val="left" w:pos="1177"/>
              </w:tabs>
              <w:spacing w:before="138"/>
              <w:ind w:hanging="526"/>
              <w:rPr>
                <w:color w:val="auto"/>
                <w:sz w:val="21"/>
                <w:highlight w:val="none"/>
              </w:rPr>
            </w:pPr>
            <w:r>
              <w:rPr>
                <w:color w:val="auto"/>
                <w:spacing w:val="-1"/>
                <w:w w:val="95"/>
                <w:sz w:val="21"/>
                <w:highlight w:val="none"/>
              </w:rPr>
              <w:t>根据招标文件，编制评标使用的相应表格；</w:t>
            </w:r>
          </w:p>
          <w:p>
            <w:pPr>
              <w:pStyle w:val="13"/>
              <w:numPr>
                <w:ilvl w:val="3"/>
                <w:numId w:val="4"/>
              </w:numPr>
              <w:tabs>
                <w:tab w:val="left" w:pos="1177"/>
              </w:tabs>
              <w:spacing w:before="139"/>
              <w:ind w:hanging="526"/>
              <w:rPr>
                <w:color w:val="auto"/>
                <w:sz w:val="21"/>
                <w:highlight w:val="none"/>
              </w:rPr>
            </w:pPr>
            <w:r>
              <w:rPr>
                <w:color w:val="auto"/>
                <w:w w:val="95"/>
                <w:sz w:val="21"/>
                <w:highlight w:val="none"/>
              </w:rPr>
              <w:t>对投标报价进行算术性校核（如采用固化工程量清单，本步骤省略</w:t>
            </w:r>
            <w:r>
              <w:rPr>
                <w:color w:val="auto"/>
                <w:spacing w:val="-5"/>
                <w:w w:val="95"/>
                <w:sz w:val="21"/>
                <w:highlight w:val="none"/>
              </w:rPr>
              <w:t>）；</w:t>
            </w:r>
          </w:p>
          <w:p>
            <w:pPr>
              <w:pStyle w:val="13"/>
              <w:numPr>
                <w:ilvl w:val="3"/>
                <w:numId w:val="4"/>
              </w:numPr>
              <w:tabs>
                <w:tab w:val="left" w:pos="1177"/>
              </w:tabs>
              <w:spacing w:before="139" w:line="364" w:lineRule="auto"/>
              <w:ind w:left="227" w:right="216" w:firstLine="424"/>
              <w:rPr>
                <w:color w:val="auto"/>
                <w:sz w:val="21"/>
                <w:highlight w:val="none"/>
              </w:rPr>
            </w:pPr>
            <w:r>
              <w:rPr>
                <w:color w:val="auto"/>
                <w:spacing w:val="-3"/>
                <w:w w:val="99"/>
                <w:sz w:val="21"/>
                <w:highlight w:val="none"/>
              </w:rPr>
              <w:t>以评标标准和方法为依据，列出投标文件相对于招标文件的所有偏差，并</w:t>
            </w:r>
            <w:r>
              <w:rPr>
                <w:color w:val="auto"/>
                <w:spacing w:val="-1"/>
                <w:w w:val="99"/>
                <w:sz w:val="21"/>
                <w:highlight w:val="none"/>
              </w:rPr>
              <w:t>进行归类汇总；</w:t>
            </w:r>
          </w:p>
          <w:p>
            <w:pPr>
              <w:pStyle w:val="13"/>
              <w:numPr>
                <w:ilvl w:val="3"/>
                <w:numId w:val="4"/>
              </w:numPr>
              <w:tabs>
                <w:tab w:val="left" w:pos="1177"/>
              </w:tabs>
              <w:spacing w:before="1" w:line="364" w:lineRule="auto"/>
              <w:ind w:left="227" w:right="218" w:firstLine="424"/>
              <w:rPr>
                <w:color w:val="auto"/>
                <w:sz w:val="21"/>
                <w:highlight w:val="none"/>
              </w:rPr>
            </w:pPr>
            <w:r>
              <w:rPr>
                <w:color w:val="auto"/>
                <w:spacing w:val="-4"/>
                <w:w w:val="99"/>
                <w:sz w:val="21"/>
                <w:highlight w:val="none"/>
              </w:rPr>
              <w:t>查询公路建设市场信用信息管理系统，对投标人的资质、业绩、主要人员</w:t>
            </w:r>
            <w:r>
              <w:rPr>
                <w:color w:val="auto"/>
                <w:spacing w:val="-1"/>
                <w:w w:val="99"/>
                <w:sz w:val="21"/>
                <w:highlight w:val="none"/>
              </w:rPr>
              <w:t>资历和目前在岗情况、信用等级进行核实。</w:t>
            </w:r>
          </w:p>
          <w:p>
            <w:pPr>
              <w:pStyle w:val="13"/>
              <w:spacing w:line="364" w:lineRule="auto"/>
              <w:ind w:left="227" w:right="216" w:firstLine="424"/>
              <w:rPr>
                <w:color w:val="auto"/>
                <w:sz w:val="21"/>
                <w:highlight w:val="none"/>
              </w:rPr>
            </w:pPr>
            <w:r>
              <w:rPr>
                <w:color w:val="auto"/>
                <w:spacing w:val="1"/>
                <w:w w:val="99"/>
                <w:sz w:val="21"/>
                <w:highlight w:val="none"/>
              </w:rPr>
              <w:t>招标人不得对投标文件作出任何评价，不得故意遗漏或者片面摘录，不得在评</w:t>
            </w:r>
            <w:r>
              <w:rPr>
                <w:color w:val="auto"/>
                <w:spacing w:val="-1"/>
                <w:w w:val="99"/>
                <w:sz w:val="21"/>
                <w:highlight w:val="none"/>
              </w:rPr>
              <w:t>标委员会对所有偏差定性之前透露存有偏差的投标人名称。</w:t>
            </w:r>
          </w:p>
          <w:p>
            <w:pPr>
              <w:pStyle w:val="13"/>
              <w:numPr>
                <w:ilvl w:val="2"/>
                <w:numId w:val="4"/>
              </w:numPr>
              <w:tabs>
                <w:tab w:val="left" w:pos="806"/>
              </w:tabs>
              <w:rPr>
                <w:color w:val="auto"/>
                <w:sz w:val="21"/>
                <w:highlight w:val="none"/>
              </w:rPr>
            </w:pPr>
            <w:r>
              <w:rPr>
                <w:color w:val="auto"/>
                <w:spacing w:val="-2"/>
                <w:w w:val="95"/>
                <w:sz w:val="21"/>
                <w:highlight w:val="none"/>
              </w:rPr>
              <w:t>评标委员会</w:t>
            </w:r>
          </w:p>
          <w:p>
            <w:pPr>
              <w:pStyle w:val="13"/>
              <w:spacing w:before="137" w:line="364" w:lineRule="auto"/>
              <w:ind w:left="227" w:right="288" w:firstLine="420"/>
              <w:rPr>
                <w:color w:val="auto"/>
                <w:sz w:val="21"/>
                <w:highlight w:val="none"/>
              </w:rPr>
            </w:pPr>
            <w:r>
              <w:rPr>
                <w:color w:val="auto"/>
                <w:spacing w:val="-1"/>
                <w:w w:val="99"/>
                <w:sz w:val="21"/>
                <w:highlight w:val="none"/>
              </w:rPr>
              <w:t>评标委员会由招标人按国家、广东省等的有关规定依法组建。评标委员会的主要工作内容包括：</w:t>
            </w:r>
          </w:p>
          <w:p>
            <w:pPr>
              <w:pStyle w:val="13"/>
              <w:numPr>
                <w:ilvl w:val="0"/>
                <w:numId w:val="5"/>
              </w:numPr>
              <w:tabs>
                <w:tab w:val="left" w:pos="752"/>
              </w:tabs>
              <w:spacing w:line="367" w:lineRule="auto"/>
              <w:ind w:right="218" w:firstLine="0"/>
              <w:rPr>
                <w:color w:val="auto"/>
                <w:sz w:val="21"/>
                <w:highlight w:val="none"/>
              </w:rPr>
            </w:pPr>
            <w:r>
              <w:rPr>
                <w:color w:val="auto"/>
                <w:spacing w:val="-3"/>
                <w:w w:val="99"/>
                <w:sz w:val="21"/>
                <w:highlight w:val="none"/>
              </w:rPr>
              <w:t>评标委员会开始评标工作之前，首先听取招标人、协助工作组关于工程情况和</w:t>
            </w:r>
            <w:r>
              <w:rPr>
                <w:color w:val="auto"/>
                <w:spacing w:val="-1"/>
                <w:w w:val="99"/>
                <w:sz w:val="21"/>
                <w:highlight w:val="none"/>
              </w:rPr>
              <w:t>辅助工作的说明，并认真研读招标文件，获取评标所需的重要信息和数据；</w:t>
            </w:r>
          </w:p>
          <w:p>
            <w:pPr>
              <w:pStyle w:val="13"/>
              <w:numPr>
                <w:ilvl w:val="0"/>
                <w:numId w:val="5"/>
              </w:numPr>
              <w:tabs>
                <w:tab w:val="left" w:pos="752"/>
              </w:tabs>
              <w:spacing w:line="264" w:lineRule="exact"/>
              <w:ind w:left="751"/>
              <w:rPr>
                <w:color w:val="auto"/>
                <w:sz w:val="21"/>
                <w:highlight w:val="none"/>
              </w:rPr>
            </w:pPr>
            <w:r>
              <w:rPr>
                <w:color w:val="auto"/>
                <w:spacing w:val="-1"/>
                <w:w w:val="95"/>
                <w:sz w:val="21"/>
                <w:highlight w:val="none"/>
              </w:rPr>
              <w:t>对协助工作组提供的评标工作用表和评标内容进行核查。</w:t>
            </w:r>
          </w:p>
          <w:p>
            <w:pPr>
              <w:pStyle w:val="13"/>
              <w:numPr>
                <w:ilvl w:val="0"/>
                <w:numId w:val="5"/>
              </w:numPr>
              <w:tabs>
                <w:tab w:val="left" w:pos="752"/>
              </w:tabs>
              <w:spacing w:before="137"/>
              <w:ind w:left="751"/>
              <w:rPr>
                <w:color w:val="auto"/>
                <w:sz w:val="21"/>
                <w:highlight w:val="none"/>
              </w:rPr>
            </w:pPr>
            <w:r>
              <w:rPr>
                <w:color w:val="auto"/>
                <w:w w:val="95"/>
                <w:sz w:val="21"/>
                <w:highlight w:val="none"/>
              </w:rPr>
              <w:t>按照以下</w:t>
            </w:r>
            <w:r>
              <w:rPr>
                <w:color w:val="auto"/>
                <w:spacing w:val="26"/>
                <w:sz w:val="21"/>
                <w:highlight w:val="none"/>
              </w:rPr>
              <w:t xml:space="preserve"> </w:t>
            </w:r>
            <w:r>
              <w:rPr>
                <w:color w:val="auto"/>
                <w:w w:val="95"/>
                <w:sz w:val="21"/>
                <w:highlight w:val="none"/>
              </w:rPr>
              <w:t>1.3</w:t>
            </w:r>
            <w:r>
              <w:rPr>
                <w:color w:val="auto"/>
                <w:spacing w:val="17"/>
                <w:sz w:val="21"/>
                <w:highlight w:val="none"/>
              </w:rPr>
              <w:t xml:space="preserve"> </w:t>
            </w:r>
            <w:r>
              <w:rPr>
                <w:color w:val="auto"/>
                <w:spacing w:val="-1"/>
                <w:w w:val="95"/>
                <w:sz w:val="21"/>
                <w:highlight w:val="none"/>
              </w:rPr>
              <w:t>款程序进行各项评审工作。</w:t>
            </w:r>
          </w:p>
        </w:tc>
      </w:tr>
    </w:tbl>
    <w:p>
      <w:pPr>
        <w:rPr>
          <w:color w:val="auto"/>
          <w:sz w:val="21"/>
          <w:highlight w:val="none"/>
        </w:rPr>
        <w:sectPr>
          <w:pgSz w:w="11900" w:h="16840"/>
          <w:pgMar w:top="1320" w:right="820" w:bottom="1120" w:left="1000" w:header="708" w:footer="921" w:gutter="0"/>
          <w:cols w:space="720" w:num="1"/>
        </w:sectPr>
      </w:pPr>
    </w:p>
    <w:p>
      <w:pPr>
        <w:pStyle w:val="6"/>
        <w:spacing w:before="3"/>
        <w:rPr>
          <w:color w:val="auto"/>
          <w:sz w:val="6"/>
          <w:highlight w:val="none"/>
        </w:rPr>
      </w:pPr>
    </w:p>
    <w:tbl>
      <w:tblPr>
        <w:tblStyle w:val="14"/>
        <w:tblW w:w="0" w:type="auto"/>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1" w:hRule="atLeast"/>
        </w:trPr>
        <w:tc>
          <w:tcPr>
            <w:tcW w:w="960" w:type="dxa"/>
            <w:noWrap w:val="0"/>
            <w:vAlign w:val="top"/>
          </w:tcPr>
          <w:p>
            <w:pPr>
              <w:pStyle w:val="13"/>
              <w:rPr>
                <w:rFonts w:ascii="Times New Roman"/>
                <w:color w:val="auto"/>
                <w:sz w:val="20"/>
                <w:highlight w:val="none"/>
              </w:rPr>
            </w:pPr>
          </w:p>
        </w:tc>
        <w:tc>
          <w:tcPr>
            <w:tcW w:w="8085" w:type="dxa"/>
            <w:noWrap w:val="0"/>
            <w:vAlign w:val="top"/>
          </w:tcPr>
          <w:p>
            <w:pPr>
              <w:pStyle w:val="13"/>
              <w:spacing w:before="1"/>
              <w:ind w:left="227"/>
              <w:rPr>
                <w:color w:val="auto"/>
                <w:sz w:val="21"/>
                <w:highlight w:val="none"/>
              </w:rPr>
            </w:pPr>
            <w:r>
              <w:rPr>
                <w:color w:val="auto"/>
                <w:w w:val="95"/>
                <w:sz w:val="21"/>
                <w:highlight w:val="none"/>
              </w:rPr>
              <w:t>1.3</w:t>
            </w:r>
            <w:r>
              <w:rPr>
                <w:color w:val="auto"/>
                <w:spacing w:val="3"/>
                <w:sz w:val="21"/>
                <w:highlight w:val="none"/>
              </w:rPr>
              <w:t xml:space="preserve"> </w:t>
            </w:r>
            <w:r>
              <w:rPr>
                <w:color w:val="auto"/>
                <w:spacing w:val="-2"/>
                <w:w w:val="95"/>
                <w:sz w:val="21"/>
                <w:highlight w:val="none"/>
              </w:rPr>
              <w:t>评审工作程序</w:t>
            </w:r>
          </w:p>
          <w:p>
            <w:pPr>
              <w:pStyle w:val="13"/>
              <w:spacing w:before="139"/>
              <w:ind w:left="227"/>
              <w:rPr>
                <w:color w:val="auto"/>
                <w:sz w:val="21"/>
                <w:highlight w:val="none"/>
              </w:rPr>
            </w:pPr>
            <w:r>
              <w:rPr>
                <w:color w:val="auto"/>
                <w:w w:val="95"/>
                <w:sz w:val="21"/>
                <w:highlight w:val="none"/>
              </w:rPr>
              <w:t>（一）第一个信封（商务及技术文件</w:t>
            </w:r>
            <w:r>
              <w:rPr>
                <w:color w:val="auto"/>
                <w:spacing w:val="-5"/>
                <w:w w:val="95"/>
                <w:sz w:val="21"/>
                <w:highlight w:val="none"/>
              </w:rPr>
              <w:t>）：</w:t>
            </w:r>
          </w:p>
          <w:p>
            <w:pPr>
              <w:pStyle w:val="13"/>
              <w:spacing w:before="141" w:line="364" w:lineRule="auto"/>
              <w:ind w:left="227" w:right="110" w:firstLine="105"/>
              <w:rPr>
                <w:color w:val="auto"/>
                <w:sz w:val="21"/>
                <w:highlight w:val="none"/>
              </w:rPr>
            </w:pPr>
            <w:r>
              <w:rPr>
                <w:color w:val="auto"/>
                <w:spacing w:val="1"/>
                <w:w w:val="99"/>
                <w:sz w:val="21"/>
                <w:highlight w:val="none"/>
              </w:rPr>
              <w:t>l</w:t>
            </w:r>
            <w:r>
              <w:rPr>
                <w:color w:val="auto"/>
                <w:spacing w:val="-9"/>
                <w:w w:val="99"/>
                <w:sz w:val="21"/>
                <w:highlight w:val="none"/>
              </w:rPr>
              <w:t>、初步评审：包括形式评审与响应性评审、资格评审</w:t>
            </w:r>
            <w:r>
              <w:rPr>
                <w:color w:val="auto"/>
                <w:spacing w:val="2"/>
                <w:w w:val="99"/>
                <w:sz w:val="21"/>
                <w:highlight w:val="none"/>
              </w:rPr>
              <w:t>（</w:t>
            </w:r>
            <w:r>
              <w:rPr>
                <w:color w:val="auto"/>
                <w:spacing w:val="-1"/>
                <w:w w:val="99"/>
                <w:sz w:val="21"/>
                <w:highlight w:val="none"/>
              </w:rPr>
              <w:t>适用于</w:t>
            </w:r>
            <w:r>
              <w:rPr>
                <w:color w:val="auto"/>
                <w:spacing w:val="-3"/>
                <w:highlight w:val="none"/>
              </w:rPr>
              <w:t>未进行资格预审</w:t>
            </w:r>
            <w:r>
              <w:rPr>
                <w:color w:val="auto"/>
                <w:spacing w:val="-20"/>
                <w:w w:val="99"/>
                <w:sz w:val="21"/>
                <w:highlight w:val="none"/>
              </w:rPr>
              <w:t>）</w:t>
            </w:r>
            <w:r>
              <w:rPr>
                <w:color w:val="auto"/>
                <w:w w:val="99"/>
                <w:sz w:val="21"/>
                <w:highlight w:val="none"/>
              </w:rPr>
              <w:t xml:space="preserve">； </w:t>
            </w:r>
            <w:r>
              <w:rPr>
                <w:color w:val="auto"/>
                <w:spacing w:val="1"/>
                <w:w w:val="99"/>
                <w:sz w:val="21"/>
                <w:highlight w:val="none"/>
              </w:rPr>
              <w:t>2</w:t>
            </w:r>
            <w:r>
              <w:rPr>
                <w:color w:val="auto"/>
                <w:spacing w:val="2"/>
                <w:w w:val="99"/>
                <w:sz w:val="21"/>
                <w:highlight w:val="none"/>
              </w:rPr>
              <w:t>、详细评审（评审打分</w:t>
            </w:r>
            <w:r>
              <w:rPr>
                <w:color w:val="auto"/>
                <w:spacing w:val="4"/>
                <w:w w:val="99"/>
                <w:sz w:val="21"/>
                <w:highlight w:val="none"/>
              </w:rPr>
              <w:t>）</w:t>
            </w:r>
            <w:r>
              <w:rPr>
                <w:color w:val="auto"/>
                <w:spacing w:val="1"/>
                <w:w w:val="99"/>
                <w:sz w:val="21"/>
                <w:highlight w:val="none"/>
              </w:rPr>
              <w:t xml:space="preserve">：评标委员会首先对通过第一个信封初步评审的投标文 </w:t>
            </w:r>
            <w:r>
              <w:rPr>
                <w:color w:val="auto"/>
                <w:spacing w:val="-5"/>
                <w:w w:val="99"/>
                <w:sz w:val="21"/>
                <w:highlight w:val="none"/>
              </w:rPr>
              <w:t>件进行详细评审，对投标人的施工组织设计、主要人员、其他因素等分别评审打分，</w:t>
            </w:r>
            <w:r>
              <w:rPr>
                <w:color w:val="auto"/>
                <w:spacing w:val="2"/>
                <w:w w:val="99"/>
                <w:sz w:val="21"/>
                <w:highlight w:val="none"/>
              </w:rPr>
              <w:t>并按照综合得分由高到低排序，排名在招标文件规定数量</w:t>
            </w:r>
            <w:r>
              <w:rPr>
                <w:color w:val="auto"/>
                <w:w w:val="99"/>
                <w:sz w:val="21"/>
                <w:highlight w:val="none"/>
                <w:u w:val="single"/>
              </w:rPr>
              <w:t>前</w:t>
            </w:r>
            <w:r>
              <w:rPr>
                <w:color w:val="auto"/>
                <w:spacing w:val="-50"/>
                <w:sz w:val="21"/>
                <w:highlight w:val="none"/>
                <w:u w:val="single"/>
              </w:rPr>
              <w:t xml:space="preserve"> </w:t>
            </w:r>
            <w:r>
              <w:rPr>
                <w:color w:val="auto"/>
                <w:w w:val="99"/>
                <w:sz w:val="21"/>
                <w:highlight w:val="none"/>
                <w:u w:val="single"/>
              </w:rPr>
              <w:t>5</w:t>
            </w:r>
            <w:r>
              <w:rPr>
                <w:color w:val="auto"/>
                <w:spacing w:val="-52"/>
                <w:sz w:val="21"/>
                <w:highlight w:val="none"/>
                <w:u w:val="single"/>
              </w:rPr>
              <w:t xml:space="preserve"> </w:t>
            </w:r>
            <w:r>
              <w:rPr>
                <w:color w:val="auto"/>
                <w:spacing w:val="2"/>
                <w:w w:val="99"/>
                <w:sz w:val="21"/>
                <w:highlight w:val="none"/>
                <w:u w:val="single"/>
              </w:rPr>
              <w:t>名</w:t>
            </w:r>
            <w:r>
              <w:rPr>
                <w:color w:val="auto"/>
                <w:spacing w:val="4"/>
                <w:w w:val="99"/>
                <w:sz w:val="21"/>
                <w:highlight w:val="none"/>
                <w:u w:val="single"/>
              </w:rPr>
              <w:t>（</w:t>
            </w:r>
            <w:r>
              <w:rPr>
                <w:color w:val="auto"/>
                <w:spacing w:val="1"/>
                <w:w w:val="99"/>
                <w:sz w:val="21"/>
                <w:highlight w:val="none"/>
                <w:u w:val="single"/>
              </w:rPr>
              <w:t>不少于</w:t>
            </w:r>
            <w:r>
              <w:rPr>
                <w:color w:val="auto"/>
                <w:spacing w:val="-48"/>
                <w:sz w:val="21"/>
                <w:highlight w:val="none"/>
                <w:u w:val="single"/>
              </w:rPr>
              <w:t xml:space="preserve"> </w:t>
            </w:r>
            <w:r>
              <w:rPr>
                <w:color w:val="auto"/>
                <w:w w:val="99"/>
                <w:sz w:val="21"/>
                <w:highlight w:val="none"/>
                <w:u w:val="single"/>
              </w:rPr>
              <w:t>3</w:t>
            </w:r>
            <w:r>
              <w:rPr>
                <w:color w:val="auto"/>
                <w:spacing w:val="-52"/>
                <w:sz w:val="21"/>
                <w:highlight w:val="none"/>
                <w:u w:val="single"/>
              </w:rPr>
              <w:t xml:space="preserve"> </w:t>
            </w:r>
            <w:r>
              <w:rPr>
                <w:color w:val="auto"/>
                <w:spacing w:val="2"/>
                <w:w w:val="99"/>
                <w:sz w:val="21"/>
                <w:highlight w:val="none"/>
                <w:u w:val="single"/>
              </w:rPr>
              <w:t>名但不                                                                                                                                                 足</w:t>
            </w:r>
            <w:r>
              <w:rPr>
                <w:color w:val="auto"/>
                <w:spacing w:val="-53"/>
                <w:sz w:val="21"/>
                <w:highlight w:val="none"/>
                <w:u w:val="single"/>
              </w:rPr>
              <w:t xml:space="preserve"> </w:t>
            </w:r>
            <w:r>
              <w:rPr>
                <w:color w:val="auto"/>
                <w:w w:val="99"/>
                <w:sz w:val="21"/>
                <w:highlight w:val="none"/>
                <w:u w:val="single"/>
              </w:rPr>
              <w:t>5</w:t>
            </w:r>
            <w:r>
              <w:rPr>
                <w:color w:val="auto"/>
                <w:spacing w:val="-52"/>
                <w:sz w:val="21"/>
                <w:highlight w:val="none"/>
                <w:u w:val="single"/>
              </w:rPr>
              <w:t xml:space="preserve"> </w:t>
            </w:r>
            <w:r>
              <w:rPr>
                <w:color w:val="auto"/>
                <w:spacing w:val="-2"/>
                <w:w w:val="99"/>
                <w:sz w:val="21"/>
                <w:highlight w:val="none"/>
                <w:u w:val="single"/>
              </w:rPr>
              <w:t>名的，按全部实际数量</w:t>
            </w:r>
            <w:r>
              <w:rPr>
                <w:color w:val="auto"/>
                <w:spacing w:val="-8"/>
                <w:w w:val="99"/>
                <w:sz w:val="21"/>
                <w:highlight w:val="none"/>
                <w:u w:val="single"/>
              </w:rPr>
              <w:t>）</w:t>
            </w:r>
            <w:r>
              <w:rPr>
                <w:color w:val="auto"/>
                <w:spacing w:val="-4"/>
                <w:w w:val="99"/>
                <w:sz w:val="21"/>
                <w:highlight w:val="none"/>
              </w:rPr>
              <w:t>的投标人，其投标文件第一个信封</w:t>
            </w:r>
            <w:r>
              <w:rPr>
                <w:color w:val="auto"/>
                <w:spacing w:val="2"/>
                <w:w w:val="99"/>
                <w:sz w:val="21"/>
                <w:highlight w:val="none"/>
              </w:rPr>
              <w:t>（</w:t>
            </w:r>
            <w:r>
              <w:rPr>
                <w:color w:val="auto"/>
                <w:spacing w:val="-1"/>
                <w:w w:val="99"/>
                <w:sz w:val="21"/>
                <w:highlight w:val="none"/>
              </w:rPr>
              <w:t>商务及技术文件</w:t>
            </w:r>
            <w:r>
              <w:rPr>
                <w:color w:val="auto"/>
                <w:w w:val="99"/>
                <w:sz w:val="21"/>
                <w:highlight w:val="none"/>
              </w:rPr>
              <w:t>）</w:t>
            </w:r>
            <w:r>
              <w:rPr>
                <w:color w:val="auto"/>
                <w:spacing w:val="-1"/>
                <w:w w:val="99"/>
                <w:sz w:val="21"/>
                <w:highlight w:val="none"/>
              </w:rPr>
              <w:t>通过详细评审。</w:t>
            </w:r>
          </w:p>
          <w:p>
            <w:pPr>
              <w:pStyle w:val="13"/>
              <w:spacing w:line="364" w:lineRule="auto"/>
              <w:ind w:left="332" w:right="4783" w:hanging="106"/>
              <w:rPr>
                <w:color w:val="auto"/>
                <w:spacing w:val="40"/>
                <w:sz w:val="21"/>
                <w:highlight w:val="none"/>
              </w:rPr>
            </w:pPr>
            <w:r>
              <w:rPr>
                <w:color w:val="auto"/>
                <w:spacing w:val="-2"/>
                <w:w w:val="95"/>
                <w:sz w:val="21"/>
                <w:highlight w:val="none"/>
              </w:rPr>
              <w:t>（二）第二个信封（报价文件）：</w:t>
            </w:r>
            <w:r>
              <w:rPr>
                <w:color w:val="auto"/>
                <w:spacing w:val="40"/>
                <w:sz w:val="21"/>
                <w:highlight w:val="none"/>
              </w:rPr>
              <w:t xml:space="preserve"> </w:t>
            </w:r>
          </w:p>
          <w:p>
            <w:pPr>
              <w:pStyle w:val="13"/>
              <w:spacing w:line="364" w:lineRule="auto"/>
              <w:ind w:left="332" w:right="4783" w:hanging="106"/>
              <w:rPr>
                <w:color w:val="auto"/>
                <w:sz w:val="21"/>
                <w:highlight w:val="none"/>
              </w:rPr>
            </w:pPr>
            <w:r>
              <w:rPr>
                <w:color w:val="auto"/>
                <w:spacing w:val="-2"/>
                <w:sz w:val="21"/>
                <w:highlight w:val="none"/>
              </w:rPr>
              <w:t>1、初步评审：</w:t>
            </w:r>
          </w:p>
          <w:p>
            <w:pPr>
              <w:pStyle w:val="13"/>
              <w:spacing w:line="362" w:lineRule="auto"/>
              <w:ind w:left="227" w:right="218"/>
              <w:rPr>
                <w:color w:val="auto"/>
                <w:sz w:val="21"/>
                <w:highlight w:val="none"/>
              </w:rPr>
            </w:pPr>
            <w:r>
              <w:rPr>
                <w:color w:val="auto"/>
                <w:spacing w:val="-1"/>
                <w:highlight w:val="none"/>
              </w:rPr>
              <w:t>（1</w:t>
            </w:r>
            <w:r>
              <w:rPr>
                <w:color w:val="auto"/>
                <w:spacing w:val="-63"/>
                <w:highlight w:val="none"/>
              </w:rPr>
              <w:t>）</w:t>
            </w:r>
            <w:r>
              <w:rPr>
                <w:color w:val="auto"/>
                <w:spacing w:val="-1"/>
                <w:w w:val="99"/>
                <w:sz w:val="21"/>
                <w:highlight w:val="none"/>
              </w:rPr>
              <w:t>只有对投标文件第一个信封通过详细评审的投标人的报价文件才能继续参加第二个信封报价文件的形式评审与响应性评审。</w:t>
            </w:r>
          </w:p>
          <w:p>
            <w:pPr>
              <w:pStyle w:val="13"/>
              <w:spacing w:line="364" w:lineRule="auto"/>
              <w:ind w:left="332" w:right="1758"/>
              <w:rPr>
                <w:color w:val="auto"/>
                <w:spacing w:val="80"/>
                <w:sz w:val="21"/>
                <w:highlight w:val="none"/>
              </w:rPr>
            </w:pPr>
            <w:r>
              <w:rPr>
                <w:color w:val="auto"/>
                <w:spacing w:val="-2"/>
                <w:w w:val="95"/>
                <w:sz w:val="21"/>
                <w:highlight w:val="none"/>
              </w:rPr>
              <w:t>（2）报价算术性修正（如采用固化工程量清单，本步骤省略）；</w:t>
            </w:r>
            <w:r>
              <w:rPr>
                <w:color w:val="auto"/>
                <w:spacing w:val="80"/>
                <w:sz w:val="21"/>
                <w:highlight w:val="none"/>
              </w:rPr>
              <w:t xml:space="preserve">  </w:t>
            </w:r>
          </w:p>
          <w:p>
            <w:pPr>
              <w:pStyle w:val="13"/>
              <w:spacing w:line="364" w:lineRule="auto"/>
              <w:ind w:left="332" w:right="1758"/>
              <w:rPr>
                <w:color w:val="auto"/>
                <w:sz w:val="21"/>
                <w:highlight w:val="none"/>
              </w:rPr>
            </w:pPr>
            <w:r>
              <w:rPr>
                <w:color w:val="auto"/>
                <w:spacing w:val="-2"/>
                <w:sz w:val="21"/>
                <w:highlight w:val="none"/>
              </w:rPr>
              <w:t>2、详细评审：计算评标价。</w:t>
            </w:r>
          </w:p>
          <w:p>
            <w:pPr>
              <w:pStyle w:val="13"/>
              <w:spacing w:line="267" w:lineRule="exact"/>
              <w:ind w:left="227"/>
              <w:rPr>
                <w:color w:val="auto"/>
                <w:sz w:val="21"/>
                <w:highlight w:val="none"/>
              </w:rPr>
            </w:pPr>
            <w:r>
              <w:rPr>
                <w:color w:val="auto"/>
                <w:w w:val="95"/>
                <w:sz w:val="21"/>
                <w:highlight w:val="none"/>
              </w:rPr>
              <w:t>（三）</w:t>
            </w:r>
            <w:r>
              <w:rPr>
                <w:color w:val="auto"/>
                <w:spacing w:val="-1"/>
                <w:w w:val="95"/>
                <w:sz w:val="21"/>
                <w:highlight w:val="none"/>
              </w:rPr>
              <w:t>投标文件相关信息的核查。</w:t>
            </w:r>
          </w:p>
          <w:p>
            <w:pPr>
              <w:pStyle w:val="13"/>
              <w:spacing w:before="139"/>
              <w:ind w:left="227"/>
              <w:rPr>
                <w:color w:val="auto"/>
                <w:sz w:val="21"/>
                <w:highlight w:val="none"/>
              </w:rPr>
            </w:pPr>
            <w:r>
              <w:rPr>
                <w:color w:val="auto"/>
                <w:w w:val="95"/>
                <w:sz w:val="21"/>
                <w:highlight w:val="none"/>
              </w:rPr>
              <w:t>（四）投标文件的澄清和说明</w:t>
            </w:r>
            <w:r>
              <w:rPr>
                <w:color w:val="auto"/>
                <w:spacing w:val="-3"/>
                <w:w w:val="95"/>
                <w:sz w:val="21"/>
                <w:highlight w:val="none"/>
              </w:rPr>
              <w:t>(如有)</w:t>
            </w:r>
          </w:p>
          <w:p>
            <w:pPr>
              <w:pStyle w:val="13"/>
              <w:spacing w:before="10" w:line="400" w:lineRule="atLeast"/>
              <w:ind w:left="227" w:right="218"/>
              <w:rPr>
                <w:color w:val="auto"/>
                <w:sz w:val="21"/>
                <w:highlight w:val="none"/>
              </w:rPr>
            </w:pPr>
            <w:r>
              <w:rPr>
                <w:color w:val="auto"/>
                <w:spacing w:val="2"/>
                <w:w w:val="99"/>
                <w:sz w:val="21"/>
                <w:highlight w:val="none"/>
              </w:rPr>
              <w:t>（</w:t>
            </w:r>
            <w:r>
              <w:rPr>
                <w:color w:val="auto"/>
                <w:spacing w:val="4"/>
                <w:w w:val="99"/>
                <w:sz w:val="21"/>
                <w:highlight w:val="none"/>
              </w:rPr>
              <w:t>五</w:t>
            </w:r>
            <w:r>
              <w:rPr>
                <w:color w:val="auto"/>
                <w:spacing w:val="2"/>
                <w:w w:val="99"/>
                <w:sz w:val="21"/>
                <w:highlight w:val="none"/>
              </w:rPr>
              <w:t>）</w:t>
            </w:r>
            <w:r>
              <w:rPr>
                <w:color w:val="auto"/>
                <w:spacing w:val="1"/>
                <w:w w:val="99"/>
                <w:sz w:val="21"/>
                <w:highlight w:val="none"/>
              </w:rPr>
              <w:t>按评标办法规定按照第二个信封的评标价由低到高的顺序推荐中标候选人，</w:t>
            </w:r>
            <w:r>
              <w:rPr>
                <w:color w:val="auto"/>
                <w:spacing w:val="-1"/>
                <w:w w:val="99"/>
                <w:sz w:val="21"/>
                <w:highlight w:val="none"/>
              </w:rPr>
              <w:t>编写评标报告。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60" w:type="dxa"/>
            <w:noWrap w:val="0"/>
            <w:vAlign w:val="top"/>
          </w:tcPr>
          <w:p>
            <w:pPr>
              <w:pStyle w:val="13"/>
              <w:spacing w:before="12"/>
              <w:rPr>
                <w:color w:val="auto"/>
                <w:sz w:val="15"/>
                <w:highlight w:val="none"/>
              </w:rPr>
            </w:pPr>
          </w:p>
          <w:p>
            <w:pPr>
              <w:pStyle w:val="13"/>
              <w:ind w:left="217"/>
              <w:rPr>
                <w:color w:val="auto"/>
                <w:sz w:val="21"/>
                <w:highlight w:val="none"/>
              </w:rPr>
            </w:pPr>
            <w:r>
              <w:rPr>
                <w:color w:val="auto"/>
                <w:spacing w:val="-2"/>
                <w:sz w:val="21"/>
                <w:highlight w:val="none"/>
              </w:rPr>
              <w:t>3.2.2</w:t>
            </w:r>
          </w:p>
        </w:tc>
        <w:tc>
          <w:tcPr>
            <w:tcW w:w="8085" w:type="dxa"/>
            <w:noWrap w:val="0"/>
            <w:vAlign w:val="top"/>
          </w:tcPr>
          <w:p>
            <w:pPr>
              <w:pStyle w:val="13"/>
              <w:ind w:left="227"/>
              <w:rPr>
                <w:color w:val="auto"/>
                <w:sz w:val="21"/>
                <w:highlight w:val="none"/>
              </w:rPr>
            </w:pPr>
            <w:r>
              <w:rPr>
                <w:color w:val="auto"/>
                <w:w w:val="95"/>
                <w:sz w:val="21"/>
                <w:highlight w:val="none"/>
              </w:rPr>
              <w:t>将评标办法原文第</w:t>
            </w:r>
            <w:r>
              <w:rPr>
                <w:color w:val="auto"/>
                <w:spacing w:val="18"/>
                <w:sz w:val="21"/>
                <w:highlight w:val="none"/>
              </w:rPr>
              <w:t xml:space="preserve"> </w:t>
            </w:r>
            <w:r>
              <w:rPr>
                <w:color w:val="auto"/>
                <w:w w:val="95"/>
                <w:sz w:val="21"/>
                <w:highlight w:val="none"/>
              </w:rPr>
              <w:t>3.2.2</w:t>
            </w:r>
            <w:r>
              <w:rPr>
                <w:color w:val="auto"/>
                <w:spacing w:val="14"/>
                <w:sz w:val="21"/>
                <w:highlight w:val="none"/>
              </w:rPr>
              <w:t xml:space="preserve"> </w:t>
            </w:r>
            <w:r>
              <w:rPr>
                <w:color w:val="auto"/>
                <w:w w:val="95"/>
                <w:sz w:val="21"/>
                <w:highlight w:val="none"/>
              </w:rPr>
              <w:t>项修改如</w:t>
            </w:r>
            <w:r>
              <w:rPr>
                <w:color w:val="auto"/>
                <w:spacing w:val="-5"/>
                <w:w w:val="95"/>
                <w:sz w:val="21"/>
                <w:highlight w:val="none"/>
              </w:rPr>
              <w:t>下：</w:t>
            </w:r>
          </w:p>
          <w:p>
            <w:pPr>
              <w:pStyle w:val="13"/>
              <w:spacing w:before="139"/>
              <w:ind w:left="227"/>
              <w:rPr>
                <w:color w:val="auto"/>
                <w:sz w:val="21"/>
                <w:highlight w:val="none"/>
              </w:rPr>
            </w:pPr>
            <w:r>
              <w:rPr>
                <w:color w:val="auto"/>
                <w:w w:val="95"/>
                <w:sz w:val="21"/>
                <w:highlight w:val="none"/>
              </w:rPr>
              <w:t>投标人的商务和技术得分分值计算保留小数点后三位</w:t>
            </w:r>
            <w:r>
              <w:rPr>
                <w:color w:val="auto"/>
                <w:spacing w:val="-18"/>
                <w:w w:val="95"/>
                <w:sz w:val="21"/>
                <w:highlight w:val="none"/>
              </w:rPr>
              <w:t>，小数点后第四位“</w:t>
            </w:r>
            <w:r>
              <w:rPr>
                <w:color w:val="auto"/>
                <w:w w:val="95"/>
                <w:sz w:val="21"/>
                <w:highlight w:val="none"/>
              </w:rPr>
              <w:t>四</w:t>
            </w:r>
            <w:r>
              <w:rPr>
                <w:color w:val="auto"/>
                <w:spacing w:val="-23"/>
                <w:w w:val="95"/>
                <w:sz w:val="21"/>
                <w:highlight w:val="none"/>
              </w:rPr>
              <w:t>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9" w:hRule="atLeast"/>
        </w:trPr>
        <w:tc>
          <w:tcPr>
            <w:tcW w:w="960" w:type="dxa"/>
            <w:noWrap w:val="0"/>
            <w:vAlign w:val="top"/>
          </w:tcPr>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spacing w:before="2"/>
              <w:rPr>
                <w:color w:val="auto"/>
                <w:highlight w:val="none"/>
              </w:rPr>
            </w:pPr>
          </w:p>
          <w:p>
            <w:pPr>
              <w:pStyle w:val="13"/>
              <w:ind w:left="167"/>
              <w:rPr>
                <w:color w:val="auto"/>
                <w:sz w:val="10"/>
                <w:highlight w:val="none"/>
              </w:rPr>
            </w:pPr>
            <w:r>
              <w:rPr>
                <w:color w:val="auto"/>
                <w:spacing w:val="-2"/>
                <w:sz w:val="21"/>
                <w:highlight w:val="none"/>
              </w:rPr>
              <w:t>3.2.3</w:t>
            </w:r>
          </w:p>
        </w:tc>
        <w:tc>
          <w:tcPr>
            <w:tcW w:w="8085" w:type="dxa"/>
            <w:noWrap w:val="0"/>
            <w:vAlign w:val="top"/>
          </w:tcPr>
          <w:p>
            <w:pPr>
              <w:pStyle w:val="13"/>
              <w:spacing w:before="1" w:line="364" w:lineRule="auto"/>
              <w:ind w:left="647" w:right="3847" w:hanging="420"/>
              <w:rPr>
                <w:color w:val="auto"/>
                <w:sz w:val="21"/>
                <w:highlight w:val="none"/>
              </w:rPr>
            </w:pPr>
            <w:r>
              <w:rPr>
                <w:color w:val="auto"/>
                <w:spacing w:val="-1"/>
                <w:w w:val="95"/>
                <w:sz w:val="21"/>
                <w:highlight w:val="none"/>
              </w:rPr>
              <w:t xml:space="preserve">将评标办法范本原文第 </w:t>
            </w:r>
            <w:r>
              <w:rPr>
                <w:color w:val="auto"/>
                <w:w w:val="95"/>
                <w:sz w:val="21"/>
                <w:highlight w:val="none"/>
              </w:rPr>
              <w:t>3.2.3</w:t>
            </w:r>
            <w:r>
              <w:rPr>
                <w:color w:val="auto"/>
                <w:spacing w:val="-14"/>
                <w:w w:val="95"/>
                <w:sz w:val="21"/>
                <w:highlight w:val="none"/>
              </w:rPr>
              <w:t xml:space="preserve"> </w:t>
            </w:r>
            <w:r>
              <w:rPr>
                <w:color w:val="auto"/>
                <w:w w:val="95"/>
                <w:highlight w:val="none"/>
              </w:rPr>
              <w:t>项</w:t>
            </w:r>
            <w:r>
              <w:rPr>
                <w:color w:val="auto"/>
                <w:w w:val="95"/>
                <w:sz w:val="21"/>
                <w:highlight w:val="none"/>
              </w:rPr>
              <w:t>细化如下：</w:t>
            </w:r>
            <w:r>
              <w:rPr>
                <w:color w:val="auto"/>
                <w:spacing w:val="-2"/>
                <w:sz w:val="21"/>
                <w:highlight w:val="none"/>
              </w:rPr>
              <w:t>投标人的商务和技术得分=A+B+C。</w:t>
            </w:r>
          </w:p>
          <w:p>
            <w:pPr>
              <w:pStyle w:val="13"/>
              <w:spacing w:line="364" w:lineRule="auto"/>
              <w:ind w:left="227" w:right="218" w:firstLine="420"/>
              <w:rPr>
                <w:color w:val="auto"/>
                <w:sz w:val="21"/>
                <w:highlight w:val="none"/>
              </w:rPr>
            </w:pPr>
            <w:r>
              <w:rPr>
                <w:color w:val="auto"/>
                <w:spacing w:val="-1"/>
                <w:w w:val="99"/>
                <w:sz w:val="21"/>
                <w:highlight w:val="none"/>
              </w:rPr>
              <w:t>除履约信誉、技术能力得分外，投标文件各评分因素细分项得分均不应低于其权重分的</w:t>
            </w:r>
            <w:r>
              <w:rPr>
                <w:color w:val="auto"/>
                <w:spacing w:val="1"/>
                <w:w w:val="99"/>
                <w:sz w:val="21"/>
                <w:highlight w:val="none"/>
              </w:rPr>
              <w:t>60</w:t>
            </w:r>
            <w:r>
              <w:rPr>
                <w:color w:val="auto"/>
                <w:spacing w:val="-1"/>
                <w:w w:val="99"/>
                <w:sz w:val="21"/>
                <w:highlight w:val="none"/>
              </w:rPr>
              <w:t>%，评分低于权重分值</w:t>
            </w:r>
            <w:r>
              <w:rPr>
                <w:color w:val="auto"/>
                <w:spacing w:val="1"/>
                <w:w w:val="99"/>
                <w:sz w:val="21"/>
                <w:highlight w:val="none"/>
              </w:rPr>
              <w:t>60</w:t>
            </w:r>
            <w:r>
              <w:rPr>
                <w:color w:val="auto"/>
                <w:spacing w:val="-1"/>
                <w:w w:val="99"/>
                <w:sz w:val="21"/>
                <w:highlight w:val="none"/>
              </w:rPr>
              <w:t>%的，评标委员会成员应当在评标报告中作出说</w:t>
            </w:r>
            <w:r>
              <w:rPr>
                <w:color w:val="auto"/>
                <w:spacing w:val="-4"/>
                <w:w w:val="99"/>
                <w:sz w:val="21"/>
                <w:highlight w:val="none"/>
              </w:rPr>
              <w:t>明。计算投标人技术得分时:首先在评委技术评分中，采用取消同一评委对同一标段</w:t>
            </w:r>
            <w:r>
              <w:rPr>
                <w:color w:val="auto"/>
                <w:spacing w:val="-1"/>
                <w:w w:val="99"/>
                <w:sz w:val="21"/>
                <w:highlight w:val="none"/>
              </w:rPr>
              <w:t>各投标人评分总分的差值最大的</w:t>
            </w:r>
            <w:r>
              <w:rPr>
                <w:color w:val="auto"/>
                <w:spacing w:val="1"/>
                <w:w w:val="99"/>
                <w:sz w:val="21"/>
                <w:highlight w:val="none"/>
              </w:rPr>
              <w:t>1</w:t>
            </w:r>
            <w:r>
              <w:rPr>
                <w:color w:val="auto"/>
                <w:spacing w:val="-1"/>
                <w:w w:val="99"/>
                <w:sz w:val="21"/>
                <w:highlight w:val="none"/>
              </w:rPr>
              <w:t>名评委评分分值</w:t>
            </w:r>
            <w:r>
              <w:rPr>
                <w:color w:val="auto"/>
                <w:spacing w:val="2"/>
                <w:w w:val="99"/>
                <w:sz w:val="21"/>
                <w:highlight w:val="none"/>
              </w:rPr>
              <w:t>（</w:t>
            </w:r>
            <w:r>
              <w:rPr>
                <w:color w:val="auto"/>
                <w:w w:val="99"/>
                <w:sz w:val="21"/>
                <w:highlight w:val="none"/>
              </w:rPr>
              <w:t>若有</w:t>
            </w:r>
            <w:r>
              <w:rPr>
                <w:color w:val="auto"/>
                <w:spacing w:val="1"/>
                <w:w w:val="99"/>
                <w:sz w:val="21"/>
                <w:highlight w:val="none"/>
              </w:rPr>
              <w:t>2</w:t>
            </w:r>
            <w:r>
              <w:rPr>
                <w:color w:val="auto"/>
                <w:spacing w:val="-1"/>
                <w:w w:val="99"/>
                <w:sz w:val="21"/>
                <w:highlight w:val="none"/>
              </w:rPr>
              <w:t>名或以上评委技术评分总</w:t>
            </w:r>
            <w:r>
              <w:rPr>
                <w:color w:val="auto"/>
                <w:spacing w:val="-2"/>
                <w:w w:val="99"/>
                <w:sz w:val="21"/>
                <w:highlight w:val="none"/>
              </w:rPr>
              <w:t>分差值最大值相等时，则取消其中</w:t>
            </w:r>
            <w:r>
              <w:rPr>
                <w:color w:val="auto"/>
                <w:spacing w:val="1"/>
                <w:w w:val="99"/>
                <w:sz w:val="21"/>
                <w:highlight w:val="none"/>
              </w:rPr>
              <w:t>1</w:t>
            </w:r>
            <w:r>
              <w:rPr>
                <w:color w:val="auto"/>
                <w:spacing w:val="-2"/>
                <w:w w:val="99"/>
                <w:sz w:val="21"/>
                <w:highlight w:val="none"/>
              </w:rPr>
              <w:t>名评委的所有评分，具体办法如下</w:t>
            </w:r>
            <w:r>
              <w:rPr>
                <w:color w:val="auto"/>
                <w:spacing w:val="-8"/>
                <w:w w:val="99"/>
                <w:sz w:val="21"/>
                <w:highlight w:val="none"/>
              </w:rPr>
              <w:t>），</w:t>
            </w:r>
            <w:r>
              <w:rPr>
                <w:color w:val="auto"/>
                <w:spacing w:val="-1"/>
                <w:w w:val="99"/>
                <w:sz w:val="21"/>
                <w:highlight w:val="none"/>
              </w:rPr>
              <w:t>再对各评分因素细分项中取消一个最高、一个最低分后计算其算术平均值的和为投标人的最终技术得分，平均值计算保留小数点后三位，小数点后第四位“四舍五入”。</w:t>
            </w:r>
          </w:p>
          <w:p>
            <w:pPr>
              <w:pStyle w:val="13"/>
              <w:spacing w:line="267" w:lineRule="exact"/>
              <w:ind w:left="227" w:firstLine="420"/>
              <w:rPr>
                <w:color w:val="auto"/>
                <w:sz w:val="21"/>
                <w:highlight w:val="none"/>
              </w:rPr>
            </w:pPr>
            <w:r>
              <w:rPr>
                <w:color w:val="auto"/>
                <w:w w:val="95"/>
                <w:sz w:val="21"/>
                <w:highlight w:val="none"/>
              </w:rPr>
              <w:t>取消其中1名评委所有评分的办法一（依次按照以下流程）：（1）</w:t>
            </w:r>
            <w:r>
              <w:rPr>
                <w:color w:val="auto"/>
                <w:spacing w:val="-2"/>
                <w:w w:val="95"/>
                <w:sz w:val="21"/>
                <w:highlight w:val="none"/>
              </w:rPr>
              <w:t>对比上述出</w:t>
            </w:r>
          </w:p>
          <w:p>
            <w:pPr>
              <w:pStyle w:val="13"/>
              <w:spacing w:before="6" w:line="400" w:lineRule="atLeast"/>
              <w:ind w:left="227" w:right="288"/>
              <w:rPr>
                <w:color w:val="auto"/>
                <w:sz w:val="21"/>
                <w:highlight w:val="none"/>
              </w:rPr>
            </w:pPr>
            <w:r>
              <w:rPr>
                <w:color w:val="auto"/>
                <w:spacing w:val="-1"/>
                <w:w w:val="99"/>
                <w:sz w:val="21"/>
                <w:highlight w:val="none"/>
              </w:rPr>
              <w:t>现技术评分总分差值最大值相等的评委的次大差值（次大差值</w:t>
            </w:r>
            <w:r>
              <w:rPr>
                <w:color w:val="auto"/>
                <w:spacing w:val="2"/>
                <w:w w:val="99"/>
                <w:sz w:val="21"/>
                <w:highlight w:val="none"/>
              </w:rPr>
              <w:t>＝</w:t>
            </w:r>
            <w:r>
              <w:rPr>
                <w:color w:val="auto"/>
                <w:spacing w:val="-1"/>
                <w:w w:val="99"/>
                <w:sz w:val="21"/>
                <w:highlight w:val="none"/>
              </w:rPr>
              <w:t>某一评委技术评分总分的最高分－该评委技术评分总分的次低分），取消次分差值最大的评委所有评</w:t>
            </w:r>
          </w:p>
        </w:tc>
      </w:tr>
    </w:tbl>
    <w:p>
      <w:pPr>
        <w:pStyle w:val="6"/>
        <w:spacing w:before="9"/>
        <w:rPr>
          <w:color w:val="auto"/>
          <w:sz w:val="22"/>
          <w:highlight w:val="none"/>
        </w:rPr>
      </w:pPr>
    </w:p>
    <w:p>
      <w:pPr>
        <w:spacing w:line="242" w:lineRule="auto"/>
        <w:rPr>
          <w:color w:val="auto"/>
          <w:sz w:val="18"/>
          <w:highlight w:val="none"/>
        </w:rPr>
        <w:sectPr>
          <w:pgSz w:w="11900" w:h="16840"/>
          <w:pgMar w:top="1320" w:right="820" w:bottom="1120" w:left="1000" w:header="708" w:footer="921" w:gutter="0"/>
          <w:cols w:space="720" w:num="1"/>
        </w:sectPr>
      </w:pPr>
    </w:p>
    <w:p>
      <w:pPr>
        <w:pStyle w:val="6"/>
        <w:spacing w:before="3"/>
        <w:rPr>
          <w:color w:val="auto"/>
          <w:sz w:val="6"/>
          <w:highlight w:val="none"/>
        </w:rPr>
      </w:pPr>
    </w:p>
    <w:tbl>
      <w:tblPr>
        <w:tblStyle w:val="14"/>
        <w:tblW w:w="0" w:type="auto"/>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960" w:type="dxa"/>
            <w:noWrap w:val="0"/>
            <w:vAlign w:val="top"/>
          </w:tcPr>
          <w:p>
            <w:pPr>
              <w:pStyle w:val="13"/>
              <w:rPr>
                <w:rFonts w:ascii="Times New Roman"/>
                <w:color w:val="auto"/>
                <w:sz w:val="20"/>
                <w:highlight w:val="none"/>
              </w:rPr>
            </w:pPr>
          </w:p>
        </w:tc>
        <w:tc>
          <w:tcPr>
            <w:tcW w:w="8085" w:type="dxa"/>
            <w:noWrap w:val="0"/>
            <w:vAlign w:val="top"/>
          </w:tcPr>
          <w:p>
            <w:pPr>
              <w:pStyle w:val="13"/>
              <w:spacing w:before="1"/>
              <w:ind w:left="227"/>
              <w:rPr>
                <w:color w:val="auto"/>
                <w:sz w:val="21"/>
                <w:highlight w:val="none"/>
              </w:rPr>
            </w:pPr>
            <w:r>
              <w:rPr>
                <w:color w:val="auto"/>
                <w:w w:val="95"/>
                <w:sz w:val="21"/>
                <w:highlight w:val="none"/>
              </w:rPr>
              <w:t>分；（2）如次分差值仍相同，则按随机抽取的方式选定取消1</w:t>
            </w:r>
            <w:r>
              <w:rPr>
                <w:color w:val="auto"/>
                <w:spacing w:val="-2"/>
                <w:w w:val="95"/>
                <w:sz w:val="21"/>
                <w:highlight w:val="none"/>
              </w:rPr>
              <w:t>名评委评分。</w:t>
            </w:r>
          </w:p>
          <w:p>
            <w:pPr>
              <w:pStyle w:val="13"/>
              <w:spacing w:before="139" w:line="364" w:lineRule="auto"/>
              <w:ind w:left="227" w:right="110" w:firstLine="420"/>
              <w:jc w:val="right"/>
              <w:rPr>
                <w:color w:val="auto"/>
                <w:sz w:val="21"/>
                <w:highlight w:val="none"/>
              </w:rPr>
            </w:pPr>
            <w:r>
              <w:rPr>
                <w:color w:val="auto"/>
                <w:spacing w:val="-2"/>
                <w:w w:val="95"/>
                <w:sz w:val="21"/>
                <w:highlight w:val="none"/>
              </w:rPr>
              <w:t xml:space="preserve">示例:同一评委对 </w:t>
            </w:r>
            <w:r>
              <w:rPr>
                <w:color w:val="auto"/>
                <w:w w:val="95"/>
                <w:sz w:val="21"/>
                <w:highlight w:val="none"/>
              </w:rPr>
              <w:t>5</w:t>
            </w:r>
            <w:r>
              <w:rPr>
                <w:color w:val="auto"/>
                <w:spacing w:val="-4"/>
                <w:w w:val="95"/>
                <w:sz w:val="21"/>
                <w:highlight w:val="none"/>
              </w:rPr>
              <w:t xml:space="preserve"> 名投标人技术评分总分分</w:t>
            </w:r>
            <w:r>
              <w:rPr>
                <w:color w:val="auto"/>
                <w:w w:val="95"/>
                <w:sz w:val="21"/>
                <w:highlight w:val="none"/>
              </w:rPr>
              <w:t>别为:6.65（最高分)、5.88、5.11、 4.90（次低分</w:t>
            </w:r>
            <w:r>
              <w:rPr>
                <w:color w:val="auto"/>
                <w:spacing w:val="-77"/>
                <w:w w:val="95"/>
                <w:sz w:val="21"/>
                <w:highlight w:val="none"/>
              </w:rPr>
              <w:t>）</w:t>
            </w:r>
            <w:r>
              <w:rPr>
                <w:color w:val="auto"/>
                <w:spacing w:val="-80"/>
                <w:w w:val="95"/>
                <w:sz w:val="21"/>
                <w:highlight w:val="none"/>
              </w:rPr>
              <w:t>、</w:t>
            </w:r>
            <w:r>
              <w:rPr>
                <w:color w:val="auto"/>
                <w:w w:val="95"/>
                <w:sz w:val="21"/>
                <w:highlight w:val="none"/>
              </w:rPr>
              <w:t>4.55（最低分</w:t>
            </w:r>
            <w:r>
              <w:rPr>
                <w:color w:val="auto"/>
                <w:spacing w:val="-79"/>
                <w:w w:val="95"/>
                <w:sz w:val="21"/>
                <w:highlight w:val="none"/>
              </w:rPr>
              <w:t>）</w:t>
            </w:r>
            <w:r>
              <w:rPr>
                <w:color w:val="auto"/>
                <w:spacing w:val="-13"/>
                <w:w w:val="95"/>
                <w:sz w:val="21"/>
                <w:highlight w:val="none"/>
              </w:rPr>
              <w:t xml:space="preserve">，则其最大差值为 </w:t>
            </w:r>
            <w:r>
              <w:rPr>
                <w:color w:val="auto"/>
                <w:w w:val="95"/>
                <w:sz w:val="21"/>
                <w:highlight w:val="none"/>
              </w:rPr>
              <w:t>2.1</w:t>
            </w:r>
            <w:r>
              <w:rPr>
                <w:color w:val="auto"/>
                <w:spacing w:val="-15"/>
                <w:w w:val="95"/>
                <w:sz w:val="21"/>
                <w:highlight w:val="none"/>
              </w:rPr>
              <w:t xml:space="preserve">、次大差值为 </w:t>
            </w:r>
            <w:r>
              <w:rPr>
                <w:color w:val="auto"/>
                <w:w w:val="95"/>
                <w:sz w:val="21"/>
                <w:highlight w:val="none"/>
              </w:rPr>
              <w:t>6.65-</w:t>
            </w:r>
            <w:r>
              <w:rPr>
                <w:color w:val="auto"/>
                <w:spacing w:val="11"/>
                <w:w w:val="95"/>
                <w:sz w:val="21"/>
                <w:highlight w:val="none"/>
              </w:rPr>
              <w:t>4</w:t>
            </w:r>
            <w:r>
              <w:rPr>
                <w:color w:val="auto"/>
                <w:spacing w:val="8"/>
                <w:w w:val="95"/>
                <w:sz w:val="21"/>
                <w:highlight w:val="none"/>
              </w:rPr>
              <w:t>.</w:t>
            </w:r>
            <w:r>
              <w:rPr>
                <w:color w:val="auto"/>
                <w:spacing w:val="11"/>
                <w:w w:val="95"/>
                <w:sz w:val="21"/>
                <w:highlight w:val="none"/>
              </w:rPr>
              <w:t>90=</w:t>
            </w:r>
            <w:r>
              <w:rPr>
                <w:color w:val="auto"/>
                <w:spacing w:val="8"/>
                <w:w w:val="95"/>
                <w:sz w:val="21"/>
                <w:highlight w:val="none"/>
              </w:rPr>
              <w:t>1</w:t>
            </w:r>
            <w:r>
              <w:rPr>
                <w:color w:val="auto"/>
                <w:spacing w:val="11"/>
                <w:w w:val="95"/>
                <w:sz w:val="21"/>
                <w:highlight w:val="none"/>
              </w:rPr>
              <w:t>.7</w:t>
            </w:r>
            <w:r>
              <w:rPr>
                <w:color w:val="auto"/>
                <w:spacing w:val="8"/>
                <w:w w:val="95"/>
                <w:sz w:val="21"/>
                <w:highlight w:val="none"/>
              </w:rPr>
              <w:t>5</w:t>
            </w:r>
            <w:r>
              <w:rPr>
                <w:color w:val="auto"/>
                <w:spacing w:val="-94"/>
                <w:w w:val="95"/>
                <w:sz w:val="21"/>
                <w:highlight w:val="none"/>
              </w:rPr>
              <w:t>）</w:t>
            </w:r>
            <w:r>
              <w:rPr>
                <w:color w:val="auto"/>
                <w:w w:val="95"/>
                <w:sz w:val="21"/>
                <w:highlight w:val="none"/>
              </w:rPr>
              <w:t>。</w:t>
            </w:r>
            <w:r>
              <w:rPr>
                <w:color w:val="auto"/>
                <w:spacing w:val="-2"/>
                <w:sz w:val="21"/>
                <w:highlight w:val="none"/>
              </w:rPr>
              <w:t>取消其中1名评委所有评分的办法二：按随机抽取的方式选定取消1名评委评分。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4" w:hRule="atLeast"/>
        </w:trPr>
        <w:tc>
          <w:tcPr>
            <w:tcW w:w="960" w:type="dxa"/>
            <w:noWrap w:val="0"/>
            <w:vAlign w:val="top"/>
          </w:tcPr>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spacing w:before="171"/>
              <w:ind w:left="154" w:right="143"/>
              <w:jc w:val="center"/>
              <w:rPr>
                <w:color w:val="auto"/>
                <w:sz w:val="10"/>
                <w:highlight w:val="none"/>
              </w:rPr>
            </w:pPr>
            <w:r>
              <w:rPr>
                <w:color w:val="auto"/>
                <w:spacing w:val="-2"/>
                <w:sz w:val="21"/>
                <w:highlight w:val="none"/>
              </w:rPr>
              <w:t>3.2.3</w:t>
            </w:r>
          </w:p>
        </w:tc>
        <w:tc>
          <w:tcPr>
            <w:tcW w:w="8085" w:type="dxa"/>
            <w:noWrap w:val="0"/>
            <w:vAlign w:val="top"/>
          </w:tcPr>
          <w:p>
            <w:pPr>
              <w:pStyle w:val="13"/>
              <w:spacing w:before="65" w:line="362" w:lineRule="auto"/>
              <w:ind w:left="647" w:right="3847" w:hanging="420"/>
              <w:rPr>
                <w:color w:val="auto"/>
                <w:sz w:val="21"/>
                <w:highlight w:val="none"/>
              </w:rPr>
            </w:pPr>
            <w:r>
              <w:rPr>
                <w:color w:val="auto"/>
                <w:spacing w:val="-1"/>
                <w:w w:val="95"/>
                <w:sz w:val="21"/>
                <w:highlight w:val="none"/>
              </w:rPr>
              <w:t xml:space="preserve">将评标办法范本原文第 </w:t>
            </w:r>
            <w:r>
              <w:rPr>
                <w:color w:val="auto"/>
                <w:w w:val="95"/>
                <w:sz w:val="21"/>
                <w:highlight w:val="none"/>
              </w:rPr>
              <w:t>3.2.3</w:t>
            </w:r>
            <w:r>
              <w:rPr>
                <w:color w:val="auto"/>
                <w:spacing w:val="-14"/>
                <w:w w:val="95"/>
                <w:sz w:val="21"/>
                <w:highlight w:val="none"/>
              </w:rPr>
              <w:t xml:space="preserve"> </w:t>
            </w:r>
            <w:r>
              <w:rPr>
                <w:color w:val="auto"/>
                <w:w w:val="95"/>
                <w:highlight w:val="none"/>
              </w:rPr>
              <w:t>项</w:t>
            </w:r>
            <w:r>
              <w:rPr>
                <w:color w:val="auto"/>
                <w:w w:val="95"/>
                <w:sz w:val="21"/>
                <w:highlight w:val="none"/>
              </w:rPr>
              <w:t>细化如下：</w:t>
            </w:r>
            <w:r>
              <w:rPr>
                <w:color w:val="auto"/>
                <w:spacing w:val="-2"/>
                <w:sz w:val="21"/>
                <w:highlight w:val="none"/>
              </w:rPr>
              <w:t>投标人的商务和技术得分=A+B+C。</w:t>
            </w:r>
          </w:p>
          <w:p>
            <w:pPr>
              <w:pStyle w:val="13"/>
              <w:spacing w:before="1" w:line="364" w:lineRule="auto"/>
              <w:ind w:left="227" w:right="218" w:firstLine="420"/>
              <w:rPr>
                <w:color w:val="auto"/>
                <w:sz w:val="21"/>
                <w:highlight w:val="none"/>
              </w:rPr>
            </w:pPr>
            <w:r>
              <w:rPr>
                <w:color w:val="auto"/>
                <w:spacing w:val="-1"/>
                <w:w w:val="99"/>
                <w:sz w:val="21"/>
                <w:highlight w:val="none"/>
              </w:rPr>
              <w:t>除履约信誉、技术能力得分外，投标文件各评分因素细分项得分均不应低于其权重分的</w:t>
            </w:r>
            <w:r>
              <w:rPr>
                <w:color w:val="auto"/>
                <w:spacing w:val="1"/>
                <w:w w:val="99"/>
                <w:sz w:val="21"/>
                <w:highlight w:val="none"/>
              </w:rPr>
              <w:t>60</w:t>
            </w:r>
            <w:r>
              <w:rPr>
                <w:color w:val="auto"/>
                <w:spacing w:val="-1"/>
                <w:w w:val="99"/>
                <w:sz w:val="21"/>
                <w:highlight w:val="none"/>
              </w:rPr>
              <w:t>%，评分低于权重分值</w:t>
            </w:r>
            <w:r>
              <w:rPr>
                <w:color w:val="auto"/>
                <w:spacing w:val="1"/>
                <w:w w:val="99"/>
                <w:sz w:val="21"/>
                <w:highlight w:val="none"/>
              </w:rPr>
              <w:t>60</w:t>
            </w:r>
            <w:r>
              <w:rPr>
                <w:color w:val="auto"/>
                <w:spacing w:val="-1"/>
                <w:w w:val="99"/>
                <w:sz w:val="21"/>
                <w:highlight w:val="none"/>
              </w:rPr>
              <w:t>%的，评标委员会成员应当在评标报告中作出说</w:t>
            </w:r>
            <w:r>
              <w:rPr>
                <w:color w:val="auto"/>
                <w:spacing w:val="-4"/>
                <w:w w:val="99"/>
                <w:sz w:val="21"/>
                <w:highlight w:val="none"/>
              </w:rPr>
              <w:t>明。计算投标人技术得分时:对各评分因素细分项中取消一个最高、一个最低分后计</w:t>
            </w:r>
            <w:r>
              <w:rPr>
                <w:color w:val="auto"/>
                <w:spacing w:val="-1"/>
                <w:w w:val="99"/>
                <w:sz w:val="21"/>
                <w:highlight w:val="none"/>
              </w:rPr>
              <w:t>算算术平均值的和为投标人的最终技术得分，平均值计算保留小数点后三位，小数点后第四位“四舍五入”。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5" w:hRule="atLeast"/>
        </w:trPr>
        <w:tc>
          <w:tcPr>
            <w:tcW w:w="960" w:type="dxa"/>
            <w:noWrap w:val="0"/>
            <w:vAlign w:val="top"/>
          </w:tcPr>
          <w:p>
            <w:pPr>
              <w:pStyle w:val="13"/>
              <w:rPr>
                <w:color w:val="auto"/>
                <w:sz w:val="24"/>
                <w:highlight w:val="none"/>
              </w:rPr>
            </w:pPr>
          </w:p>
          <w:p>
            <w:pPr>
              <w:pStyle w:val="13"/>
              <w:rPr>
                <w:color w:val="auto"/>
                <w:sz w:val="24"/>
                <w:highlight w:val="none"/>
              </w:rPr>
            </w:pPr>
          </w:p>
          <w:p>
            <w:pPr>
              <w:pStyle w:val="13"/>
              <w:rPr>
                <w:color w:val="auto"/>
                <w:sz w:val="24"/>
                <w:highlight w:val="none"/>
              </w:rPr>
            </w:pPr>
          </w:p>
          <w:p>
            <w:pPr>
              <w:pStyle w:val="13"/>
              <w:rPr>
                <w:color w:val="auto"/>
                <w:sz w:val="24"/>
                <w:highlight w:val="none"/>
              </w:rPr>
            </w:pPr>
          </w:p>
          <w:p>
            <w:pPr>
              <w:pStyle w:val="13"/>
              <w:rPr>
                <w:color w:val="auto"/>
                <w:sz w:val="24"/>
                <w:highlight w:val="none"/>
              </w:rPr>
            </w:pPr>
          </w:p>
          <w:p>
            <w:pPr>
              <w:pStyle w:val="13"/>
              <w:spacing w:before="169"/>
              <w:ind w:left="151" w:right="143"/>
              <w:jc w:val="center"/>
              <w:rPr>
                <w:color w:val="auto"/>
                <w:sz w:val="24"/>
                <w:highlight w:val="none"/>
              </w:rPr>
            </w:pPr>
            <w:r>
              <w:rPr>
                <w:color w:val="auto"/>
                <w:spacing w:val="-5"/>
                <w:sz w:val="24"/>
                <w:highlight w:val="none"/>
              </w:rPr>
              <w:t>3.6</w:t>
            </w:r>
          </w:p>
        </w:tc>
        <w:tc>
          <w:tcPr>
            <w:tcW w:w="8085" w:type="dxa"/>
            <w:noWrap w:val="0"/>
            <w:vAlign w:val="top"/>
          </w:tcPr>
          <w:p>
            <w:pPr>
              <w:pStyle w:val="13"/>
              <w:spacing w:before="71"/>
              <w:ind w:left="227"/>
              <w:rPr>
                <w:color w:val="auto"/>
                <w:sz w:val="21"/>
                <w:highlight w:val="none"/>
              </w:rPr>
            </w:pPr>
            <w:r>
              <w:rPr>
                <w:color w:val="auto"/>
                <w:w w:val="95"/>
                <w:sz w:val="21"/>
                <w:highlight w:val="none"/>
              </w:rPr>
              <w:t>3.6.2项（2）</w:t>
            </w:r>
            <w:r>
              <w:rPr>
                <w:color w:val="auto"/>
                <w:spacing w:val="-2"/>
                <w:w w:val="95"/>
                <w:sz w:val="21"/>
                <w:highlight w:val="none"/>
              </w:rPr>
              <w:t>目末增加以下条款：</w:t>
            </w:r>
          </w:p>
          <w:p>
            <w:pPr>
              <w:pStyle w:val="13"/>
              <w:spacing w:before="138" w:line="367" w:lineRule="auto"/>
              <w:ind w:left="227" w:right="216" w:firstLine="420"/>
              <w:rPr>
                <w:color w:val="auto"/>
                <w:sz w:val="21"/>
                <w:highlight w:val="none"/>
              </w:rPr>
            </w:pPr>
            <w:r>
              <w:rPr>
                <w:color w:val="auto"/>
                <w:spacing w:val="1"/>
                <w:w w:val="99"/>
                <w:sz w:val="21"/>
                <w:highlight w:val="none"/>
              </w:rPr>
              <w:t>g.当一家以上投标人评标价相同时，若各投标人工程量清单细目单价也相同，</w:t>
            </w:r>
            <w:r>
              <w:rPr>
                <w:color w:val="auto"/>
                <w:spacing w:val="-1"/>
                <w:w w:val="99"/>
                <w:sz w:val="21"/>
                <w:highlight w:val="none"/>
              </w:rPr>
              <w:t>视为串标（一个标段仅一工作细目报价的除外）</w:t>
            </w:r>
            <w:r>
              <w:rPr>
                <w:color w:val="auto"/>
                <w:w w:val="99"/>
                <w:sz w:val="21"/>
                <w:highlight w:val="none"/>
              </w:rPr>
              <w:t>。</w:t>
            </w:r>
          </w:p>
          <w:p>
            <w:pPr>
              <w:pStyle w:val="13"/>
              <w:spacing w:line="364" w:lineRule="auto"/>
              <w:ind w:left="227" w:right="691" w:firstLine="420"/>
              <w:rPr>
                <w:color w:val="auto"/>
                <w:sz w:val="21"/>
                <w:highlight w:val="none"/>
              </w:rPr>
            </w:pPr>
            <w:r>
              <w:rPr>
                <w:color w:val="auto"/>
                <w:sz w:val="24"/>
                <w:highlight w:val="none"/>
              </w:rPr>
              <w:t>h</w:t>
            </w:r>
            <w:r>
              <w:rPr>
                <w:color w:val="auto"/>
                <w:spacing w:val="-1"/>
                <w:w w:val="99"/>
                <w:sz w:val="21"/>
                <w:highlight w:val="none"/>
              </w:rPr>
              <w:t>.广东省实施《中华人民共和国招标投标法》办法第十六条规定的情形。</w:t>
            </w:r>
            <w:r>
              <w:rPr>
                <w:color w:val="auto"/>
                <w:w w:val="99"/>
                <w:sz w:val="21"/>
                <w:highlight w:val="none"/>
              </w:rPr>
              <w:t>增加</w:t>
            </w:r>
            <w:r>
              <w:rPr>
                <w:color w:val="auto"/>
                <w:spacing w:val="1"/>
                <w:w w:val="99"/>
                <w:sz w:val="21"/>
                <w:highlight w:val="none"/>
              </w:rPr>
              <w:t>3.6</w:t>
            </w:r>
            <w:r>
              <w:rPr>
                <w:color w:val="auto"/>
                <w:spacing w:val="-2"/>
                <w:w w:val="99"/>
                <w:sz w:val="21"/>
                <w:highlight w:val="none"/>
              </w:rPr>
              <w:t>.</w:t>
            </w:r>
            <w:r>
              <w:rPr>
                <w:color w:val="auto"/>
                <w:spacing w:val="1"/>
                <w:w w:val="99"/>
                <w:sz w:val="21"/>
                <w:highlight w:val="none"/>
              </w:rPr>
              <w:t>3</w:t>
            </w:r>
            <w:r>
              <w:rPr>
                <w:color w:val="auto"/>
                <w:spacing w:val="-1"/>
                <w:w w:val="99"/>
                <w:sz w:val="21"/>
                <w:highlight w:val="none"/>
              </w:rPr>
              <w:t>项：</w:t>
            </w:r>
          </w:p>
          <w:p>
            <w:pPr>
              <w:pStyle w:val="13"/>
              <w:spacing w:line="364" w:lineRule="auto"/>
              <w:ind w:left="227" w:right="218" w:firstLine="420"/>
              <w:rPr>
                <w:color w:val="auto"/>
                <w:sz w:val="21"/>
                <w:highlight w:val="none"/>
              </w:rPr>
            </w:pPr>
            <w:r>
              <w:rPr>
                <w:color w:val="auto"/>
                <w:spacing w:val="1"/>
                <w:w w:val="99"/>
                <w:sz w:val="21"/>
                <w:highlight w:val="none"/>
              </w:rPr>
              <w:t>3.6</w:t>
            </w:r>
            <w:r>
              <w:rPr>
                <w:color w:val="auto"/>
                <w:spacing w:val="-2"/>
                <w:w w:val="99"/>
                <w:sz w:val="21"/>
                <w:highlight w:val="none"/>
              </w:rPr>
              <w:t>.</w:t>
            </w:r>
            <w:r>
              <w:rPr>
                <w:color w:val="auto"/>
                <w:spacing w:val="1"/>
                <w:w w:val="99"/>
                <w:sz w:val="21"/>
                <w:highlight w:val="none"/>
              </w:rPr>
              <w:t>3</w:t>
            </w:r>
            <w:r>
              <w:rPr>
                <w:color w:val="auto"/>
                <w:spacing w:val="-4"/>
                <w:w w:val="99"/>
                <w:sz w:val="21"/>
                <w:highlight w:val="none"/>
              </w:rPr>
              <w:t>依法必须进行招标的项目，除第一中标候选人或者中标人，其他投标人存</w:t>
            </w:r>
            <w:r>
              <w:rPr>
                <w:color w:val="auto"/>
                <w:spacing w:val="-1"/>
                <w:w w:val="99"/>
                <w:sz w:val="21"/>
                <w:highlight w:val="none"/>
              </w:rPr>
              <w:t>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3" w:hRule="atLeast"/>
        </w:trPr>
        <w:tc>
          <w:tcPr>
            <w:tcW w:w="960" w:type="dxa"/>
            <w:noWrap w:val="0"/>
            <w:vAlign w:val="top"/>
          </w:tcPr>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spacing w:before="2"/>
              <w:rPr>
                <w:color w:val="auto"/>
                <w:sz w:val="24"/>
                <w:highlight w:val="none"/>
              </w:rPr>
            </w:pPr>
          </w:p>
          <w:p>
            <w:pPr>
              <w:pStyle w:val="13"/>
              <w:ind w:left="150" w:right="143"/>
              <w:jc w:val="center"/>
              <w:rPr>
                <w:color w:val="auto"/>
                <w:sz w:val="21"/>
                <w:highlight w:val="none"/>
              </w:rPr>
            </w:pPr>
            <w:r>
              <w:rPr>
                <w:color w:val="auto"/>
                <w:spacing w:val="-5"/>
                <w:sz w:val="21"/>
                <w:highlight w:val="none"/>
              </w:rPr>
              <w:t>3.9</w:t>
            </w:r>
          </w:p>
        </w:tc>
        <w:tc>
          <w:tcPr>
            <w:tcW w:w="8085" w:type="dxa"/>
            <w:noWrap w:val="0"/>
            <w:vAlign w:val="top"/>
          </w:tcPr>
          <w:p>
            <w:pPr>
              <w:pStyle w:val="13"/>
              <w:spacing w:before="1"/>
              <w:ind w:left="227"/>
              <w:jc w:val="both"/>
              <w:rPr>
                <w:color w:val="auto"/>
                <w:sz w:val="21"/>
                <w:highlight w:val="none"/>
              </w:rPr>
            </w:pPr>
            <w:r>
              <w:rPr>
                <w:color w:val="auto"/>
                <w:spacing w:val="-3"/>
                <w:w w:val="95"/>
                <w:sz w:val="21"/>
                <w:highlight w:val="none"/>
              </w:rPr>
              <w:t xml:space="preserve">增加 </w:t>
            </w:r>
            <w:r>
              <w:rPr>
                <w:color w:val="auto"/>
                <w:w w:val="95"/>
                <w:sz w:val="21"/>
                <w:highlight w:val="none"/>
              </w:rPr>
              <w:t>3.9.3-3.9.7</w:t>
            </w:r>
            <w:r>
              <w:rPr>
                <w:color w:val="auto"/>
                <w:spacing w:val="-12"/>
                <w:w w:val="95"/>
                <w:sz w:val="21"/>
                <w:highlight w:val="none"/>
              </w:rPr>
              <w:t xml:space="preserve"> </w:t>
            </w:r>
            <w:r>
              <w:rPr>
                <w:color w:val="auto"/>
                <w:w w:val="95"/>
                <w:highlight w:val="none"/>
              </w:rPr>
              <w:t>项</w:t>
            </w:r>
            <w:r>
              <w:rPr>
                <w:color w:val="auto"/>
                <w:spacing w:val="-10"/>
                <w:w w:val="95"/>
                <w:sz w:val="21"/>
                <w:highlight w:val="none"/>
              </w:rPr>
              <w:t>：</w:t>
            </w:r>
          </w:p>
          <w:p>
            <w:pPr>
              <w:pStyle w:val="13"/>
              <w:numPr>
                <w:ilvl w:val="2"/>
                <w:numId w:val="6"/>
              </w:numPr>
              <w:tabs>
                <w:tab w:val="left" w:pos="1238"/>
              </w:tabs>
              <w:spacing w:before="146" w:line="364" w:lineRule="auto"/>
              <w:ind w:right="216" w:firstLine="434"/>
              <w:jc w:val="both"/>
              <w:rPr>
                <w:color w:val="auto"/>
                <w:sz w:val="10"/>
                <w:highlight w:val="none"/>
              </w:rPr>
            </w:pPr>
            <w:r>
              <w:rPr>
                <w:color w:val="auto"/>
                <w:spacing w:val="-1"/>
                <w:w w:val="99"/>
                <w:sz w:val="21"/>
                <w:highlight w:val="none"/>
              </w:rPr>
              <w:t>推荐中标候选人方式：</w:t>
            </w:r>
            <w:r>
              <w:rPr>
                <w:color w:val="auto"/>
                <w:spacing w:val="2"/>
                <w:w w:val="99"/>
                <w:sz w:val="21"/>
                <w:highlight w:val="none"/>
              </w:rPr>
              <w:t>（</w:t>
            </w:r>
            <w:r>
              <w:rPr>
                <w:color w:val="auto"/>
                <w:spacing w:val="1"/>
                <w:w w:val="99"/>
                <w:sz w:val="21"/>
                <w:highlight w:val="none"/>
              </w:rPr>
              <w:t>1</w:t>
            </w:r>
            <w:r>
              <w:rPr>
                <w:color w:val="auto"/>
                <w:spacing w:val="2"/>
                <w:w w:val="99"/>
                <w:sz w:val="21"/>
                <w:highlight w:val="none"/>
              </w:rPr>
              <w:t>）</w:t>
            </w:r>
            <w:r>
              <w:rPr>
                <w:color w:val="auto"/>
                <w:spacing w:val="-1"/>
                <w:w w:val="99"/>
                <w:sz w:val="21"/>
                <w:highlight w:val="none"/>
              </w:rPr>
              <w:t>已被推荐为某一标段的第一中标候选人，自</w:t>
            </w:r>
            <w:r>
              <w:rPr>
                <w:color w:val="auto"/>
                <w:spacing w:val="-2"/>
                <w:w w:val="99"/>
                <w:sz w:val="21"/>
                <w:highlight w:val="none"/>
              </w:rPr>
              <w:t>动失去其在本次招标中其他标段的中标候选人资格。</w:t>
            </w:r>
            <w:r>
              <w:rPr>
                <w:color w:val="auto"/>
                <w:spacing w:val="-1"/>
                <w:w w:val="99"/>
                <w:sz w:val="21"/>
                <w:highlight w:val="none"/>
              </w:rPr>
              <w:t>（</w:t>
            </w:r>
            <w:r>
              <w:rPr>
                <w:color w:val="auto"/>
                <w:spacing w:val="1"/>
                <w:w w:val="99"/>
                <w:sz w:val="21"/>
                <w:highlight w:val="none"/>
              </w:rPr>
              <w:t>2</w:t>
            </w:r>
            <w:r>
              <w:rPr>
                <w:color w:val="auto"/>
                <w:spacing w:val="-13"/>
                <w:w w:val="99"/>
                <w:sz w:val="21"/>
                <w:highlight w:val="none"/>
              </w:rPr>
              <w:t>）</w:t>
            </w:r>
            <w:r>
              <w:rPr>
                <w:color w:val="auto"/>
                <w:spacing w:val="-1"/>
                <w:w w:val="99"/>
                <w:sz w:val="21"/>
                <w:highlight w:val="none"/>
              </w:rPr>
              <w:t>按标段最高投标限价由高</w:t>
            </w:r>
            <w:r>
              <w:rPr>
                <w:color w:val="auto"/>
                <w:spacing w:val="1"/>
                <w:w w:val="99"/>
                <w:sz w:val="21"/>
                <w:highlight w:val="none"/>
              </w:rPr>
              <w:t>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w:t>
            </w:r>
            <w:r>
              <w:rPr>
                <w:color w:val="auto"/>
                <w:spacing w:val="-1"/>
                <w:w w:val="99"/>
                <w:sz w:val="21"/>
                <w:highlight w:val="none"/>
              </w:rPr>
              <w:t>升为中标候选人，以此类推。</w:t>
            </w:r>
            <w:r>
              <w:rPr>
                <w:color w:val="auto"/>
                <w:highlight w:val="none"/>
              </w:rPr>
              <w:fldChar w:fldCharType="begin"/>
            </w:r>
            <w:r>
              <w:rPr>
                <w:color w:val="auto"/>
                <w:highlight w:val="none"/>
              </w:rPr>
              <w:instrText xml:space="preserve"> HYPERLINK \l "_bookmark132" </w:instrText>
            </w:r>
            <w:r>
              <w:rPr>
                <w:color w:val="auto"/>
                <w:highlight w:val="none"/>
              </w:rPr>
              <w:fldChar w:fldCharType="separate"/>
            </w:r>
            <w:r>
              <w:rPr>
                <w:color w:val="auto"/>
                <w:w w:val="106"/>
                <w:position w:val="11"/>
                <w:sz w:val="10"/>
                <w:highlight w:val="none"/>
              </w:rPr>
              <w:t>②</w:t>
            </w:r>
            <w:r>
              <w:rPr>
                <w:color w:val="auto"/>
                <w:w w:val="106"/>
                <w:position w:val="11"/>
                <w:sz w:val="10"/>
                <w:highlight w:val="none"/>
              </w:rPr>
              <w:fldChar w:fldCharType="end"/>
            </w:r>
          </w:p>
          <w:p>
            <w:pPr>
              <w:pStyle w:val="13"/>
              <w:numPr>
                <w:ilvl w:val="2"/>
                <w:numId w:val="6"/>
              </w:numPr>
              <w:tabs>
                <w:tab w:val="left" w:pos="1238"/>
              </w:tabs>
              <w:spacing w:line="364" w:lineRule="auto"/>
              <w:ind w:right="216" w:firstLine="434"/>
              <w:jc w:val="both"/>
              <w:rPr>
                <w:color w:val="auto"/>
                <w:sz w:val="21"/>
                <w:highlight w:val="none"/>
              </w:rPr>
            </w:pPr>
            <w:r>
              <w:rPr>
                <w:color w:val="auto"/>
                <w:w w:val="95"/>
                <w:sz w:val="21"/>
                <w:highlight w:val="none"/>
              </w:rPr>
              <w:t>通过第一个信封商务及技术文件评审的投标人少于</w:t>
            </w:r>
            <w:r>
              <w:rPr>
                <w:color w:val="auto"/>
                <w:spacing w:val="37"/>
                <w:sz w:val="21"/>
                <w:highlight w:val="none"/>
              </w:rPr>
              <w:t xml:space="preserve"> </w:t>
            </w:r>
            <w:r>
              <w:rPr>
                <w:color w:val="auto"/>
                <w:w w:val="95"/>
                <w:sz w:val="21"/>
                <w:highlight w:val="none"/>
              </w:rPr>
              <w:t>3</w:t>
            </w:r>
            <w:r>
              <w:rPr>
                <w:color w:val="auto"/>
                <w:spacing w:val="27"/>
                <w:sz w:val="21"/>
                <w:highlight w:val="none"/>
              </w:rPr>
              <w:t xml:space="preserve"> </w:t>
            </w:r>
            <w:r>
              <w:rPr>
                <w:color w:val="auto"/>
                <w:spacing w:val="-13"/>
                <w:w w:val="95"/>
                <w:sz w:val="21"/>
                <w:highlight w:val="none"/>
              </w:rPr>
              <w:t>个的，评标委员会应</w:t>
            </w:r>
            <w:r>
              <w:rPr>
                <w:color w:val="auto"/>
                <w:spacing w:val="-2"/>
                <w:sz w:val="21"/>
                <w:highlight w:val="none"/>
              </w:rPr>
              <w:t>否决全部投标。</w:t>
            </w:r>
          </w:p>
          <w:p>
            <w:pPr>
              <w:pStyle w:val="13"/>
              <w:numPr>
                <w:ilvl w:val="2"/>
                <w:numId w:val="6"/>
              </w:numPr>
              <w:tabs>
                <w:tab w:val="left" w:pos="1228"/>
              </w:tabs>
              <w:ind w:left="1227" w:hanging="577"/>
              <w:jc w:val="both"/>
              <w:rPr>
                <w:color w:val="auto"/>
                <w:sz w:val="21"/>
                <w:highlight w:val="none"/>
              </w:rPr>
            </w:pPr>
            <w:r>
              <w:rPr>
                <w:color w:val="auto"/>
                <w:w w:val="95"/>
                <w:sz w:val="21"/>
                <w:highlight w:val="none"/>
              </w:rPr>
              <w:t>通过第一个信封商务及技术文件评审的投标人在</w:t>
            </w:r>
            <w:r>
              <w:rPr>
                <w:color w:val="auto"/>
                <w:spacing w:val="31"/>
                <w:w w:val="150"/>
                <w:sz w:val="21"/>
                <w:highlight w:val="none"/>
              </w:rPr>
              <w:t xml:space="preserve"> </w:t>
            </w:r>
            <w:r>
              <w:rPr>
                <w:color w:val="auto"/>
                <w:w w:val="95"/>
                <w:sz w:val="21"/>
                <w:highlight w:val="none"/>
              </w:rPr>
              <w:t>3</w:t>
            </w:r>
            <w:r>
              <w:rPr>
                <w:color w:val="auto"/>
                <w:spacing w:val="35"/>
                <w:w w:val="150"/>
                <w:sz w:val="21"/>
                <w:highlight w:val="none"/>
              </w:rPr>
              <w:t xml:space="preserve"> </w:t>
            </w:r>
            <w:r>
              <w:rPr>
                <w:color w:val="auto"/>
                <w:spacing w:val="-12"/>
                <w:w w:val="95"/>
                <w:sz w:val="21"/>
                <w:highlight w:val="none"/>
              </w:rPr>
              <w:t>个及以上的，招标人应</w:t>
            </w:r>
          </w:p>
        </w:tc>
      </w:tr>
    </w:tbl>
    <w:p>
      <w:pPr>
        <w:pStyle w:val="6"/>
        <w:rPr>
          <w:color w:val="auto"/>
          <w:sz w:val="20"/>
          <w:highlight w:val="none"/>
        </w:rPr>
      </w:pPr>
    </w:p>
    <w:p>
      <w:pPr>
        <w:pStyle w:val="6"/>
        <w:spacing w:before="6"/>
        <w:rPr>
          <w:color w:val="auto"/>
          <w:sz w:val="19"/>
          <w:highlight w:val="none"/>
        </w:rPr>
      </w:pPr>
    </w:p>
    <w:p>
      <w:pPr>
        <w:rPr>
          <w:color w:val="auto"/>
          <w:sz w:val="18"/>
          <w:highlight w:val="none"/>
        </w:rPr>
        <w:sectPr>
          <w:pgSz w:w="11900" w:h="16840"/>
          <w:pgMar w:top="1320" w:right="820" w:bottom="1120" w:left="1000" w:header="708" w:footer="921" w:gutter="0"/>
          <w:cols w:space="720" w:num="1"/>
        </w:sectPr>
      </w:pPr>
    </w:p>
    <w:p>
      <w:pPr>
        <w:pStyle w:val="6"/>
        <w:spacing w:before="3"/>
        <w:rPr>
          <w:color w:val="auto"/>
          <w:sz w:val="6"/>
          <w:highlight w:val="none"/>
        </w:rPr>
      </w:pPr>
    </w:p>
    <w:tbl>
      <w:tblPr>
        <w:tblStyle w:val="14"/>
        <w:tblW w:w="0" w:type="auto"/>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1" w:hRule="atLeast"/>
        </w:trPr>
        <w:tc>
          <w:tcPr>
            <w:tcW w:w="960" w:type="dxa"/>
            <w:noWrap w:val="0"/>
            <w:vAlign w:val="top"/>
          </w:tcPr>
          <w:p>
            <w:pPr>
              <w:pStyle w:val="13"/>
              <w:rPr>
                <w:rFonts w:ascii="Times New Roman"/>
                <w:color w:val="auto"/>
                <w:sz w:val="20"/>
                <w:highlight w:val="none"/>
              </w:rPr>
            </w:pPr>
          </w:p>
        </w:tc>
        <w:tc>
          <w:tcPr>
            <w:tcW w:w="8085" w:type="dxa"/>
            <w:noWrap w:val="0"/>
            <w:vAlign w:val="top"/>
          </w:tcPr>
          <w:p>
            <w:pPr>
              <w:pStyle w:val="13"/>
              <w:spacing w:before="1" w:line="364" w:lineRule="auto"/>
              <w:ind w:left="227" w:right="216"/>
              <w:jc w:val="both"/>
              <w:rPr>
                <w:color w:val="auto"/>
                <w:sz w:val="21"/>
                <w:highlight w:val="none"/>
              </w:rPr>
            </w:pPr>
            <w:r>
              <w:rPr>
                <w:color w:val="auto"/>
                <w:spacing w:val="1"/>
                <w:w w:val="99"/>
                <w:sz w:val="21"/>
                <w:highlight w:val="none"/>
              </w:rPr>
              <w:t>当按照招标文件规定的程序进行第二个信封报价文件开标；在对报价文件进行评审后，有效投标不足</w:t>
            </w:r>
            <w:r>
              <w:rPr>
                <w:color w:val="auto"/>
                <w:spacing w:val="-48"/>
                <w:sz w:val="21"/>
                <w:highlight w:val="none"/>
              </w:rPr>
              <w:t xml:space="preserve"> </w:t>
            </w:r>
            <w:r>
              <w:rPr>
                <w:color w:val="auto"/>
                <w:w w:val="99"/>
                <w:sz w:val="21"/>
                <w:highlight w:val="none"/>
              </w:rPr>
              <w:t>3</w:t>
            </w:r>
            <w:r>
              <w:rPr>
                <w:color w:val="auto"/>
                <w:spacing w:val="-52"/>
                <w:sz w:val="21"/>
                <w:highlight w:val="none"/>
              </w:rPr>
              <w:t xml:space="preserve"> </w:t>
            </w:r>
            <w:r>
              <w:rPr>
                <w:color w:val="auto"/>
                <w:spacing w:val="1"/>
                <w:w w:val="99"/>
                <w:sz w:val="21"/>
                <w:highlight w:val="none"/>
              </w:rPr>
              <w:t>个的，评标委员会可以否决全部投标。未否决全部投标的，评</w:t>
            </w:r>
            <w:r>
              <w:rPr>
                <w:color w:val="auto"/>
                <w:spacing w:val="-1"/>
                <w:w w:val="99"/>
                <w:sz w:val="21"/>
                <w:highlight w:val="none"/>
              </w:rPr>
              <w:t>标委员会应当在评标报告中阐明理由并推荐中标候选人。</w:t>
            </w:r>
          </w:p>
          <w:p>
            <w:pPr>
              <w:pStyle w:val="13"/>
              <w:numPr>
                <w:ilvl w:val="2"/>
                <w:numId w:val="7"/>
              </w:numPr>
              <w:tabs>
                <w:tab w:val="left" w:pos="1238"/>
              </w:tabs>
              <w:spacing w:line="367" w:lineRule="auto"/>
              <w:ind w:right="218" w:firstLine="434"/>
              <w:jc w:val="both"/>
              <w:rPr>
                <w:color w:val="auto"/>
                <w:sz w:val="21"/>
                <w:highlight w:val="none"/>
              </w:rPr>
            </w:pPr>
            <w:r>
              <w:rPr>
                <w:color w:val="auto"/>
                <w:spacing w:val="-6"/>
                <w:w w:val="99"/>
                <w:sz w:val="21"/>
                <w:highlight w:val="none"/>
              </w:rPr>
              <w:t>如果发生无法确定推荐中标候选人的其他意外情况，评标委员会可建议招</w:t>
            </w:r>
            <w:r>
              <w:rPr>
                <w:color w:val="auto"/>
                <w:spacing w:val="-1"/>
                <w:w w:val="99"/>
                <w:sz w:val="21"/>
                <w:highlight w:val="none"/>
              </w:rPr>
              <w:t>标人重新招标。</w:t>
            </w:r>
          </w:p>
          <w:p>
            <w:pPr>
              <w:pStyle w:val="13"/>
              <w:numPr>
                <w:ilvl w:val="2"/>
                <w:numId w:val="7"/>
              </w:numPr>
              <w:tabs>
                <w:tab w:val="left" w:pos="1276"/>
              </w:tabs>
              <w:spacing w:line="277" w:lineRule="exact"/>
              <w:ind w:left="1275" w:hanging="608"/>
              <w:jc w:val="both"/>
              <w:rPr>
                <w:b/>
                <w:color w:val="auto"/>
                <w:highlight w:val="none"/>
              </w:rPr>
            </w:pPr>
            <w:r>
              <w:rPr>
                <w:b/>
                <w:color w:val="auto"/>
                <w:spacing w:val="-3"/>
                <w:highlight w:val="none"/>
              </w:rPr>
              <w:t>本招标文件规定的否决投标条款包含在以下条款：</w:t>
            </w:r>
          </w:p>
          <w:p>
            <w:pPr>
              <w:pStyle w:val="13"/>
              <w:spacing w:before="144"/>
              <w:ind w:left="668"/>
              <w:rPr>
                <w:b/>
                <w:color w:val="auto"/>
                <w:highlight w:val="none"/>
              </w:rPr>
            </w:pPr>
            <w:r>
              <w:rPr>
                <w:b/>
                <w:color w:val="auto"/>
                <w:highlight w:val="none"/>
              </w:rPr>
              <w:t>（1）</w:t>
            </w:r>
            <w:r>
              <w:rPr>
                <w:b/>
                <w:color w:val="auto"/>
                <w:spacing w:val="-10"/>
                <w:highlight w:val="none"/>
              </w:rPr>
              <w:t xml:space="preserve">招标公告第 </w:t>
            </w:r>
            <w:r>
              <w:rPr>
                <w:b/>
                <w:color w:val="auto"/>
                <w:highlight w:val="none"/>
              </w:rPr>
              <w:t>3</w:t>
            </w:r>
            <w:r>
              <w:rPr>
                <w:b/>
                <w:color w:val="auto"/>
                <w:spacing w:val="-10"/>
                <w:highlight w:val="none"/>
              </w:rPr>
              <w:t xml:space="preserve"> 点 投标人资格要求；</w:t>
            </w:r>
          </w:p>
          <w:p>
            <w:pPr>
              <w:pStyle w:val="13"/>
              <w:spacing w:before="146" w:line="364" w:lineRule="auto"/>
              <w:ind w:left="227" w:right="218" w:firstLine="441"/>
              <w:rPr>
                <w:b/>
                <w:color w:val="auto"/>
                <w:highlight w:val="none"/>
              </w:rPr>
            </w:pPr>
            <w:r>
              <w:rPr>
                <w:b/>
                <w:color w:val="auto"/>
                <w:spacing w:val="-2"/>
                <w:highlight w:val="none"/>
              </w:rPr>
              <w:t>（2）</w:t>
            </w:r>
            <w:r>
              <w:rPr>
                <w:b/>
                <w:color w:val="auto"/>
                <w:spacing w:val="-11"/>
                <w:highlight w:val="none"/>
                <w:u w:val="single"/>
              </w:rPr>
              <w:t xml:space="preserve">投标人须知 </w:t>
            </w:r>
            <w:r>
              <w:rPr>
                <w:b/>
                <w:color w:val="auto"/>
                <w:spacing w:val="-2"/>
                <w:highlight w:val="none"/>
                <w:u w:val="single"/>
              </w:rPr>
              <w:t>1.4.3</w:t>
            </w:r>
            <w:r>
              <w:rPr>
                <w:b/>
                <w:color w:val="auto"/>
                <w:spacing w:val="-17"/>
                <w:highlight w:val="none"/>
                <w:u w:val="single"/>
              </w:rPr>
              <w:t xml:space="preserve"> 项、</w:t>
            </w:r>
            <w:r>
              <w:rPr>
                <w:b/>
                <w:color w:val="auto"/>
                <w:spacing w:val="-2"/>
                <w:highlight w:val="none"/>
                <w:u w:val="single"/>
              </w:rPr>
              <w:t>1.4.4</w:t>
            </w:r>
            <w:r>
              <w:rPr>
                <w:b/>
                <w:color w:val="auto"/>
                <w:spacing w:val="-17"/>
                <w:highlight w:val="none"/>
                <w:u w:val="single"/>
              </w:rPr>
              <w:t xml:space="preserve"> 项、</w:t>
            </w:r>
            <w:r>
              <w:rPr>
                <w:b/>
                <w:color w:val="auto"/>
                <w:spacing w:val="-2"/>
                <w:highlight w:val="none"/>
                <w:u w:val="single"/>
              </w:rPr>
              <w:t>1.4.5</w:t>
            </w:r>
            <w:r>
              <w:rPr>
                <w:b/>
                <w:color w:val="auto"/>
                <w:spacing w:val="-18"/>
                <w:highlight w:val="none"/>
                <w:u w:val="single"/>
              </w:rPr>
              <w:t xml:space="preserve"> 项、</w:t>
            </w:r>
            <w:r>
              <w:rPr>
                <w:b/>
                <w:color w:val="auto"/>
                <w:spacing w:val="-2"/>
                <w:highlight w:val="none"/>
                <w:u w:val="single"/>
              </w:rPr>
              <w:t>1.11.1</w:t>
            </w:r>
            <w:r>
              <w:rPr>
                <w:b/>
                <w:color w:val="auto"/>
                <w:spacing w:val="-17"/>
                <w:highlight w:val="none"/>
                <w:u w:val="single"/>
              </w:rPr>
              <w:t xml:space="preserve"> 项、</w:t>
            </w:r>
            <w:r>
              <w:rPr>
                <w:b/>
                <w:color w:val="auto"/>
                <w:spacing w:val="-2"/>
                <w:highlight w:val="none"/>
                <w:u w:val="single"/>
              </w:rPr>
              <w:t>1.12.2</w:t>
            </w:r>
            <w:r>
              <w:rPr>
                <w:b/>
                <w:color w:val="auto"/>
                <w:spacing w:val="-19"/>
                <w:highlight w:val="none"/>
                <w:u w:val="single"/>
              </w:rPr>
              <w:t xml:space="preserve"> 项、</w:t>
            </w:r>
            <w:r>
              <w:rPr>
                <w:b/>
                <w:color w:val="auto"/>
                <w:spacing w:val="-2"/>
                <w:highlight w:val="none"/>
              </w:rPr>
              <w:t xml:space="preserve"> </w:t>
            </w:r>
            <w:r>
              <w:rPr>
                <w:b/>
                <w:color w:val="auto"/>
                <w:highlight w:val="none"/>
                <w:u w:val="single"/>
              </w:rPr>
              <w:t>3.4.2</w:t>
            </w:r>
            <w:r>
              <w:rPr>
                <w:b/>
                <w:color w:val="auto"/>
                <w:spacing w:val="-6"/>
                <w:highlight w:val="none"/>
                <w:u w:val="single"/>
              </w:rPr>
              <w:t xml:space="preserve"> 项、</w:t>
            </w:r>
            <w:r>
              <w:rPr>
                <w:b/>
                <w:color w:val="auto"/>
                <w:highlight w:val="none"/>
                <w:u w:val="single"/>
              </w:rPr>
              <w:t>3.5.11</w:t>
            </w:r>
            <w:r>
              <w:rPr>
                <w:b/>
                <w:color w:val="auto"/>
                <w:spacing w:val="-6"/>
                <w:highlight w:val="none"/>
                <w:u w:val="single"/>
              </w:rPr>
              <w:t xml:space="preserve"> 项、</w:t>
            </w:r>
            <w:r>
              <w:rPr>
                <w:b/>
                <w:color w:val="auto"/>
                <w:highlight w:val="none"/>
                <w:u w:val="single"/>
              </w:rPr>
              <w:t>3.6.1</w:t>
            </w:r>
            <w:r>
              <w:rPr>
                <w:b/>
                <w:color w:val="auto"/>
                <w:spacing w:val="-6"/>
                <w:highlight w:val="none"/>
                <w:u w:val="single"/>
              </w:rPr>
              <w:t xml:space="preserve"> 项；</w:t>
            </w:r>
          </w:p>
          <w:p>
            <w:pPr>
              <w:pStyle w:val="13"/>
              <w:ind w:left="680"/>
              <w:rPr>
                <w:b/>
                <w:color w:val="auto"/>
                <w:highlight w:val="none"/>
              </w:rPr>
            </w:pPr>
            <w:r>
              <w:rPr>
                <w:b/>
                <w:color w:val="auto"/>
                <w:w w:val="95"/>
                <w:highlight w:val="none"/>
              </w:rPr>
              <w:t>（3）</w:t>
            </w:r>
            <w:r>
              <w:rPr>
                <w:b/>
                <w:color w:val="auto"/>
                <w:spacing w:val="-1"/>
                <w:w w:val="95"/>
                <w:highlight w:val="none"/>
              </w:rPr>
              <w:t>本评标办法的否决条款。</w:t>
            </w:r>
          </w:p>
        </w:tc>
      </w:tr>
    </w:tbl>
    <w:p>
      <w:pPr>
        <w:rPr>
          <w:color w:val="auto"/>
          <w:sz w:val="18"/>
          <w:highlight w:val="none"/>
        </w:rPr>
        <w:sectPr>
          <w:pgSz w:w="11900" w:h="16840"/>
          <w:pgMar w:top="1320" w:right="820" w:bottom="1120" w:left="1000" w:header="708" w:footer="921" w:gutter="0"/>
          <w:cols w:space="720" w:num="1"/>
        </w:sectPr>
      </w:pPr>
    </w:p>
    <w:p>
      <w:pPr>
        <w:rPr>
          <w:color w:val="auto"/>
          <w:sz w:val="21"/>
          <w:highlight w:val="none"/>
        </w:rPr>
      </w:pPr>
    </w:p>
    <w:p>
      <w:pPr>
        <w:snapToGrid w:val="0"/>
        <w:spacing w:line="360" w:lineRule="auto"/>
        <w:jc w:val="center"/>
        <w:rPr>
          <w:b/>
          <w:color w:val="auto"/>
          <w:sz w:val="28"/>
          <w:highlight w:val="none"/>
        </w:rPr>
      </w:pPr>
      <w:r>
        <w:rPr>
          <w:b/>
          <w:color w:val="auto"/>
          <w:sz w:val="28"/>
          <w:highlight w:val="none"/>
        </w:rPr>
        <w:t>否决投标条款一览表</w:t>
      </w:r>
    </w:p>
    <w:p>
      <w:pPr>
        <w:snapToGrid w:val="0"/>
        <w:spacing w:line="360" w:lineRule="auto"/>
        <w:ind w:firstLine="442" w:firstLineChars="200"/>
        <w:rPr>
          <w:b/>
          <w:bCs/>
          <w:color w:val="auto"/>
          <w:highlight w:val="none"/>
        </w:rPr>
      </w:pPr>
      <w:r>
        <w:rPr>
          <w:b/>
          <w:bCs/>
          <w:color w:val="auto"/>
          <w:highlight w:val="none"/>
        </w:rPr>
        <w:t>声明：以下所列条款为本招标文件的否决投标条款一览表，投标人应自行仔细阅读， 自行查阅对应条款，否则责任自负。</w:t>
      </w:r>
    </w:p>
    <w:tbl>
      <w:tblPr>
        <w:tblStyle w:val="9"/>
        <w:tblW w:w="5103" w:type="pct"/>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2663"/>
        <w:gridCol w:w="5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80" w:type="pct"/>
            <w:noWrap w:val="0"/>
            <w:vAlign w:val="top"/>
          </w:tcPr>
          <w:p>
            <w:pPr>
              <w:pStyle w:val="13"/>
              <w:spacing w:before="67"/>
              <w:ind w:left="123" w:right="114"/>
              <w:jc w:val="center"/>
              <w:rPr>
                <w:b/>
                <w:color w:val="auto"/>
                <w:sz w:val="21"/>
                <w:highlight w:val="none"/>
              </w:rPr>
            </w:pPr>
            <w:r>
              <w:rPr>
                <w:b/>
                <w:color w:val="auto"/>
                <w:sz w:val="21"/>
                <w:highlight w:val="none"/>
              </w:rPr>
              <w:t>序号</w:t>
            </w:r>
          </w:p>
        </w:tc>
        <w:tc>
          <w:tcPr>
            <w:tcW w:w="1568" w:type="pct"/>
            <w:noWrap w:val="0"/>
            <w:vAlign w:val="top"/>
          </w:tcPr>
          <w:p>
            <w:pPr>
              <w:pStyle w:val="13"/>
              <w:spacing w:before="67"/>
              <w:ind w:left="134" w:right="124"/>
              <w:jc w:val="center"/>
              <w:rPr>
                <w:b/>
                <w:color w:val="auto"/>
                <w:sz w:val="21"/>
                <w:highlight w:val="none"/>
              </w:rPr>
            </w:pPr>
            <w:r>
              <w:rPr>
                <w:b/>
                <w:color w:val="auto"/>
                <w:sz w:val="21"/>
                <w:highlight w:val="none"/>
              </w:rPr>
              <w:t>条款名称</w:t>
            </w:r>
          </w:p>
        </w:tc>
        <w:tc>
          <w:tcPr>
            <w:tcW w:w="3050" w:type="pct"/>
            <w:noWrap w:val="0"/>
            <w:vAlign w:val="top"/>
          </w:tcPr>
          <w:p>
            <w:pPr>
              <w:pStyle w:val="13"/>
              <w:spacing w:before="67"/>
              <w:ind w:left="2395" w:right="238" w:hanging="2395" w:hangingChars="1136"/>
              <w:jc w:val="center"/>
              <w:rPr>
                <w:b/>
                <w:color w:val="auto"/>
                <w:sz w:val="21"/>
                <w:highlight w:val="none"/>
              </w:rPr>
            </w:pPr>
            <w:r>
              <w:rPr>
                <w:b/>
                <w:color w:val="auto"/>
                <w:sz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80" w:type="pct"/>
            <w:noWrap w:val="0"/>
            <w:vAlign w:val="center"/>
          </w:tcPr>
          <w:p>
            <w:pPr>
              <w:pStyle w:val="13"/>
              <w:spacing w:before="76"/>
              <w:ind w:left="10"/>
              <w:jc w:val="center"/>
              <w:rPr>
                <w:color w:val="auto"/>
                <w:sz w:val="21"/>
                <w:highlight w:val="none"/>
              </w:rPr>
            </w:pPr>
            <w:r>
              <w:rPr>
                <w:color w:val="auto"/>
                <w:w w:val="99"/>
                <w:sz w:val="21"/>
                <w:highlight w:val="none"/>
              </w:rPr>
              <w:t>1</w:t>
            </w:r>
          </w:p>
        </w:tc>
        <w:tc>
          <w:tcPr>
            <w:tcW w:w="1568" w:type="pct"/>
            <w:noWrap w:val="0"/>
            <w:vAlign w:val="top"/>
          </w:tcPr>
          <w:p>
            <w:pPr>
              <w:pStyle w:val="13"/>
              <w:spacing w:before="76"/>
              <w:ind w:left="131" w:right="126"/>
              <w:jc w:val="center"/>
              <w:rPr>
                <w:color w:val="auto"/>
                <w:sz w:val="21"/>
                <w:highlight w:val="none"/>
              </w:rPr>
            </w:pPr>
            <w:r>
              <w:rPr>
                <w:color w:val="auto"/>
                <w:sz w:val="21"/>
                <w:highlight w:val="none"/>
              </w:rPr>
              <w:t>计划工期</w:t>
            </w:r>
          </w:p>
        </w:tc>
        <w:tc>
          <w:tcPr>
            <w:tcW w:w="3050" w:type="pct"/>
            <w:noWrap w:val="0"/>
            <w:vAlign w:val="center"/>
          </w:tcPr>
          <w:p>
            <w:pPr>
              <w:pStyle w:val="13"/>
              <w:spacing w:before="76"/>
              <w:ind w:left="106"/>
              <w:jc w:val="both"/>
              <w:rPr>
                <w:color w:val="auto"/>
                <w:sz w:val="21"/>
                <w:highlight w:val="none"/>
              </w:rPr>
            </w:pPr>
            <w:r>
              <w:rPr>
                <w:color w:val="auto"/>
                <w:sz w:val="21"/>
                <w:highlight w:val="none"/>
              </w:rPr>
              <w:t>详见投标人须知前附表“1.3.2 计划工期”相关内容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80" w:type="pct"/>
            <w:noWrap w:val="0"/>
            <w:vAlign w:val="center"/>
          </w:tcPr>
          <w:p>
            <w:pPr>
              <w:pStyle w:val="13"/>
              <w:spacing w:before="76"/>
              <w:ind w:left="10"/>
              <w:jc w:val="center"/>
              <w:rPr>
                <w:color w:val="auto"/>
                <w:w w:val="99"/>
                <w:sz w:val="21"/>
                <w:highlight w:val="none"/>
              </w:rPr>
            </w:pPr>
            <w:r>
              <w:rPr>
                <w:color w:val="auto"/>
                <w:w w:val="99"/>
                <w:sz w:val="21"/>
                <w:highlight w:val="none"/>
              </w:rPr>
              <w:t>2</w:t>
            </w:r>
          </w:p>
        </w:tc>
        <w:tc>
          <w:tcPr>
            <w:tcW w:w="1568" w:type="pct"/>
            <w:noWrap w:val="0"/>
            <w:vAlign w:val="top"/>
          </w:tcPr>
          <w:p>
            <w:pPr>
              <w:pStyle w:val="13"/>
              <w:spacing w:before="72"/>
              <w:ind w:left="131" w:right="126"/>
              <w:jc w:val="center"/>
              <w:rPr>
                <w:rFonts w:hint="eastAsia"/>
                <w:color w:val="auto"/>
                <w:sz w:val="21"/>
                <w:highlight w:val="none"/>
                <w:lang w:val="en-US"/>
              </w:rPr>
            </w:pPr>
            <w:r>
              <w:rPr>
                <w:color w:val="auto"/>
                <w:sz w:val="21"/>
                <w:highlight w:val="none"/>
              </w:rPr>
              <w:t>质量</w:t>
            </w:r>
            <w:r>
              <w:rPr>
                <w:rFonts w:hint="eastAsia"/>
                <w:color w:val="auto"/>
                <w:sz w:val="21"/>
                <w:highlight w:val="none"/>
                <w:lang w:val="en-US"/>
              </w:rPr>
              <w:t>要求</w:t>
            </w:r>
          </w:p>
        </w:tc>
        <w:tc>
          <w:tcPr>
            <w:tcW w:w="3050" w:type="pct"/>
            <w:noWrap w:val="0"/>
            <w:vAlign w:val="center"/>
          </w:tcPr>
          <w:p>
            <w:pPr>
              <w:pStyle w:val="13"/>
              <w:spacing w:before="72"/>
              <w:ind w:left="106"/>
              <w:jc w:val="both"/>
              <w:rPr>
                <w:color w:val="auto"/>
                <w:sz w:val="21"/>
                <w:highlight w:val="none"/>
              </w:rPr>
            </w:pPr>
            <w:r>
              <w:rPr>
                <w:color w:val="auto"/>
                <w:sz w:val="21"/>
                <w:highlight w:val="none"/>
              </w:rPr>
              <w:t>详见投标人须知前附表“1.3.3 质量标准”相关内容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80" w:type="pct"/>
            <w:noWrap w:val="0"/>
            <w:vAlign w:val="center"/>
          </w:tcPr>
          <w:p>
            <w:pPr>
              <w:pStyle w:val="13"/>
              <w:spacing w:before="76"/>
              <w:ind w:left="10"/>
              <w:jc w:val="center"/>
              <w:rPr>
                <w:color w:val="auto"/>
                <w:w w:val="99"/>
                <w:sz w:val="21"/>
                <w:highlight w:val="none"/>
              </w:rPr>
            </w:pPr>
            <w:r>
              <w:rPr>
                <w:color w:val="auto"/>
                <w:w w:val="99"/>
                <w:sz w:val="21"/>
                <w:highlight w:val="none"/>
              </w:rPr>
              <w:t>3</w:t>
            </w:r>
          </w:p>
        </w:tc>
        <w:tc>
          <w:tcPr>
            <w:tcW w:w="1568" w:type="pct"/>
            <w:noWrap w:val="0"/>
            <w:vAlign w:val="top"/>
          </w:tcPr>
          <w:p>
            <w:pPr>
              <w:pStyle w:val="13"/>
              <w:spacing w:before="74"/>
              <w:ind w:left="131" w:right="126"/>
              <w:jc w:val="center"/>
              <w:rPr>
                <w:color w:val="auto"/>
                <w:sz w:val="21"/>
                <w:highlight w:val="none"/>
              </w:rPr>
            </w:pPr>
            <w:r>
              <w:rPr>
                <w:color w:val="auto"/>
                <w:sz w:val="21"/>
                <w:highlight w:val="none"/>
              </w:rPr>
              <w:t>安全目标</w:t>
            </w:r>
          </w:p>
        </w:tc>
        <w:tc>
          <w:tcPr>
            <w:tcW w:w="3050" w:type="pct"/>
            <w:noWrap w:val="0"/>
            <w:vAlign w:val="center"/>
          </w:tcPr>
          <w:p>
            <w:pPr>
              <w:pStyle w:val="13"/>
              <w:spacing w:before="74"/>
              <w:ind w:left="106"/>
              <w:jc w:val="both"/>
              <w:rPr>
                <w:color w:val="auto"/>
                <w:sz w:val="21"/>
                <w:highlight w:val="none"/>
              </w:rPr>
            </w:pPr>
            <w:r>
              <w:rPr>
                <w:color w:val="auto"/>
                <w:sz w:val="21"/>
                <w:highlight w:val="none"/>
              </w:rPr>
              <w:t>详见投标人须知前附表“1.3.4 安全目标”相关内容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80" w:type="pct"/>
            <w:noWrap w:val="0"/>
            <w:vAlign w:val="center"/>
          </w:tcPr>
          <w:p>
            <w:pPr>
              <w:pStyle w:val="13"/>
              <w:spacing w:before="76"/>
              <w:ind w:left="10"/>
              <w:jc w:val="center"/>
              <w:rPr>
                <w:color w:val="auto"/>
                <w:w w:val="99"/>
                <w:sz w:val="21"/>
                <w:highlight w:val="none"/>
              </w:rPr>
            </w:pPr>
            <w:r>
              <w:rPr>
                <w:color w:val="auto"/>
                <w:w w:val="99"/>
                <w:sz w:val="21"/>
                <w:highlight w:val="none"/>
              </w:rPr>
              <w:t>4</w:t>
            </w:r>
          </w:p>
        </w:tc>
        <w:tc>
          <w:tcPr>
            <w:tcW w:w="1568" w:type="pct"/>
            <w:noWrap w:val="0"/>
            <w:vAlign w:val="top"/>
          </w:tcPr>
          <w:p>
            <w:pPr>
              <w:pStyle w:val="13"/>
              <w:spacing w:before="22"/>
              <w:ind w:left="134" w:right="126"/>
              <w:jc w:val="center"/>
              <w:rPr>
                <w:color w:val="auto"/>
                <w:sz w:val="21"/>
                <w:highlight w:val="none"/>
              </w:rPr>
            </w:pPr>
            <w:r>
              <w:rPr>
                <w:color w:val="auto"/>
                <w:sz w:val="21"/>
                <w:highlight w:val="none"/>
              </w:rPr>
              <w:t>投标人资格条件、能力</w:t>
            </w:r>
          </w:p>
          <w:p>
            <w:pPr>
              <w:pStyle w:val="13"/>
              <w:spacing w:before="43"/>
              <w:ind w:left="134" w:right="126"/>
              <w:jc w:val="center"/>
              <w:rPr>
                <w:color w:val="auto"/>
                <w:sz w:val="21"/>
                <w:highlight w:val="none"/>
              </w:rPr>
            </w:pPr>
            <w:r>
              <w:rPr>
                <w:color w:val="auto"/>
                <w:sz w:val="21"/>
                <w:highlight w:val="none"/>
              </w:rPr>
              <w:t>和信誉</w:t>
            </w:r>
          </w:p>
        </w:tc>
        <w:tc>
          <w:tcPr>
            <w:tcW w:w="3050" w:type="pct"/>
            <w:noWrap w:val="0"/>
            <w:vAlign w:val="center"/>
          </w:tcPr>
          <w:p>
            <w:pPr>
              <w:pStyle w:val="13"/>
              <w:spacing w:before="22"/>
              <w:ind w:left="106"/>
              <w:jc w:val="both"/>
              <w:rPr>
                <w:color w:val="auto"/>
                <w:sz w:val="21"/>
                <w:highlight w:val="none"/>
              </w:rPr>
            </w:pPr>
            <w:r>
              <w:rPr>
                <w:color w:val="auto"/>
                <w:sz w:val="21"/>
                <w:highlight w:val="none"/>
              </w:rPr>
              <w:t>详见投标人须知前附表“1.4.1 投标人资格条件、能力和信誉”相关内容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380" w:type="pct"/>
            <w:noWrap w:val="0"/>
            <w:vAlign w:val="center"/>
          </w:tcPr>
          <w:p>
            <w:pPr>
              <w:pStyle w:val="13"/>
              <w:spacing w:before="76"/>
              <w:ind w:left="10"/>
              <w:jc w:val="center"/>
              <w:rPr>
                <w:color w:val="auto"/>
                <w:w w:val="99"/>
                <w:sz w:val="21"/>
                <w:highlight w:val="none"/>
              </w:rPr>
            </w:pPr>
            <w:r>
              <w:rPr>
                <w:color w:val="auto"/>
                <w:w w:val="99"/>
                <w:sz w:val="21"/>
                <w:highlight w:val="none"/>
              </w:rPr>
              <w:t>5</w:t>
            </w:r>
          </w:p>
        </w:tc>
        <w:tc>
          <w:tcPr>
            <w:tcW w:w="1568" w:type="pct"/>
            <w:noWrap w:val="0"/>
            <w:vAlign w:val="top"/>
          </w:tcPr>
          <w:p>
            <w:pPr>
              <w:pStyle w:val="13"/>
              <w:spacing w:before="74"/>
              <w:ind w:left="134" w:right="124"/>
              <w:jc w:val="center"/>
              <w:rPr>
                <w:color w:val="auto"/>
                <w:sz w:val="21"/>
                <w:highlight w:val="none"/>
              </w:rPr>
            </w:pPr>
            <w:r>
              <w:rPr>
                <w:color w:val="auto"/>
                <w:sz w:val="21"/>
                <w:highlight w:val="none"/>
              </w:rPr>
              <w:t>是否接受联合体投标</w:t>
            </w:r>
          </w:p>
        </w:tc>
        <w:tc>
          <w:tcPr>
            <w:tcW w:w="3050" w:type="pct"/>
            <w:noWrap w:val="0"/>
            <w:vAlign w:val="center"/>
          </w:tcPr>
          <w:p>
            <w:pPr>
              <w:pStyle w:val="13"/>
              <w:spacing w:before="74"/>
              <w:ind w:left="106"/>
              <w:jc w:val="both"/>
              <w:rPr>
                <w:color w:val="auto"/>
                <w:sz w:val="21"/>
                <w:highlight w:val="none"/>
              </w:rPr>
            </w:pPr>
            <w:r>
              <w:rPr>
                <w:color w:val="auto"/>
                <w:sz w:val="21"/>
                <w:highlight w:val="none"/>
              </w:rPr>
              <w:t>详见投标人须知“1.4.2 是否接受联合体投标”相关内容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80" w:type="pct"/>
            <w:noWrap w:val="0"/>
            <w:vAlign w:val="center"/>
          </w:tcPr>
          <w:p>
            <w:pPr>
              <w:pStyle w:val="13"/>
              <w:spacing w:before="76"/>
              <w:ind w:left="10"/>
              <w:jc w:val="center"/>
              <w:rPr>
                <w:color w:val="auto"/>
                <w:w w:val="99"/>
                <w:sz w:val="21"/>
                <w:highlight w:val="none"/>
              </w:rPr>
            </w:pPr>
            <w:r>
              <w:rPr>
                <w:color w:val="auto"/>
                <w:w w:val="99"/>
                <w:sz w:val="21"/>
                <w:highlight w:val="none"/>
              </w:rPr>
              <w:t>6</w:t>
            </w:r>
          </w:p>
        </w:tc>
        <w:tc>
          <w:tcPr>
            <w:tcW w:w="1568" w:type="pct"/>
            <w:noWrap w:val="0"/>
            <w:vAlign w:val="top"/>
          </w:tcPr>
          <w:p>
            <w:pPr>
              <w:pStyle w:val="13"/>
              <w:spacing w:before="21"/>
              <w:ind w:left="134" w:right="126"/>
              <w:jc w:val="center"/>
              <w:rPr>
                <w:color w:val="auto"/>
                <w:sz w:val="21"/>
                <w:highlight w:val="none"/>
              </w:rPr>
            </w:pPr>
            <w:r>
              <w:rPr>
                <w:color w:val="auto"/>
                <w:sz w:val="21"/>
                <w:highlight w:val="none"/>
              </w:rPr>
              <w:t>投标人不得存在的其他</w:t>
            </w:r>
          </w:p>
          <w:p>
            <w:pPr>
              <w:pStyle w:val="13"/>
              <w:spacing w:before="43"/>
              <w:ind w:left="131" w:right="126"/>
              <w:jc w:val="center"/>
              <w:rPr>
                <w:color w:val="auto"/>
                <w:sz w:val="21"/>
                <w:highlight w:val="none"/>
              </w:rPr>
            </w:pPr>
            <w:r>
              <w:rPr>
                <w:color w:val="auto"/>
                <w:sz w:val="21"/>
                <w:highlight w:val="none"/>
              </w:rPr>
              <w:t>关联情形</w:t>
            </w:r>
          </w:p>
        </w:tc>
        <w:tc>
          <w:tcPr>
            <w:tcW w:w="3050" w:type="pct"/>
            <w:noWrap w:val="0"/>
            <w:vAlign w:val="center"/>
          </w:tcPr>
          <w:p>
            <w:pPr>
              <w:pStyle w:val="13"/>
              <w:spacing w:before="21"/>
              <w:ind w:left="106"/>
              <w:jc w:val="both"/>
              <w:rPr>
                <w:color w:val="auto"/>
                <w:sz w:val="21"/>
                <w:highlight w:val="none"/>
              </w:rPr>
            </w:pPr>
            <w:r>
              <w:rPr>
                <w:color w:val="auto"/>
                <w:sz w:val="21"/>
                <w:highlight w:val="none"/>
              </w:rPr>
              <w:t>详见投标人须知“1.4.3 投标人不得存在的其他关联情形”相关内容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80" w:type="pct"/>
            <w:noWrap w:val="0"/>
            <w:vAlign w:val="center"/>
          </w:tcPr>
          <w:p>
            <w:pPr>
              <w:pStyle w:val="13"/>
              <w:spacing w:before="76"/>
              <w:ind w:left="10"/>
              <w:jc w:val="center"/>
              <w:rPr>
                <w:color w:val="auto"/>
                <w:w w:val="99"/>
                <w:sz w:val="21"/>
                <w:highlight w:val="none"/>
              </w:rPr>
            </w:pPr>
            <w:r>
              <w:rPr>
                <w:color w:val="auto"/>
                <w:w w:val="99"/>
                <w:sz w:val="21"/>
                <w:highlight w:val="none"/>
              </w:rPr>
              <w:t>7</w:t>
            </w:r>
          </w:p>
        </w:tc>
        <w:tc>
          <w:tcPr>
            <w:tcW w:w="1568" w:type="pct"/>
            <w:noWrap w:val="0"/>
            <w:vAlign w:val="top"/>
          </w:tcPr>
          <w:p>
            <w:pPr>
              <w:pStyle w:val="13"/>
              <w:spacing w:before="176"/>
              <w:ind w:left="134" w:leftChars="0" w:right="126" w:rightChars="0"/>
              <w:jc w:val="center"/>
              <w:rPr>
                <w:color w:val="auto"/>
                <w:sz w:val="21"/>
                <w:highlight w:val="none"/>
              </w:rPr>
            </w:pPr>
            <w:r>
              <w:rPr>
                <w:color w:val="auto"/>
                <w:sz w:val="21"/>
                <w:highlight w:val="none"/>
              </w:rPr>
              <w:t>工程量清单的填写方式</w:t>
            </w:r>
          </w:p>
        </w:tc>
        <w:tc>
          <w:tcPr>
            <w:tcW w:w="3050" w:type="pct"/>
            <w:noWrap w:val="0"/>
            <w:vAlign w:val="center"/>
          </w:tcPr>
          <w:p>
            <w:pPr>
              <w:pStyle w:val="13"/>
              <w:spacing w:before="21"/>
              <w:ind w:left="106" w:leftChars="0"/>
              <w:jc w:val="both"/>
              <w:rPr>
                <w:color w:val="auto"/>
                <w:sz w:val="21"/>
                <w:highlight w:val="none"/>
              </w:rPr>
            </w:pPr>
            <w:r>
              <w:rPr>
                <w:color w:val="auto"/>
                <w:sz w:val="21"/>
                <w:highlight w:val="none"/>
              </w:rPr>
              <w:t>详见投标人须知前附表“3.2.1 工程量清单的填写方式”及“需要补充的其他内容 3.2.1”的相关内容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80" w:type="pct"/>
            <w:noWrap w:val="0"/>
            <w:vAlign w:val="center"/>
          </w:tcPr>
          <w:p>
            <w:pPr>
              <w:pStyle w:val="13"/>
              <w:spacing w:before="76"/>
              <w:ind w:left="10"/>
              <w:jc w:val="center"/>
              <w:rPr>
                <w:color w:val="auto"/>
                <w:w w:val="99"/>
                <w:sz w:val="21"/>
                <w:highlight w:val="none"/>
              </w:rPr>
            </w:pPr>
            <w:r>
              <w:rPr>
                <w:color w:val="auto"/>
                <w:w w:val="99"/>
                <w:sz w:val="21"/>
                <w:highlight w:val="none"/>
              </w:rPr>
              <w:t>8</w:t>
            </w:r>
          </w:p>
        </w:tc>
        <w:tc>
          <w:tcPr>
            <w:tcW w:w="1568" w:type="pct"/>
            <w:noWrap w:val="0"/>
            <w:vAlign w:val="top"/>
          </w:tcPr>
          <w:p>
            <w:pPr>
              <w:pStyle w:val="13"/>
              <w:spacing w:before="75"/>
              <w:ind w:left="134" w:leftChars="0" w:right="126" w:rightChars="0"/>
              <w:jc w:val="center"/>
              <w:rPr>
                <w:color w:val="auto"/>
                <w:sz w:val="21"/>
                <w:highlight w:val="none"/>
              </w:rPr>
            </w:pPr>
            <w:r>
              <w:rPr>
                <w:color w:val="auto"/>
                <w:sz w:val="21"/>
                <w:highlight w:val="none"/>
              </w:rPr>
              <w:t>最高投标限价</w:t>
            </w:r>
          </w:p>
        </w:tc>
        <w:tc>
          <w:tcPr>
            <w:tcW w:w="3050" w:type="pct"/>
            <w:noWrap w:val="0"/>
            <w:vAlign w:val="center"/>
          </w:tcPr>
          <w:p>
            <w:pPr>
              <w:pStyle w:val="13"/>
              <w:spacing w:before="75"/>
              <w:ind w:left="106" w:leftChars="0"/>
              <w:jc w:val="both"/>
              <w:rPr>
                <w:color w:val="auto"/>
                <w:sz w:val="21"/>
                <w:highlight w:val="none"/>
              </w:rPr>
            </w:pPr>
            <w:r>
              <w:rPr>
                <w:color w:val="auto"/>
                <w:sz w:val="21"/>
                <w:highlight w:val="none"/>
              </w:rPr>
              <w:t>详见投标人须知前附表“3.2.8 最高投标限价”相关内容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80" w:type="pct"/>
            <w:noWrap w:val="0"/>
            <w:vAlign w:val="center"/>
          </w:tcPr>
          <w:p>
            <w:pPr>
              <w:pStyle w:val="13"/>
              <w:spacing w:before="76"/>
              <w:ind w:left="10"/>
              <w:jc w:val="center"/>
              <w:rPr>
                <w:color w:val="auto"/>
                <w:w w:val="99"/>
                <w:sz w:val="21"/>
                <w:highlight w:val="none"/>
              </w:rPr>
            </w:pPr>
            <w:r>
              <w:rPr>
                <w:color w:val="auto"/>
                <w:w w:val="99"/>
                <w:sz w:val="21"/>
                <w:highlight w:val="none"/>
              </w:rPr>
              <w:t>9</w:t>
            </w:r>
          </w:p>
        </w:tc>
        <w:tc>
          <w:tcPr>
            <w:tcW w:w="1568" w:type="pct"/>
            <w:noWrap w:val="0"/>
            <w:vAlign w:val="top"/>
          </w:tcPr>
          <w:p>
            <w:pPr>
              <w:pStyle w:val="13"/>
              <w:spacing w:before="77"/>
              <w:ind w:left="134" w:leftChars="0" w:right="124" w:rightChars="0"/>
              <w:jc w:val="center"/>
              <w:rPr>
                <w:color w:val="auto"/>
                <w:sz w:val="21"/>
                <w:highlight w:val="none"/>
              </w:rPr>
            </w:pPr>
            <w:r>
              <w:rPr>
                <w:color w:val="auto"/>
                <w:sz w:val="21"/>
                <w:highlight w:val="none"/>
              </w:rPr>
              <w:t>投标保证金</w:t>
            </w:r>
          </w:p>
        </w:tc>
        <w:tc>
          <w:tcPr>
            <w:tcW w:w="3050" w:type="pct"/>
            <w:noWrap w:val="0"/>
            <w:vAlign w:val="center"/>
          </w:tcPr>
          <w:p>
            <w:pPr>
              <w:pStyle w:val="13"/>
              <w:spacing w:before="77"/>
              <w:ind w:left="106" w:leftChars="0"/>
              <w:jc w:val="both"/>
              <w:rPr>
                <w:color w:val="auto"/>
                <w:sz w:val="21"/>
                <w:highlight w:val="none"/>
              </w:rPr>
            </w:pPr>
            <w:r>
              <w:rPr>
                <w:color w:val="auto"/>
                <w:sz w:val="21"/>
                <w:highlight w:val="none"/>
              </w:rPr>
              <w:t>详见投标人须知“3.4.1 投标保证金”相关内容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80" w:type="pct"/>
            <w:noWrap w:val="0"/>
            <w:vAlign w:val="center"/>
          </w:tcPr>
          <w:p>
            <w:pPr>
              <w:pStyle w:val="13"/>
              <w:spacing w:before="76"/>
              <w:ind w:left="10" w:right="0"/>
              <w:jc w:val="center"/>
              <w:rPr>
                <w:color w:val="auto"/>
                <w:w w:val="99"/>
                <w:sz w:val="21"/>
                <w:highlight w:val="none"/>
              </w:rPr>
            </w:pPr>
            <w:r>
              <w:rPr>
                <w:color w:val="auto"/>
                <w:w w:val="99"/>
                <w:sz w:val="21"/>
                <w:highlight w:val="none"/>
              </w:rPr>
              <w:t>10</w:t>
            </w:r>
          </w:p>
        </w:tc>
        <w:tc>
          <w:tcPr>
            <w:tcW w:w="1568" w:type="pct"/>
            <w:noWrap w:val="0"/>
            <w:vAlign w:val="top"/>
          </w:tcPr>
          <w:p>
            <w:pPr>
              <w:pStyle w:val="13"/>
              <w:spacing w:before="20"/>
              <w:ind w:left="134" w:right="126"/>
              <w:jc w:val="center"/>
              <w:rPr>
                <w:color w:val="auto"/>
                <w:sz w:val="21"/>
                <w:highlight w:val="none"/>
              </w:rPr>
            </w:pPr>
            <w:r>
              <w:rPr>
                <w:color w:val="auto"/>
                <w:sz w:val="21"/>
                <w:highlight w:val="none"/>
              </w:rPr>
              <w:t>资格预审文件或投标文</w:t>
            </w:r>
          </w:p>
          <w:p>
            <w:pPr>
              <w:pStyle w:val="13"/>
              <w:spacing w:before="43"/>
              <w:ind w:left="134" w:leftChars="0" w:right="126" w:rightChars="0"/>
              <w:jc w:val="center"/>
              <w:rPr>
                <w:color w:val="auto"/>
                <w:sz w:val="21"/>
                <w:highlight w:val="none"/>
              </w:rPr>
            </w:pPr>
            <w:r>
              <w:rPr>
                <w:color w:val="auto"/>
                <w:sz w:val="21"/>
                <w:highlight w:val="none"/>
              </w:rPr>
              <w:t>件提供的资料</w:t>
            </w:r>
          </w:p>
        </w:tc>
        <w:tc>
          <w:tcPr>
            <w:tcW w:w="3050" w:type="pct"/>
            <w:noWrap w:val="0"/>
            <w:vAlign w:val="center"/>
          </w:tcPr>
          <w:p>
            <w:pPr>
              <w:pStyle w:val="13"/>
              <w:spacing w:before="176"/>
              <w:ind w:left="106" w:leftChars="0"/>
              <w:jc w:val="both"/>
              <w:rPr>
                <w:color w:val="auto"/>
                <w:sz w:val="21"/>
                <w:highlight w:val="none"/>
              </w:rPr>
            </w:pPr>
            <w:r>
              <w:rPr>
                <w:color w:val="auto"/>
                <w:sz w:val="21"/>
                <w:highlight w:val="none"/>
              </w:rPr>
              <w:t>详见投标人须知“3.5.11”相关内容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80" w:type="pct"/>
            <w:noWrap w:val="0"/>
            <w:vAlign w:val="center"/>
          </w:tcPr>
          <w:p>
            <w:pPr>
              <w:pStyle w:val="13"/>
              <w:spacing w:before="76"/>
              <w:ind w:left="10" w:leftChars="0" w:right="0" w:rightChars="0"/>
              <w:jc w:val="center"/>
              <w:rPr>
                <w:rFonts w:hint="default" w:eastAsia="宋体"/>
                <w:color w:val="auto"/>
                <w:w w:val="99"/>
                <w:sz w:val="21"/>
                <w:highlight w:val="none"/>
                <w:lang w:eastAsia="zh-CN"/>
              </w:rPr>
            </w:pPr>
            <w:r>
              <w:rPr>
                <w:color w:val="auto"/>
                <w:w w:val="99"/>
                <w:sz w:val="21"/>
                <w:highlight w:val="none"/>
              </w:rPr>
              <w:t>11</w:t>
            </w:r>
          </w:p>
        </w:tc>
        <w:tc>
          <w:tcPr>
            <w:tcW w:w="1568" w:type="pct"/>
            <w:noWrap w:val="0"/>
            <w:vAlign w:val="top"/>
          </w:tcPr>
          <w:p>
            <w:pPr>
              <w:pStyle w:val="13"/>
              <w:spacing w:before="75"/>
              <w:ind w:left="134" w:leftChars="0" w:right="126" w:rightChars="0"/>
              <w:jc w:val="center"/>
              <w:rPr>
                <w:color w:val="auto"/>
                <w:sz w:val="21"/>
                <w:highlight w:val="none"/>
              </w:rPr>
            </w:pPr>
            <w:r>
              <w:rPr>
                <w:rFonts w:hint="eastAsia"/>
                <w:color w:val="auto"/>
                <w:sz w:val="21"/>
                <w:szCs w:val="21"/>
                <w:highlight w:val="none"/>
                <w:lang w:val="en-US"/>
              </w:rPr>
              <w:t>投标文件的签名及盖章要求</w:t>
            </w:r>
          </w:p>
        </w:tc>
        <w:tc>
          <w:tcPr>
            <w:tcW w:w="3050" w:type="pct"/>
            <w:noWrap w:val="0"/>
            <w:vAlign w:val="center"/>
          </w:tcPr>
          <w:p>
            <w:pPr>
              <w:pStyle w:val="13"/>
              <w:spacing w:before="75"/>
              <w:ind w:left="106" w:leftChars="0"/>
              <w:jc w:val="both"/>
              <w:rPr>
                <w:color w:val="auto"/>
                <w:sz w:val="21"/>
                <w:highlight w:val="none"/>
              </w:rPr>
            </w:pPr>
            <w:r>
              <w:rPr>
                <w:color w:val="auto"/>
                <w:sz w:val="21"/>
                <w:highlight w:val="none"/>
              </w:rPr>
              <w:t>详见投标人须知“</w:t>
            </w:r>
            <w:r>
              <w:rPr>
                <w:rFonts w:hint="eastAsia"/>
                <w:color w:val="auto"/>
                <w:sz w:val="21"/>
                <w:highlight w:val="none"/>
                <w:lang w:val="en-US"/>
              </w:rPr>
              <w:t>3.7.3</w:t>
            </w:r>
            <w:r>
              <w:rPr>
                <w:color w:val="auto"/>
                <w:sz w:val="21"/>
                <w:highlight w:val="none"/>
              </w:rPr>
              <w:t xml:space="preserve"> </w:t>
            </w:r>
            <w:r>
              <w:rPr>
                <w:rFonts w:hint="eastAsia"/>
                <w:color w:val="auto"/>
                <w:sz w:val="21"/>
                <w:szCs w:val="21"/>
                <w:highlight w:val="none"/>
                <w:lang w:val="en-US"/>
              </w:rPr>
              <w:t>投标文件的签名及盖章要求</w:t>
            </w:r>
            <w:r>
              <w:rPr>
                <w:color w:val="auto"/>
                <w:sz w:val="21"/>
                <w:highlight w:val="none"/>
              </w:rPr>
              <w:t>”相关内容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80" w:type="pct"/>
            <w:noWrap w:val="0"/>
            <w:vAlign w:val="center"/>
          </w:tcPr>
          <w:p>
            <w:pPr>
              <w:pStyle w:val="13"/>
              <w:spacing w:before="76"/>
              <w:ind w:left="10" w:leftChars="0" w:right="0" w:rightChars="0"/>
              <w:jc w:val="center"/>
              <w:rPr>
                <w:rFonts w:hint="default" w:eastAsia="宋体"/>
                <w:color w:val="auto"/>
                <w:w w:val="99"/>
                <w:sz w:val="21"/>
                <w:highlight w:val="none"/>
                <w:lang w:eastAsia="zh-CN"/>
              </w:rPr>
            </w:pPr>
            <w:r>
              <w:rPr>
                <w:color w:val="auto"/>
                <w:w w:val="99"/>
                <w:sz w:val="21"/>
                <w:highlight w:val="none"/>
              </w:rPr>
              <w:t>12</w:t>
            </w:r>
          </w:p>
        </w:tc>
        <w:tc>
          <w:tcPr>
            <w:tcW w:w="1568" w:type="pct"/>
            <w:noWrap w:val="0"/>
            <w:vAlign w:val="top"/>
          </w:tcPr>
          <w:p>
            <w:pPr>
              <w:pStyle w:val="13"/>
              <w:spacing w:before="77"/>
              <w:ind w:left="134" w:leftChars="0" w:right="126" w:rightChars="0"/>
              <w:jc w:val="center"/>
              <w:rPr>
                <w:color w:val="auto"/>
                <w:sz w:val="21"/>
                <w:highlight w:val="none"/>
              </w:rPr>
            </w:pPr>
            <w:r>
              <w:rPr>
                <w:color w:val="auto"/>
                <w:sz w:val="21"/>
                <w:highlight w:val="none"/>
              </w:rPr>
              <w:t>投标文件及其他要求</w:t>
            </w:r>
          </w:p>
        </w:tc>
        <w:tc>
          <w:tcPr>
            <w:tcW w:w="3050" w:type="pct"/>
            <w:noWrap w:val="0"/>
            <w:vAlign w:val="center"/>
          </w:tcPr>
          <w:p>
            <w:pPr>
              <w:pStyle w:val="13"/>
              <w:spacing w:before="77"/>
              <w:ind w:left="106" w:leftChars="0"/>
              <w:jc w:val="both"/>
              <w:rPr>
                <w:color w:val="auto"/>
                <w:sz w:val="21"/>
                <w:highlight w:val="none"/>
              </w:rPr>
            </w:pPr>
            <w:r>
              <w:rPr>
                <w:color w:val="auto"/>
                <w:sz w:val="21"/>
                <w:highlight w:val="none"/>
              </w:rPr>
              <w:t>详见投标人须知 “3.7.4 投标文件及其他要求”相关内容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80" w:type="pct"/>
            <w:noWrap w:val="0"/>
            <w:vAlign w:val="center"/>
          </w:tcPr>
          <w:p>
            <w:pPr>
              <w:pStyle w:val="13"/>
              <w:spacing w:before="76"/>
              <w:ind w:left="10" w:leftChars="0" w:right="0" w:rightChars="0"/>
              <w:jc w:val="center"/>
              <w:rPr>
                <w:rFonts w:hint="default" w:eastAsia="宋体"/>
                <w:color w:val="auto"/>
                <w:w w:val="99"/>
                <w:sz w:val="21"/>
                <w:highlight w:val="none"/>
                <w:lang w:eastAsia="zh-CN"/>
              </w:rPr>
            </w:pPr>
            <w:r>
              <w:rPr>
                <w:color w:val="auto"/>
                <w:w w:val="99"/>
                <w:sz w:val="21"/>
                <w:highlight w:val="none"/>
              </w:rPr>
              <w:t>1</w:t>
            </w:r>
            <w:r>
              <w:rPr>
                <w:rFonts w:hint="default"/>
                <w:color w:val="auto"/>
                <w:w w:val="99"/>
                <w:sz w:val="21"/>
                <w:highlight w:val="none"/>
                <w:lang w:val="en-US" w:eastAsia="zh-CN"/>
              </w:rPr>
              <w:t>3</w:t>
            </w:r>
          </w:p>
        </w:tc>
        <w:tc>
          <w:tcPr>
            <w:tcW w:w="1568" w:type="pct"/>
            <w:noWrap w:val="0"/>
            <w:vAlign w:val="top"/>
          </w:tcPr>
          <w:p>
            <w:pPr>
              <w:pStyle w:val="13"/>
              <w:spacing w:before="75"/>
              <w:ind w:left="134" w:leftChars="0" w:right="126" w:rightChars="0"/>
              <w:jc w:val="center"/>
              <w:rPr>
                <w:color w:val="auto"/>
                <w:sz w:val="21"/>
                <w:highlight w:val="none"/>
              </w:rPr>
            </w:pPr>
            <w:r>
              <w:rPr>
                <w:color w:val="auto"/>
                <w:sz w:val="21"/>
                <w:highlight w:val="none"/>
              </w:rPr>
              <w:t>开标时间和地点</w:t>
            </w:r>
          </w:p>
        </w:tc>
        <w:tc>
          <w:tcPr>
            <w:tcW w:w="3050" w:type="pct"/>
            <w:noWrap w:val="0"/>
            <w:vAlign w:val="center"/>
          </w:tcPr>
          <w:p>
            <w:pPr>
              <w:pStyle w:val="13"/>
              <w:spacing w:before="75"/>
              <w:ind w:left="106" w:leftChars="0"/>
              <w:jc w:val="both"/>
              <w:rPr>
                <w:color w:val="auto"/>
                <w:sz w:val="21"/>
                <w:highlight w:val="none"/>
              </w:rPr>
            </w:pPr>
            <w:r>
              <w:rPr>
                <w:color w:val="auto"/>
                <w:sz w:val="21"/>
                <w:highlight w:val="none"/>
              </w:rPr>
              <w:t>详见投标人须知前附表“5.1 开标时间和地点”相关内容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80" w:type="pct"/>
            <w:noWrap w:val="0"/>
            <w:vAlign w:val="center"/>
          </w:tcPr>
          <w:p>
            <w:pPr>
              <w:pStyle w:val="13"/>
              <w:spacing w:before="76"/>
              <w:ind w:left="10" w:leftChars="0" w:right="0" w:rightChars="0"/>
              <w:jc w:val="center"/>
              <w:rPr>
                <w:rFonts w:hint="default" w:eastAsia="宋体"/>
                <w:color w:val="auto"/>
                <w:w w:val="99"/>
                <w:sz w:val="21"/>
                <w:highlight w:val="none"/>
                <w:lang w:eastAsia="zh-CN"/>
              </w:rPr>
            </w:pPr>
            <w:r>
              <w:rPr>
                <w:color w:val="auto"/>
                <w:w w:val="99"/>
                <w:sz w:val="21"/>
                <w:highlight w:val="none"/>
              </w:rPr>
              <w:t>1</w:t>
            </w:r>
            <w:r>
              <w:rPr>
                <w:rFonts w:hint="default"/>
                <w:color w:val="auto"/>
                <w:w w:val="99"/>
                <w:sz w:val="21"/>
                <w:highlight w:val="none"/>
                <w:lang w:val="en-US" w:eastAsia="zh-CN"/>
              </w:rPr>
              <w:t>4</w:t>
            </w:r>
          </w:p>
        </w:tc>
        <w:tc>
          <w:tcPr>
            <w:tcW w:w="1568" w:type="pct"/>
            <w:noWrap w:val="0"/>
            <w:vAlign w:val="top"/>
          </w:tcPr>
          <w:p>
            <w:pPr>
              <w:pStyle w:val="13"/>
              <w:spacing w:before="77"/>
              <w:ind w:left="134" w:leftChars="0" w:right="126" w:rightChars="0"/>
              <w:jc w:val="center"/>
              <w:rPr>
                <w:color w:val="auto"/>
                <w:sz w:val="21"/>
                <w:highlight w:val="none"/>
              </w:rPr>
            </w:pPr>
            <w:r>
              <w:rPr>
                <w:color w:val="auto"/>
                <w:sz w:val="21"/>
                <w:highlight w:val="none"/>
              </w:rPr>
              <w:t>资格审查条件</w:t>
            </w:r>
          </w:p>
        </w:tc>
        <w:tc>
          <w:tcPr>
            <w:tcW w:w="3050" w:type="pct"/>
            <w:noWrap w:val="0"/>
            <w:vAlign w:val="center"/>
          </w:tcPr>
          <w:p>
            <w:pPr>
              <w:pStyle w:val="13"/>
              <w:spacing w:before="77"/>
              <w:ind w:left="106" w:leftChars="0"/>
              <w:jc w:val="both"/>
              <w:rPr>
                <w:color w:val="auto"/>
                <w:sz w:val="21"/>
                <w:highlight w:val="none"/>
              </w:rPr>
            </w:pPr>
            <w:r>
              <w:rPr>
                <w:color w:val="auto"/>
                <w:sz w:val="21"/>
                <w:highlight w:val="none"/>
              </w:rPr>
              <w:t xml:space="preserve">详见投标人须知前附表“附录 1 至附录 </w:t>
            </w:r>
            <w:r>
              <w:rPr>
                <w:rFonts w:hint="eastAsia"/>
                <w:color w:val="auto"/>
                <w:sz w:val="21"/>
                <w:highlight w:val="none"/>
                <w:lang w:val="en-US" w:eastAsia="zh-CN"/>
              </w:rPr>
              <w:t>7</w:t>
            </w:r>
            <w:r>
              <w:rPr>
                <w:color w:val="auto"/>
                <w:sz w:val="21"/>
                <w:highlight w:val="none"/>
              </w:rPr>
              <w:t>”相关内容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80" w:type="pct"/>
            <w:noWrap w:val="0"/>
            <w:vAlign w:val="center"/>
          </w:tcPr>
          <w:p>
            <w:pPr>
              <w:pStyle w:val="13"/>
              <w:spacing w:before="76"/>
              <w:ind w:left="10" w:leftChars="0" w:right="0" w:rightChars="0"/>
              <w:jc w:val="center"/>
              <w:rPr>
                <w:rFonts w:hint="default" w:eastAsia="宋体"/>
                <w:color w:val="auto"/>
                <w:w w:val="99"/>
                <w:sz w:val="21"/>
                <w:highlight w:val="none"/>
                <w:lang w:eastAsia="zh-CN"/>
              </w:rPr>
            </w:pPr>
            <w:r>
              <w:rPr>
                <w:color w:val="auto"/>
                <w:w w:val="99"/>
                <w:sz w:val="21"/>
                <w:highlight w:val="none"/>
              </w:rPr>
              <w:t>1</w:t>
            </w:r>
            <w:r>
              <w:rPr>
                <w:rFonts w:hint="default"/>
                <w:color w:val="auto"/>
                <w:w w:val="99"/>
                <w:sz w:val="21"/>
                <w:highlight w:val="none"/>
                <w:lang w:val="en-US" w:eastAsia="zh-CN"/>
              </w:rPr>
              <w:t>5</w:t>
            </w:r>
          </w:p>
        </w:tc>
        <w:tc>
          <w:tcPr>
            <w:tcW w:w="1568" w:type="pct"/>
            <w:noWrap w:val="0"/>
            <w:vAlign w:val="top"/>
          </w:tcPr>
          <w:p>
            <w:pPr>
              <w:pStyle w:val="13"/>
              <w:spacing w:before="21"/>
              <w:ind w:left="134" w:right="126"/>
              <w:jc w:val="center"/>
              <w:rPr>
                <w:color w:val="auto"/>
                <w:sz w:val="21"/>
                <w:highlight w:val="none"/>
              </w:rPr>
            </w:pPr>
            <w:r>
              <w:rPr>
                <w:color w:val="auto"/>
                <w:sz w:val="21"/>
                <w:highlight w:val="none"/>
              </w:rPr>
              <w:t>形式评审与响应性评审</w:t>
            </w:r>
          </w:p>
          <w:p>
            <w:pPr>
              <w:pStyle w:val="13"/>
              <w:spacing w:before="43"/>
              <w:ind w:left="134" w:leftChars="0" w:right="126" w:rightChars="0"/>
              <w:jc w:val="center"/>
              <w:rPr>
                <w:color w:val="auto"/>
                <w:sz w:val="21"/>
                <w:highlight w:val="none"/>
              </w:rPr>
            </w:pPr>
            <w:r>
              <w:rPr>
                <w:color w:val="auto"/>
                <w:sz w:val="21"/>
                <w:highlight w:val="none"/>
              </w:rPr>
              <w:t>标准</w:t>
            </w:r>
          </w:p>
        </w:tc>
        <w:tc>
          <w:tcPr>
            <w:tcW w:w="3050" w:type="pct"/>
            <w:noWrap w:val="0"/>
            <w:vAlign w:val="center"/>
          </w:tcPr>
          <w:p>
            <w:pPr>
              <w:pStyle w:val="13"/>
              <w:spacing w:before="21"/>
              <w:ind w:left="106" w:leftChars="0" w:right="-15" w:rightChars="0"/>
              <w:jc w:val="both"/>
              <w:rPr>
                <w:color w:val="auto"/>
                <w:sz w:val="21"/>
                <w:highlight w:val="none"/>
              </w:rPr>
            </w:pPr>
            <w:r>
              <w:rPr>
                <w:color w:val="auto"/>
                <w:spacing w:val="-6"/>
                <w:sz w:val="21"/>
                <w:highlight w:val="none"/>
              </w:rPr>
              <w:t>详见评标办法前附表“</w:t>
            </w:r>
            <w:r>
              <w:rPr>
                <w:color w:val="auto"/>
                <w:sz w:val="21"/>
                <w:highlight w:val="none"/>
              </w:rPr>
              <w:t>2.1.1-2.1.3</w:t>
            </w:r>
            <w:r>
              <w:rPr>
                <w:color w:val="auto"/>
                <w:spacing w:val="-9"/>
                <w:sz w:val="21"/>
                <w:highlight w:val="none"/>
              </w:rPr>
              <w:t xml:space="preserve"> 形式评审与响应性评审标准”</w:t>
            </w:r>
            <w:r>
              <w:rPr>
                <w:color w:val="auto"/>
                <w:sz w:val="21"/>
                <w:highlight w:val="none"/>
              </w:rPr>
              <w:t>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80" w:type="pct"/>
            <w:noWrap w:val="0"/>
            <w:vAlign w:val="center"/>
          </w:tcPr>
          <w:p>
            <w:pPr>
              <w:pStyle w:val="13"/>
              <w:spacing w:before="76"/>
              <w:ind w:left="10" w:leftChars="0" w:right="0" w:rightChars="0"/>
              <w:jc w:val="center"/>
              <w:rPr>
                <w:rFonts w:hint="default" w:eastAsia="宋体"/>
                <w:color w:val="auto"/>
                <w:w w:val="99"/>
                <w:sz w:val="21"/>
                <w:highlight w:val="none"/>
                <w:lang w:eastAsia="zh-CN"/>
              </w:rPr>
            </w:pPr>
            <w:r>
              <w:rPr>
                <w:color w:val="auto"/>
                <w:w w:val="99"/>
                <w:sz w:val="21"/>
                <w:highlight w:val="none"/>
              </w:rPr>
              <w:t>1</w:t>
            </w:r>
            <w:r>
              <w:rPr>
                <w:rFonts w:hint="default"/>
                <w:color w:val="auto"/>
                <w:w w:val="99"/>
                <w:sz w:val="21"/>
                <w:highlight w:val="none"/>
                <w:lang w:val="en-US" w:eastAsia="zh-CN"/>
              </w:rPr>
              <w:t>6</w:t>
            </w:r>
          </w:p>
        </w:tc>
        <w:tc>
          <w:tcPr>
            <w:tcW w:w="1568" w:type="pct"/>
            <w:noWrap w:val="0"/>
            <w:vAlign w:val="top"/>
          </w:tcPr>
          <w:p>
            <w:pPr>
              <w:pStyle w:val="13"/>
              <w:spacing w:before="76"/>
              <w:ind w:left="134" w:leftChars="0" w:right="126" w:rightChars="0"/>
              <w:jc w:val="center"/>
              <w:rPr>
                <w:color w:val="auto"/>
                <w:sz w:val="21"/>
                <w:highlight w:val="none"/>
              </w:rPr>
            </w:pPr>
            <w:r>
              <w:rPr>
                <w:color w:val="auto"/>
                <w:sz w:val="21"/>
                <w:highlight w:val="none"/>
              </w:rPr>
              <w:t>资格评审标准</w:t>
            </w:r>
          </w:p>
        </w:tc>
        <w:tc>
          <w:tcPr>
            <w:tcW w:w="3050" w:type="pct"/>
            <w:noWrap w:val="0"/>
            <w:vAlign w:val="center"/>
          </w:tcPr>
          <w:p>
            <w:pPr>
              <w:pStyle w:val="13"/>
              <w:spacing w:before="76"/>
              <w:ind w:left="106" w:leftChars="0"/>
              <w:jc w:val="both"/>
              <w:rPr>
                <w:color w:val="auto"/>
                <w:sz w:val="21"/>
                <w:highlight w:val="none"/>
              </w:rPr>
            </w:pPr>
            <w:r>
              <w:rPr>
                <w:color w:val="auto"/>
                <w:sz w:val="21"/>
                <w:highlight w:val="none"/>
              </w:rPr>
              <w:t>详见评标办法前附表“2.1.2 资格评审标准”相关内容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80" w:type="pct"/>
            <w:noWrap w:val="0"/>
            <w:vAlign w:val="center"/>
          </w:tcPr>
          <w:p>
            <w:pPr>
              <w:pStyle w:val="13"/>
              <w:spacing w:before="76"/>
              <w:ind w:left="10" w:leftChars="0" w:right="0" w:rightChars="0"/>
              <w:jc w:val="center"/>
              <w:rPr>
                <w:rFonts w:hint="default" w:eastAsia="宋体"/>
                <w:color w:val="auto"/>
                <w:w w:val="99"/>
                <w:sz w:val="21"/>
                <w:highlight w:val="none"/>
                <w:lang w:val="en-US" w:eastAsia="zh-CN"/>
              </w:rPr>
            </w:pPr>
            <w:r>
              <w:rPr>
                <w:color w:val="auto"/>
                <w:w w:val="99"/>
                <w:sz w:val="21"/>
                <w:highlight w:val="none"/>
              </w:rPr>
              <w:t>1</w:t>
            </w:r>
            <w:r>
              <w:rPr>
                <w:rFonts w:hint="default"/>
                <w:color w:val="auto"/>
                <w:w w:val="99"/>
                <w:sz w:val="21"/>
                <w:highlight w:val="none"/>
                <w:lang w:val="en-US" w:eastAsia="zh-CN"/>
              </w:rPr>
              <w:t>7</w:t>
            </w:r>
          </w:p>
        </w:tc>
        <w:tc>
          <w:tcPr>
            <w:tcW w:w="1568" w:type="pct"/>
            <w:noWrap w:val="0"/>
            <w:vAlign w:val="top"/>
          </w:tcPr>
          <w:p>
            <w:pPr>
              <w:pStyle w:val="13"/>
              <w:spacing w:before="77"/>
              <w:ind w:left="134" w:leftChars="0" w:right="124" w:rightChars="0"/>
              <w:jc w:val="center"/>
              <w:rPr>
                <w:color w:val="auto"/>
                <w:sz w:val="21"/>
                <w:highlight w:val="none"/>
              </w:rPr>
            </w:pPr>
            <w:r>
              <w:rPr>
                <w:color w:val="auto"/>
                <w:sz w:val="21"/>
                <w:highlight w:val="none"/>
              </w:rPr>
              <w:t>第一个信封初步评审</w:t>
            </w:r>
          </w:p>
        </w:tc>
        <w:tc>
          <w:tcPr>
            <w:tcW w:w="3050" w:type="pct"/>
            <w:noWrap w:val="0"/>
            <w:vAlign w:val="center"/>
          </w:tcPr>
          <w:p>
            <w:pPr>
              <w:pStyle w:val="13"/>
              <w:spacing w:before="77"/>
              <w:ind w:left="106" w:leftChars="0"/>
              <w:jc w:val="both"/>
              <w:rPr>
                <w:color w:val="auto"/>
                <w:sz w:val="21"/>
                <w:highlight w:val="none"/>
              </w:rPr>
            </w:pPr>
            <w:r>
              <w:rPr>
                <w:color w:val="auto"/>
                <w:sz w:val="21"/>
                <w:highlight w:val="none"/>
              </w:rPr>
              <w:t>详见评标办法正文“2.1.1</w:t>
            </w:r>
            <w:r>
              <w:rPr>
                <w:rFonts w:hint="eastAsia"/>
                <w:color w:val="auto"/>
                <w:sz w:val="21"/>
                <w:highlight w:val="none"/>
                <w:lang w:eastAsia="zh-CN"/>
              </w:rPr>
              <w:t>、</w:t>
            </w:r>
            <w:r>
              <w:rPr>
                <w:color w:val="auto"/>
                <w:sz w:val="21"/>
                <w:highlight w:val="none"/>
              </w:rPr>
              <w:t>2.1.3 形式评审与响应性评审标准”相关内容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80" w:type="pct"/>
            <w:noWrap w:val="0"/>
            <w:vAlign w:val="center"/>
          </w:tcPr>
          <w:p>
            <w:pPr>
              <w:pStyle w:val="13"/>
              <w:spacing w:before="76"/>
              <w:ind w:left="10" w:leftChars="0" w:right="0" w:rightChars="0"/>
              <w:jc w:val="center"/>
              <w:rPr>
                <w:rFonts w:hint="default" w:eastAsia="宋体"/>
                <w:color w:val="auto"/>
                <w:w w:val="99"/>
                <w:sz w:val="21"/>
                <w:highlight w:val="none"/>
                <w:lang w:eastAsia="zh-CN"/>
              </w:rPr>
            </w:pPr>
            <w:r>
              <w:rPr>
                <w:color w:val="auto"/>
                <w:w w:val="99"/>
                <w:sz w:val="21"/>
                <w:highlight w:val="none"/>
              </w:rPr>
              <w:t>1</w:t>
            </w:r>
            <w:r>
              <w:rPr>
                <w:rFonts w:hint="default"/>
                <w:color w:val="auto"/>
                <w:w w:val="99"/>
                <w:sz w:val="21"/>
                <w:highlight w:val="none"/>
                <w:lang w:val="en-US" w:eastAsia="zh-CN"/>
              </w:rPr>
              <w:t>8</w:t>
            </w:r>
          </w:p>
        </w:tc>
        <w:tc>
          <w:tcPr>
            <w:tcW w:w="1568" w:type="pct"/>
            <w:noWrap w:val="0"/>
            <w:vAlign w:val="top"/>
          </w:tcPr>
          <w:p>
            <w:pPr>
              <w:pStyle w:val="13"/>
              <w:spacing w:before="76"/>
              <w:ind w:left="134" w:leftChars="0" w:right="124" w:rightChars="0"/>
              <w:jc w:val="center"/>
              <w:rPr>
                <w:color w:val="auto"/>
                <w:sz w:val="21"/>
                <w:highlight w:val="none"/>
              </w:rPr>
            </w:pPr>
            <w:r>
              <w:rPr>
                <w:color w:val="auto"/>
                <w:sz w:val="21"/>
                <w:highlight w:val="none"/>
              </w:rPr>
              <w:t>第二个信封初步评审</w:t>
            </w:r>
          </w:p>
        </w:tc>
        <w:tc>
          <w:tcPr>
            <w:tcW w:w="3050" w:type="pct"/>
            <w:noWrap w:val="0"/>
            <w:vAlign w:val="center"/>
          </w:tcPr>
          <w:p>
            <w:pPr>
              <w:pStyle w:val="13"/>
              <w:spacing w:before="76"/>
              <w:ind w:left="106" w:leftChars="0"/>
              <w:jc w:val="both"/>
              <w:rPr>
                <w:color w:val="auto"/>
                <w:sz w:val="21"/>
                <w:highlight w:val="none"/>
              </w:rPr>
            </w:pPr>
            <w:r>
              <w:rPr>
                <w:color w:val="auto"/>
                <w:sz w:val="21"/>
                <w:highlight w:val="none"/>
              </w:rPr>
              <w:t>见评标办法正文“2.1.1</w:t>
            </w:r>
            <w:r>
              <w:rPr>
                <w:rFonts w:hint="eastAsia"/>
                <w:color w:val="auto"/>
                <w:sz w:val="21"/>
                <w:highlight w:val="none"/>
                <w:lang w:eastAsia="zh-CN"/>
              </w:rPr>
              <w:t>、</w:t>
            </w:r>
            <w:r>
              <w:rPr>
                <w:color w:val="auto"/>
                <w:sz w:val="21"/>
                <w:highlight w:val="none"/>
              </w:rPr>
              <w:t>2.1.3 形式评审与响应性评审标准”相关内容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80" w:type="pct"/>
            <w:noWrap w:val="0"/>
            <w:vAlign w:val="center"/>
          </w:tcPr>
          <w:p>
            <w:pPr>
              <w:pStyle w:val="13"/>
              <w:spacing w:before="76"/>
              <w:ind w:left="10" w:leftChars="0" w:right="0" w:rightChars="0"/>
              <w:jc w:val="center"/>
              <w:rPr>
                <w:rFonts w:hint="default" w:eastAsia="宋体"/>
                <w:color w:val="auto"/>
                <w:w w:val="99"/>
                <w:sz w:val="21"/>
                <w:highlight w:val="none"/>
                <w:lang w:eastAsia="zh-CN"/>
              </w:rPr>
            </w:pPr>
            <w:r>
              <w:rPr>
                <w:rFonts w:hint="default"/>
                <w:color w:val="auto"/>
                <w:w w:val="99"/>
                <w:sz w:val="21"/>
                <w:highlight w:val="none"/>
                <w:lang w:val="en-US" w:eastAsia="zh-CN"/>
              </w:rPr>
              <w:t>19</w:t>
            </w:r>
          </w:p>
        </w:tc>
        <w:tc>
          <w:tcPr>
            <w:tcW w:w="1568" w:type="pct"/>
            <w:noWrap w:val="0"/>
            <w:vAlign w:val="top"/>
          </w:tcPr>
          <w:p>
            <w:pPr>
              <w:pStyle w:val="13"/>
              <w:snapToGrid w:val="0"/>
              <w:spacing w:line="360" w:lineRule="auto"/>
              <w:jc w:val="center"/>
              <w:rPr>
                <w:color w:val="auto"/>
                <w:sz w:val="21"/>
                <w:highlight w:val="none"/>
              </w:rPr>
            </w:pPr>
            <w:r>
              <w:rPr>
                <w:color w:val="auto"/>
                <w:sz w:val="21"/>
                <w:highlight w:val="none"/>
              </w:rPr>
              <w:t>第二个信封详细评审</w:t>
            </w:r>
          </w:p>
        </w:tc>
        <w:tc>
          <w:tcPr>
            <w:tcW w:w="3050" w:type="pct"/>
            <w:noWrap w:val="0"/>
            <w:vAlign w:val="center"/>
          </w:tcPr>
          <w:p>
            <w:pPr>
              <w:pStyle w:val="13"/>
              <w:snapToGrid w:val="0"/>
              <w:spacing w:line="360" w:lineRule="auto"/>
              <w:jc w:val="both"/>
              <w:rPr>
                <w:color w:val="auto"/>
                <w:sz w:val="21"/>
                <w:highlight w:val="none"/>
              </w:rPr>
            </w:pPr>
            <w:r>
              <w:rPr>
                <w:color w:val="auto"/>
                <w:sz w:val="21"/>
                <w:highlight w:val="none"/>
              </w:rPr>
              <w:t>详见评标办法正文“</w:t>
            </w:r>
            <w:r>
              <w:rPr>
                <w:rFonts w:hint="eastAsia"/>
                <w:color w:val="auto"/>
                <w:sz w:val="21"/>
                <w:highlight w:val="none"/>
              </w:rPr>
              <w:t>2.2.</w:t>
            </w:r>
            <w:r>
              <w:rPr>
                <w:rFonts w:hint="eastAsia"/>
                <w:color w:val="auto"/>
                <w:sz w:val="21"/>
                <w:highlight w:val="none"/>
                <w:lang w:val="en-US" w:eastAsia="zh-CN"/>
              </w:rPr>
              <w:t>2</w:t>
            </w:r>
            <w:r>
              <w:rPr>
                <w:color w:val="auto"/>
                <w:sz w:val="21"/>
                <w:highlight w:val="none"/>
              </w:rPr>
              <w:t xml:space="preserve"> 第二个信封详细评审”相关内容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80" w:type="pct"/>
            <w:noWrap w:val="0"/>
            <w:vAlign w:val="center"/>
          </w:tcPr>
          <w:p>
            <w:pPr>
              <w:pStyle w:val="13"/>
              <w:spacing w:before="76"/>
              <w:ind w:left="10" w:leftChars="0" w:right="0" w:rightChars="0"/>
              <w:jc w:val="center"/>
              <w:rPr>
                <w:rFonts w:hint="default" w:eastAsia="宋体"/>
                <w:color w:val="auto"/>
                <w:w w:val="99"/>
                <w:sz w:val="21"/>
                <w:highlight w:val="none"/>
                <w:lang w:eastAsia="zh-CN"/>
              </w:rPr>
            </w:pPr>
            <w:r>
              <w:rPr>
                <w:color w:val="auto"/>
                <w:w w:val="99"/>
                <w:sz w:val="21"/>
                <w:highlight w:val="none"/>
              </w:rPr>
              <w:t>2</w:t>
            </w:r>
            <w:r>
              <w:rPr>
                <w:rFonts w:hint="default"/>
                <w:color w:val="auto"/>
                <w:w w:val="99"/>
                <w:sz w:val="21"/>
                <w:highlight w:val="none"/>
                <w:lang w:val="en-US" w:eastAsia="zh-CN"/>
              </w:rPr>
              <w:t>0</w:t>
            </w:r>
          </w:p>
        </w:tc>
        <w:tc>
          <w:tcPr>
            <w:tcW w:w="1568" w:type="pct"/>
            <w:noWrap w:val="0"/>
            <w:vAlign w:val="top"/>
          </w:tcPr>
          <w:p>
            <w:pPr>
              <w:pStyle w:val="13"/>
              <w:snapToGrid w:val="0"/>
              <w:spacing w:line="360" w:lineRule="auto"/>
              <w:ind w:firstLine="420" w:firstLineChars="200"/>
              <w:jc w:val="center"/>
              <w:rPr>
                <w:color w:val="auto"/>
                <w:sz w:val="21"/>
                <w:highlight w:val="none"/>
              </w:rPr>
            </w:pPr>
            <w:r>
              <w:rPr>
                <w:rFonts w:hint="eastAsia"/>
                <w:color w:val="auto"/>
                <w:sz w:val="21"/>
                <w:highlight w:val="none"/>
                <w:lang w:val="en-US" w:eastAsia="zh-CN"/>
              </w:rPr>
              <w:t>投</w:t>
            </w:r>
            <w:r>
              <w:rPr>
                <w:color w:val="auto"/>
                <w:sz w:val="21"/>
                <w:highlight w:val="none"/>
              </w:rPr>
              <w:t>标文件相关信息的核查</w:t>
            </w:r>
          </w:p>
        </w:tc>
        <w:tc>
          <w:tcPr>
            <w:tcW w:w="3050" w:type="pct"/>
            <w:noWrap w:val="0"/>
            <w:vAlign w:val="center"/>
          </w:tcPr>
          <w:p>
            <w:pPr>
              <w:pStyle w:val="13"/>
              <w:snapToGrid w:val="0"/>
              <w:spacing w:line="360" w:lineRule="auto"/>
              <w:jc w:val="both"/>
              <w:rPr>
                <w:color w:val="auto"/>
                <w:sz w:val="21"/>
                <w:highlight w:val="none"/>
              </w:rPr>
            </w:pPr>
            <w:r>
              <w:rPr>
                <w:color w:val="auto"/>
                <w:sz w:val="21"/>
                <w:highlight w:val="none"/>
              </w:rPr>
              <w:t>详见评标办法正文“3.6 投标文件相关信息的核查”相关内容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80" w:type="pct"/>
            <w:noWrap w:val="0"/>
            <w:vAlign w:val="center"/>
          </w:tcPr>
          <w:p>
            <w:pPr>
              <w:pStyle w:val="13"/>
              <w:spacing w:before="76"/>
              <w:ind w:left="10" w:leftChars="0" w:right="0" w:rightChars="0"/>
              <w:jc w:val="center"/>
              <w:rPr>
                <w:rFonts w:hint="default" w:eastAsia="宋体"/>
                <w:color w:val="auto"/>
                <w:w w:val="99"/>
                <w:sz w:val="21"/>
                <w:highlight w:val="none"/>
                <w:lang w:eastAsia="zh-CN"/>
              </w:rPr>
            </w:pPr>
            <w:r>
              <w:rPr>
                <w:color w:val="auto"/>
                <w:w w:val="99"/>
                <w:sz w:val="21"/>
                <w:highlight w:val="none"/>
              </w:rPr>
              <w:t>2</w:t>
            </w:r>
            <w:r>
              <w:rPr>
                <w:rFonts w:hint="default"/>
                <w:color w:val="auto"/>
                <w:w w:val="99"/>
                <w:sz w:val="21"/>
                <w:highlight w:val="none"/>
                <w:lang w:val="en-US" w:eastAsia="zh-CN"/>
              </w:rPr>
              <w:t>1</w:t>
            </w:r>
          </w:p>
        </w:tc>
        <w:tc>
          <w:tcPr>
            <w:tcW w:w="1568" w:type="pct"/>
            <w:noWrap w:val="0"/>
            <w:vAlign w:val="top"/>
          </w:tcPr>
          <w:p>
            <w:pPr>
              <w:pStyle w:val="13"/>
              <w:snapToGrid w:val="0"/>
              <w:spacing w:line="360" w:lineRule="auto"/>
              <w:ind w:firstLine="420" w:firstLineChars="200"/>
              <w:jc w:val="center"/>
              <w:rPr>
                <w:color w:val="auto"/>
                <w:sz w:val="21"/>
                <w:highlight w:val="none"/>
              </w:rPr>
            </w:pPr>
            <w:r>
              <w:rPr>
                <w:color w:val="auto"/>
                <w:sz w:val="21"/>
                <w:highlight w:val="none"/>
              </w:rPr>
              <w:t>投标文件的澄清和说明</w:t>
            </w:r>
          </w:p>
        </w:tc>
        <w:tc>
          <w:tcPr>
            <w:tcW w:w="3050" w:type="pct"/>
            <w:noWrap w:val="0"/>
            <w:vAlign w:val="center"/>
          </w:tcPr>
          <w:p>
            <w:pPr>
              <w:pStyle w:val="13"/>
              <w:snapToGrid w:val="0"/>
              <w:spacing w:line="360" w:lineRule="auto"/>
              <w:jc w:val="both"/>
              <w:rPr>
                <w:color w:val="auto"/>
                <w:sz w:val="21"/>
                <w:highlight w:val="none"/>
              </w:rPr>
            </w:pPr>
            <w:r>
              <w:rPr>
                <w:color w:val="auto"/>
                <w:sz w:val="21"/>
                <w:highlight w:val="none"/>
              </w:rPr>
              <w:t>详见评标办法正文“3.7 投标文件的澄清和说明”相关内容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80" w:type="pct"/>
            <w:noWrap w:val="0"/>
            <w:vAlign w:val="center"/>
          </w:tcPr>
          <w:p>
            <w:pPr>
              <w:pStyle w:val="13"/>
              <w:spacing w:before="76"/>
              <w:ind w:left="10" w:leftChars="0" w:right="0" w:rightChars="0"/>
              <w:jc w:val="center"/>
              <w:rPr>
                <w:color w:val="auto"/>
                <w:w w:val="99"/>
                <w:sz w:val="21"/>
                <w:highlight w:val="none"/>
              </w:rPr>
            </w:pPr>
            <w:r>
              <w:rPr>
                <w:color w:val="auto"/>
                <w:w w:val="99"/>
                <w:sz w:val="21"/>
                <w:highlight w:val="none"/>
              </w:rPr>
              <w:t>2</w:t>
            </w:r>
            <w:r>
              <w:rPr>
                <w:rFonts w:hint="default"/>
                <w:color w:val="auto"/>
                <w:w w:val="99"/>
                <w:sz w:val="21"/>
                <w:highlight w:val="none"/>
                <w:lang w:val="en-US" w:eastAsia="zh-CN"/>
              </w:rPr>
              <w:t>2</w:t>
            </w:r>
          </w:p>
        </w:tc>
        <w:tc>
          <w:tcPr>
            <w:tcW w:w="1568" w:type="pct"/>
            <w:noWrap w:val="0"/>
            <w:vAlign w:val="top"/>
          </w:tcPr>
          <w:p>
            <w:pPr>
              <w:pStyle w:val="13"/>
              <w:snapToGrid w:val="0"/>
              <w:spacing w:line="360" w:lineRule="auto"/>
              <w:ind w:firstLine="420" w:firstLineChars="200"/>
              <w:jc w:val="center"/>
              <w:rPr>
                <w:color w:val="auto"/>
                <w:sz w:val="21"/>
                <w:highlight w:val="none"/>
              </w:rPr>
            </w:pPr>
            <w:r>
              <w:rPr>
                <w:color w:val="auto"/>
                <w:sz w:val="21"/>
                <w:highlight w:val="none"/>
              </w:rPr>
              <w:t>其他规定</w:t>
            </w:r>
          </w:p>
        </w:tc>
        <w:tc>
          <w:tcPr>
            <w:tcW w:w="3050" w:type="pct"/>
            <w:noWrap w:val="0"/>
            <w:vAlign w:val="center"/>
          </w:tcPr>
          <w:p>
            <w:pPr>
              <w:pStyle w:val="13"/>
              <w:snapToGrid w:val="0"/>
              <w:spacing w:line="360" w:lineRule="auto"/>
              <w:jc w:val="both"/>
              <w:rPr>
                <w:color w:val="auto"/>
                <w:sz w:val="21"/>
                <w:highlight w:val="none"/>
              </w:rPr>
            </w:pPr>
            <w:r>
              <w:rPr>
                <w:color w:val="auto"/>
                <w:sz w:val="21"/>
                <w:highlight w:val="none"/>
              </w:rPr>
              <w:t>法律、行政法规规定的应当否决投标人投标的其他事项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80" w:type="pct"/>
            <w:noWrap w:val="0"/>
            <w:vAlign w:val="center"/>
          </w:tcPr>
          <w:p>
            <w:pPr>
              <w:pStyle w:val="13"/>
              <w:spacing w:before="76"/>
              <w:ind w:left="10" w:leftChars="0" w:right="0" w:rightChars="0"/>
              <w:jc w:val="center"/>
              <w:rPr>
                <w:color w:val="auto"/>
                <w:w w:val="99"/>
                <w:sz w:val="21"/>
                <w:highlight w:val="none"/>
              </w:rPr>
            </w:pPr>
            <w:r>
              <w:rPr>
                <w:color w:val="auto"/>
                <w:w w:val="99"/>
                <w:sz w:val="21"/>
                <w:highlight w:val="none"/>
              </w:rPr>
              <w:t>2</w:t>
            </w:r>
            <w:r>
              <w:rPr>
                <w:rFonts w:hint="default"/>
                <w:color w:val="auto"/>
                <w:w w:val="99"/>
                <w:sz w:val="21"/>
                <w:highlight w:val="none"/>
                <w:lang w:val="en-US" w:eastAsia="zh-CN"/>
              </w:rPr>
              <w:t>3</w:t>
            </w:r>
          </w:p>
        </w:tc>
        <w:tc>
          <w:tcPr>
            <w:tcW w:w="1568" w:type="pct"/>
            <w:noWrap w:val="0"/>
            <w:vAlign w:val="top"/>
          </w:tcPr>
          <w:p>
            <w:pPr>
              <w:pStyle w:val="13"/>
              <w:snapToGrid w:val="0"/>
              <w:spacing w:line="360" w:lineRule="auto"/>
              <w:ind w:firstLine="420" w:firstLineChars="200"/>
              <w:jc w:val="center"/>
              <w:rPr>
                <w:color w:val="auto"/>
                <w:sz w:val="21"/>
                <w:highlight w:val="none"/>
              </w:rPr>
            </w:pPr>
            <w:r>
              <w:rPr>
                <w:rFonts w:hint="eastAsia"/>
                <w:color w:val="auto"/>
                <w:sz w:val="21"/>
                <w:highlight w:val="none"/>
                <w:lang w:val="en-US"/>
              </w:rPr>
              <w:t>投标人承诺书</w:t>
            </w:r>
          </w:p>
        </w:tc>
        <w:tc>
          <w:tcPr>
            <w:tcW w:w="3050" w:type="pct"/>
            <w:noWrap w:val="0"/>
            <w:vAlign w:val="center"/>
          </w:tcPr>
          <w:p>
            <w:pPr>
              <w:pStyle w:val="13"/>
              <w:snapToGrid w:val="0"/>
              <w:spacing w:line="360" w:lineRule="auto"/>
              <w:jc w:val="both"/>
              <w:rPr>
                <w:color w:val="auto"/>
                <w:sz w:val="21"/>
                <w:highlight w:val="none"/>
              </w:rPr>
            </w:pPr>
            <w:r>
              <w:rPr>
                <w:rFonts w:hint="eastAsia"/>
                <w:color w:val="auto"/>
                <w:sz w:val="21"/>
                <w:highlight w:val="none"/>
                <w:lang w:val="en-US"/>
              </w:rPr>
              <w:t>详见投标文件格式“投标人承诺书”要求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80" w:type="pct"/>
            <w:noWrap w:val="0"/>
            <w:vAlign w:val="center"/>
          </w:tcPr>
          <w:p>
            <w:pPr>
              <w:pStyle w:val="13"/>
              <w:snapToGrid/>
              <w:spacing w:before="76" w:line="240" w:lineRule="auto"/>
              <w:ind w:left="10"/>
              <w:jc w:val="center"/>
              <w:rPr>
                <w:color w:val="auto"/>
                <w:w w:val="99"/>
                <w:sz w:val="21"/>
                <w:highlight w:val="none"/>
              </w:rPr>
            </w:pPr>
            <w:r>
              <w:rPr>
                <w:color w:val="auto"/>
                <w:w w:val="99"/>
                <w:sz w:val="21"/>
                <w:highlight w:val="none"/>
              </w:rPr>
              <w:t>24</w:t>
            </w:r>
          </w:p>
        </w:tc>
        <w:tc>
          <w:tcPr>
            <w:tcW w:w="1568" w:type="pct"/>
            <w:noWrap w:val="0"/>
            <w:vAlign w:val="center"/>
          </w:tcPr>
          <w:p>
            <w:pPr>
              <w:spacing w:line="276" w:lineRule="auto"/>
              <w:jc w:val="center"/>
              <w:rPr>
                <w:color w:val="auto"/>
                <w:sz w:val="21"/>
                <w:highlight w:val="none"/>
              </w:rPr>
            </w:pPr>
            <w:r>
              <w:rPr>
                <w:rFonts w:hint="eastAsia"/>
                <w:color w:val="auto"/>
                <w:sz w:val="21"/>
                <w:szCs w:val="21"/>
                <w:highlight w:val="none"/>
              </w:rPr>
              <w:t>其他</w:t>
            </w:r>
          </w:p>
        </w:tc>
        <w:tc>
          <w:tcPr>
            <w:tcW w:w="3050" w:type="pct"/>
            <w:noWrap w:val="0"/>
            <w:vAlign w:val="center"/>
          </w:tcPr>
          <w:p>
            <w:pPr>
              <w:spacing w:line="276" w:lineRule="auto"/>
              <w:jc w:val="both"/>
              <w:rPr>
                <w:color w:val="auto"/>
                <w:sz w:val="21"/>
                <w:highlight w:val="none"/>
              </w:rPr>
            </w:pPr>
            <w:r>
              <w:rPr>
                <w:rFonts w:hint="eastAsia"/>
                <w:color w:val="auto"/>
                <w:sz w:val="21"/>
                <w:szCs w:val="21"/>
                <w:highlight w:val="none"/>
              </w:rPr>
              <w:t>经云浮市公共资源交易服务平台检测投标文件存在同一投标网络IP地址一致的。</w:t>
            </w:r>
          </w:p>
        </w:tc>
      </w:tr>
    </w:tbl>
    <w:p>
      <w:r>
        <w:rPr>
          <w:rFonts w:hint="eastAsia"/>
          <w:color w:val="auto"/>
          <w:sz w:val="21"/>
          <w:highlight w:val="none"/>
          <w:lang w:val="en-US"/>
        </w:rPr>
        <w:t>声明：招标人在本表中集中载明可能导致否决投标的条款，投标人应仔细阅读并理解本招标文件相应条文，否则责任自负。</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BD51D"/>
    <w:multiLevelType w:val="singleLevel"/>
    <w:tmpl w:val="8C1BD51D"/>
    <w:lvl w:ilvl="0" w:tentative="0">
      <w:start w:val="1"/>
      <w:numFmt w:val="decimal"/>
      <w:suff w:val="nothing"/>
      <w:lvlText w:val="（%1）"/>
      <w:lvlJc w:val="left"/>
    </w:lvl>
  </w:abstractNum>
  <w:abstractNum w:abstractNumId="1">
    <w:nsid w:val="9C30CB51"/>
    <w:multiLevelType w:val="singleLevel"/>
    <w:tmpl w:val="9C30CB51"/>
    <w:lvl w:ilvl="0" w:tentative="0">
      <w:start w:val="2"/>
      <w:numFmt w:val="chineseCounting"/>
      <w:suff w:val="nothing"/>
      <w:lvlText w:val="第%1章、"/>
      <w:lvlJc w:val="left"/>
      <w:rPr>
        <w:rFonts w:hint="eastAsia"/>
      </w:rPr>
    </w:lvl>
  </w:abstractNum>
  <w:abstractNum w:abstractNumId="2">
    <w:nsid w:val="358740FB"/>
    <w:multiLevelType w:val="multilevel"/>
    <w:tmpl w:val="358740FB"/>
    <w:lvl w:ilvl="0" w:tentative="0">
      <w:start w:val="3"/>
      <w:numFmt w:val="decimal"/>
      <w:lvlText w:val="%1"/>
      <w:lvlJc w:val="left"/>
      <w:pPr>
        <w:ind w:left="227" w:hanging="576"/>
        <w:jc w:val="left"/>
      </w:pPr>
      <w:rPr>
        <w:rFonts w:hint="default"/>
        <w:lang w:val="en-US" w:eastAsia="zh-CN" w:bidi="ar-SA"/>
      </w:rPr>
    </w:lvl>
    <w:lvl w:ilvl="1" w:tentative="0">
      <w:start w:val="9"/>
      <w:numFmt w:val="decimal"/>
      <w:lvlText w:val="%1.%2"/>
      <w:lvlJc w:val="left"/>
      <w:pPr>
        <w:ind w:left="227" w:hanging="576"/>
        <w:jc w:val="left"/>
      </w:pPr>
      <w:rPr>
        <w:rFonts w:hint="default"/>
        <w:lang w:val="en-US" w:eastAsia="zh-CN" w:bidi="ar-SA"/>
      </w:rPr>
    </w:lvl>
    <w:lvl w:ilvl="2" w:tentative="0">
      <w:start w:val="6"/>
      <w:numFmt w:val="decimal"/>
      <w:lvlText w:val="%1.%2.%3"/>
      <w:lvlJc w:val="left"/>
      <w:pPr>
        <w:ind w:left="227" w:hanging="576"/>
        <w:jc w:val="left"/>
      </w:pPr>
      <w:rPr>
        <w:rFonts w:hint="default"/>
        <w:spacing w:val="-2"/>
        <w:w w:val="99"/>
        <w:lang w:val="en-US" w:eastAsia="zh-CN" w:bidi="ar-SA"/>
      </w:rPr>
    </w:lvl>
    <w:lvl w:ilvl="3" w:tentative="0">
      <w:start w:val="0"/>
      <w:numFmt w:val="bullet"/>
      <w:lvlText w:val="•"/>
      <w:lvlJc w:val="left"/>
      <w:pPr>
        <w:ind w:left="2576" w:hanging="576"/>
      </w:pPr>
      <w:rPr>
        <w:rFonts w:hint="default"/>
        <w:lang w:val="en-US" w:eastAsia="zh-CN" w:bidi="ar-SA"/>
      </w:rPr>
    </w:lvl>
    <w:lvl w:ilvl="4" w:tentative="0">
      <w:start w:val="0"/>
      <w:numFmt w:val="bullet"/>
      <w:lvlText w:val="•"/>
      <w:lvlJc w:val="left"/>
      <w:pPr>
        <w:ind w:left="3362" w:hanging="576"/>
      </w:pPr>
      <w:rPr>
        <w:rFonts w:hint="default"/>
        <w:lang w:val="en-US" w:eastAsia="zh-CN" w:bidi="ar-SA"/>
      </w:rPr>
    </w:lvl>
    <w:lvl w:ilvl="5" w:tentative="0">
      <w:start w:val="0"/>
      <w:numFmt w:val="bullet"/>
      <w:lvlText w:val="•"/>
      <w:lvlJc w:val="left"/>
      <w:pPr>
        <w:ind w:left="4147" w:hanging="576"/>
      </w:pPr>
      <w:rPr>
        <w:rFonts w:hint="default"/>
        <w:lang w:val="en-US" w:eastAsia="zh-CN" w:bidi="ar-SA"/>
      </w:rPr>
    </w:lvl>
    <w:lvl w:ilvl="6" w:tentative="0">
      <w:start w:val="0"/>
      <w:numFmt w:val="bullet"/>
      <w:lvlText w:val="•"/>
      <w:lvlJc w:val="left"/>
      <w:pPr>
        <w:ind w:left="4933" w:hanging="576"/>
      </w:pPr>
      <w:rPr>
        <w:rFonts w:hint="default"/>
        <w:lang w:val="en-US" w:eastAsia="zh-CN" w:bidi="ar-SA"/>
      </w:rPr>
    </w:lvl>
    <w:lvl w:ilvl="7" w:tentative="0">
      <w:start w:val="0"/>
      <w:numFmt w:val="bullet"/>
      <w:lvlText w:val="•"/>
      <w:lvlJc w:val="left"/>
      <w:pPr>
        <w:ind w:left="5718" w:hanging="576"/>
      </w:pPr>
      <w:rPr>
        <w:rFonts w:hint="default"/>
        <w:lang w:val="en-US" w:eastAsia="zh-CN" w:bidi="ar-SA"/>
      </w:rPr>
    </w:lvl>
    <w:lvl w:ilvl="8" w:tentative="0">
      <w:start w:val="0"/>
      <w:numFmt w:val="bullet"/>
      <w:lvlText w:val="•"/>
      <w:lvlJc w:val="left"/>
      <w:pPr>
        <w:ind w:left="6504" w:hanging="576"/>
      </w:pPr>
      <w:rPr>
        <w:rFonts w:hint="default"/>
        <w:lang w:val="en-US" w:eastAsia="zh-CN" w:bidi="ar-SA"/>
      </w:rPr>
    </w:lvl>
  </w:abstractNum>
  <w:abstractNum w:abstractNumId="3">
    <w:nsid w:val="3CE96695"/>
    <w:multiLevelType w:val="multilevel"/>
    <w:tmpl w:val="3CE96695"/>
    <w:lvl w:ilvl="0" w:tentative="0">
      <w:start w:val="3"/>
      <w:numFmt w:val="decimal"/>
      <w:lvlText w:val="%1"/>
      <w:lvlJc w:val="left"/>
      <w:pPr>
        <w:ind w:left="227" w:hanging="576"/>
        <w:jc w:val="left"/>
      </w:pPr>
      <w:rPr>
        <w:rFonts w:hint="default"/>
        <w:lang w:val="en-US" w:eastAsia="zh-CN" w:bidi="ar-SA"/>
      </w:rPr>
    </w:lvl>
    <w:lvl w:ilvl="1" w:tentative="0">
      <w:start w:val="9"/>
      <w:numFmt w:val="decimal"/>
      <w:lvlText w:val="%1.%2"/>
      <w:lvlJc w:val="left"/>
      <w:pPr>
        <w:ind w:left="227" w:hanging="576"/>
        <w:jc w:val="left"/>
      </w:pPr>
      <w:rPr>
        <w:rFonts w:hint="default"/>
        <w:lang w:val="en-US" w:eastAsia="zh-CN" w:bidi="ar-SA"/>
      </w:rPr>
    </w:lvl>
    <w:lvl w:ilvl="2" w:tentative="0">
      <w:start w:val="3"/>
      <w:numFmt w:val="decimal"/>
      <w:lvlText w:val="%1.%2.%3"/>
      <w:lvlJc w:val="left"/>
      <w:pPr>
        <w:ind w:left="227" w:hanging="576"/>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2576" w:hanging="576"/>
      </w:pPr>
      <w:rPr>
        <w:rFonts w:hint="default"/>
        <w:lang w:val="en-US" w:eastAsia="zh-CN" w:bidi="ar-SA"/>
      </w:rPr>
    </w:lvl>
    <w:lvl w:ilvl="4" w:tentative="0">
      <w:start w:val="0"/>
      <w:numFmt w:val="bullet"/>
      <w:lvlText w:val="•"/>
      <w:lvlJc w:val="left"/>
      <w:pPr>
        <w:ind w:left="3362" w:hanging="576"/>
      </w:pPr>
      <w:rPr>
        <w:rFonts w:hint="default"/>
        <w:lang w:val="en-US" w:eastAsia="zh-CN" w:bidi="ar-SA"/>
      </w:rPr>
    </w:lvl>
    <w:lvl w:ilvl="5" w:tentative="0">
      <w:start w:val="0"/>
      <w:numFmt w:val="bullet"/>
      <w:lvlText w:val="•"/>
      <w:lvlJc w:val="left"/>
      <w:pPr>
        <w:ind w:left="4147" w:hanging="576"/>
      </w:pPr>
      <w:rPr>
        <w:rFonts w:hint="default"/>
        <w:lang w:val="en-US" w:eastAsia="zh-CN" w:bidi="ar-SA"/>
      </w:rPr>
    </w:lvl>
    <w:lvl w:ilvl="6" w:tentative="0">
      <w:start w:val="0"/>
      <w:numFmt w:val="bullet"/>
      <w:lvlText w:val="•"/>
      <w:lvlJc w:val="left"/>
      <w:pPr>
        <w:ind w:left="4933" w:hanging="576"/>
      </w:pPr>
      <w:rPr>
        <w:rFonts w:hint="default"/>
        <w:lang w:val="en-US" w:eastAsia="zh-CN" w:bidi="ar-SA"/>
      </w:rPr>
    </w:lvl>
    <w:lvl w:ilvl="7" w:tentative="0">
      <w:start w:val="0"/>
      <w:numFmt w:val="bullet"/>
      <w:lvlText w:val="•"/>
      <w:lvlJc w:val="left"/>
      <w:pPr>
        <w:ind w:left="5718" w:hanging="576"/>
      </w:pPr>
      <w:rPr>
        <w:rFonts w:hint="default"/>
        <w:lang w:val="en-US" w:eastAsia="zh-CN" w:bidi="ar-SA"/>
      </w:rPr>
    </w:lvl>
    <w:lvl w:ilvl="8" w:tentative="0">
      <w:start w:val="0"/>
      <w:numFmt w:val="bullet"/>
      <w:lvlText w:val="•"/>
      <w:lvlJc w:val="left"/>
      <w:pPr>
        <w:ind w:left="6504" w:hanging="576"/>
      </w:pPr>
      <w:rPr>
        <w:rFonts w:hint="default"/>
        <w:lang w:val="en-US" w:eastAsia="zh-CN" w:bidi="ar-SA"/>
      </w:rPr>
    </w:lvl>
  </w:abstractNum>
  <w:abstractNum w:abstractNumId="4">
    <w:nsid w:val="4C731DE3"/>
    <w:multiLevelType w:val="multilevel"/>
    <w:tmpl w:val="4C731DE3"/>
    <w:lvl w:ilvl="0" w:tentative="0">
      <w:start w:val="1"/>
      <w:numFmt w:val="decimal"/>
      <w:lvlText w:val="%1."/>
      <w:lvlJc w:val="left"/>
      <w:pPr>
        <w:ind w:left="449" w:hanging="222"/>
        <w:jc w:val="left"/>
      </w:pPr>
      <w:rPr>
        <w:rFonts w:hint="default" w:ascii="宋体" w:hAnsi="宋体" w:eastAsia="宋体" w:cs="宋体"/>
        <w:b w:val="0"/>
        <w:bCs w:val="0"/>
        <w:i w:val="0"/>
        <w:iCs w:val="0"/>
        <w:spacing w:val="-1"/>
        <w:w w:val="100"/>
        <w:sz w:val="20"/>
        <w:szCs w:val="20"/>
        <w:lang w:val="en-US" w:eastAsia="zh-CN" w:bidi="ar-SA"/>
      </w:rPr>
    </w:lvl>
    <w:lvl w:ilvl="1" w:tentative="0">
      <w:start w:val="1"/>
      <w:numFmt w:val="decimal"/>
      <w:lvlText w:val="%1.%2"/>
      <w:lvlJc w:val="left"/>
      <w:pPr>
        <w:ind w:left="594" w:hanging="368"/>
        <w:jc w:val="lef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805" w:hanging="579"/>
        <w:jc w:val="left"/>
      </w:pPr>
      <w:rPr>
        <w:rFonts w:hint="default" w:ascii="宋体" w:hAnsi="宋体" w:eastAsia="宋体" w:cs="宋体"/>
        <w:b w:val="0"/>
        <w:bCs w:val="0"/>
        <w:i w:val="0"/>
        <w:iCs w:val="0"/>
        <w:spacing w:val="-2"/>
        <w:w w:val="99"/>
        <w:sz w:val="21"/>
        <w:szCs w:val="21"/>
        <w:lang w:val="en-US" w:eastAsia="zh-CN" w:bidi="ar-SA"/>
      </w:rPr>
    </w:lvl>
    <w:lvl w:ilvl="3" w:tentative="0">
      <w:start w:val="1"/>
      <w:numFmt w:val="decimal"/>
      <w:lvlText w:val="（%4）"/>
      <w:lvlJc w:val="left"/>
      <w:pPr>
        <w:ind w:left="1176" w:hanging="525"/>
        <w:jc w:val="left"/>
      </w:pPr>
      <w:rPr>
        <w:rFonts w:hint="default" w:ascii="宋体" w:hAnsi="宋体" w:eastAsia="宋体" w:cs="宋体"/>
        <w:b w:val="0"/>
        <w:bCs w:val="0"/>
        <w:i w:val="0"/>
        <w:iCs w:val="0"/>
        <w:spacing w:val="-1"/>
        <w:w w:val="99"/>
        <w:sz w:val="19"/>
        <w:szCs w:val="19"/>
        <w:lang w:val="en-US" w:eastAsia="zh-CN" w:bidi="ar-SA"/>
      </w:rPr>
    </w:lvl>
    <w:lvl w:ilvl="4" w:tentative="0">
      <w:start w:val="0"/>
      <w:numFmt w:val="bullet"/>
      <w:lvlText w:val="•"/>
      <w:lvlJc w:val="left"/>
      <w:pPr>
        <w:ind w:left="2165" w:hanging="525"/>
      </w:pPr>
      <w:rPr>
        <w:rFonts w:hint="default"/>
        <w:lang w:val="en-US" w:eastAsia="zh-CN" w:bidi="ar-SA"/>
      </w:rPr>
    </w:lvl>
    <w:lvl w:ilvl="5" w:tentative="0">
      <w:start w:val="0"/>
      <w:numFmt w:val="bullet"/>
      <w:lvlText w:val="•"/>
      <w:lvlJc w:val="left"/>
      <w:pPr>
        <w:ind w:left="3150" w:hanging="525"/>
      </w:pPr>
      <w:rPr>
        <w:rFonts w:hint="default"/>
        <w:lang w:val="en-US" w:eastAsia="zh-CN" w:bidi="ar-SA"/>
      </w:rPr>
    </w:lvl>
    <w:lvl w:ilvl="6" w:tentative="0">
      <w:start w:val="0"/>
      <w:numFmt w:val="bullet"/>
      <w:lvlText w:val="•"/>
      <w:lvlJc w:val="left"/>
      <w:pPr>
        <w:ind w:left="4135" w:hanging="525"/>
      </w:pPr>
      <w:rPr>
        <w:rFonts w:hint="default"/>
        <w:lang w:val="en-US" w:eastAsia="zh-CN" w:bidi="ar-SA"/>
      </w:rPr>
    </w:lvl>
    <w:lvl w:ilvl="7" w:tentative="0">
      <w:start w:val="0"/>
      <w:numFmt w:val="bullet"/>
      <w:lvlText w:val="•"/>
      <w:lvlJc w:val="left"/>
      <w:pPr>
        <w:ind w:left="5120" w:hanging="525"/>
      </w:pPr>
      <w:rPr>
        <w:rFonts w:hint="default"/>
        <w:lang w:val="en-US" w:eastAsia="zh-CN" w:bidi="ar-SA"/>
      </w:rPr>
    </w:lvl>
    <w:lvl w:ilvl="8" w:tentative="0">
      <w:start w:val="0"/>
      <w:numFmt w:val="bullet"/>
      <w:lvlText w:val="•"/>
      <w:lvlJc w:val="left"/>
      <w:pPr>
        <w:ind w:left="6105" w:hanging="525"/>
      </w:pPr>
      <w:rPr>
        <w:rFonts w:hint="default"/>
        <w:lang w:val="en-US" w:eastAsia="zh-CN" w:bidi="ar-SA"/>
      </w:rPr>
    </w:lvl>
  </w:abstractNum>
  <w:abstractNum w:abstractNumId="5">
    <w:nsid w:val="5B2EE697"/>
    <w:multiLevelType w:val="singleLevel"/>
    <w:tmpl w:val="5B2EE697"/>
    <w:lvl w:ilvl="0" w:tentative="0">
      <w:start w:val="1"/>
      <w:numFmt w:val="decimal"/>
      <w:suff w:val="nothing"/>
      <w:lvlText w:val="（%1）"/>
      <w:lvlJc w:val="left"/>
    </w:lvl>
  </w:abstractNum>
  <w:abstractNum w:abstractNumId="6">
    <w:nsid w:val="77E30C50"/>
    <w:multiLevelType w:val="multilevel"/>
    <w:tmpl w:val="77E30C50"/>
    <w:lvl w:ilvl="0" w:tentative="0">
      <w:start w:val="1"/>
      <w:numFmt w:val="decimal"/>
      <w:lvlText w:val="（%1）"/>
      <w:lvlJc w:val="left"/>
      <w:pPr>
        <w:ind w:left="227" w:hanging="525"/>
        <w:jc w:val="left"/>
      </w:pPr>
      <w:rPr>
        <w:rFonts w:hint="default" w:ascii="宋体" w:hAnsi="宋体" w:eastAsia="宋体" w:cs="宋体"/>
        <w:b w:val="0"/>
        <w:bCs w:val="0"/>
        <w:i w:val="0"/>
        <w:iCs w:val="0"/>
        <w:spacing w:val="-10"/>
        <w:w w:val="99"/>
        <w:sz w:val="19"/>
        <w:szCs w:val="19"/>
        <w:lang w:val="en-US" w:eastAsia="zh-CN" w:bidi="ar-SA"/>
      </w:rPr>
    </w:lvl>
    <w:lvl w:ilvl="1" w:tentative="0">
      <w:start w:val="0"/>
      <w:numFmt w:val="bullet"/>
      <w:lvlText w:val="•"/>
      <w:lvlJc w:val="left"/>
      <w:pPr>
        <w:ind w:left="1005" w:hanging="525"/>
      </w:pPr>
      <w:rPr>
        <w:rFonts w:hint="default"/>
        <w:lang w:val="en-US" w:eastAsia="zh-CN" w:bidi="ar-SA"/>
      </w:rPr>
    </w:lvl>
    <w:lvl w:ilvl="2" w:tentative="0">
      <w:start w:val="0"/>
      <w:numFmt w:val="bullet"/>
      <w:lvlText w:val="•"/>
      <w:lvlJc w:val="left"/>
      <w:pPr>
        <w:ind w:left="1791" w:hanging="525"/>
      </w:pPr>
      <w:rPr>
        <w:rFonts w:hint="default"/>
        <w:lang w:val="en-US" w:eastAsia="zh-CN" w:bidi="ar-SA"/>
      </w:rPr>
    </w:lvl>
    <w:lvl w:ilvl="3" w:tentative="0">
      <w:start w:val="0"/>
      <w:numFmt w:val="bullet"/>
      <w:lvlText w:val="•"/>
      <w:lvlJc w:val="left"/>
      <w:pPr>
        <w:ind w:left="2576" w:hanging="525"/>
      </w:pPr>
      <w:rPr>
        <w:rFonts w:hint="default"/>
        <w:lang w:val="en-US" w:eastAsia="zh-CN" w:bidi="ar-SA"/>
      </w:rPr>
    </w:lvl>
    <w:lvl w:ilvl="4" w:tentative="0">
      <w:start w:val="0"/>
      <w:numFmt w:val="bullet"/>
      <w:lvlText w:val="•"/>
      <w:lvlJc w:val="left"/>
      <w:pPr>
        <w:ind w:left="3362" w:hanging="525"/>
      </w:pPr>
      <w:rPr>
        <w:rFonts w:hint="default"/>
        <w:lang w:val="en-US" w:eastAsia="zh-CN" w:bidi="ar-SA"/>
      </w:rPr>
    </w:lvl>
    <w:lvl w:ilvl="5" w:tentative="0">
      <w:start w:val="0"/>
      <w:numFmt w:val="bullet"/>
      <w:lvlText w:val="•"/>
      <w:lvlJc w:val="left"/>
      <w:pPr>
        <w:ind w:left="4147" w:hanging="525"/>
      </w:pPr>
      <w:rPr>
        <w:rFonts w:hint="default"/>
        <w:lang w:val="en-US" w:eastAsia="zh-CN" w:bidi="ar-SA"/>
      </w:rPr>
    </w:lvl>
    <w:lvl w:ilvl="6" w:tentative="0">
      <w:start w:val="0"/>
      <w:numFmt w:val="bullet"/>
      <w:lvlText w:val="•"/>
      <w:lvlJc w:val="left"/>
      <w:pPr>
        <w:ind w:left="4933" w:hanging="525"/>
      </w:pPr>
      <w:rPr>
        <w:rFonts w:hint="default"/>
        <w:lang w:val="en-US" w:eastAsia="zh-CN" w:bidi="ar-SA"/>
      </w:rPr>
    </w:lvl>
    <w:lvl w:ilvl="7" w:tentative="0">
      <w:start w:val="0"/>
      <w:numFmt w:val="bullet"/>
      <w:lvlText w:val="•"/>
      <w:lvlJc w:val="left"/>
      <w:pPr>
        <w:ind w:left="5718" w:hanging="525"/>
      </w:pPr>
      <w:rPr>
        <w:rFonts w:hint="default"/>
        <w:lang w:val="en-US" w:eastAsia="zh-CN" w:bidi="ar-SA"/>
      </w:rPr>
    </w:lvl>
    <w:lvl w:ilvl="8" w:tentative="0">
      <w:start w:val="0"/>
      <w:numFmt w:val="bullet"/>
      <w:lvlText w:val="•"/>
      <w:lvlJc w:val="left"/>
      <w:pPr>
        <w:ind w:left="6504" w:hanging="525"/>
      </w:pPr>
      <w:rPr>
        <w:rFonts w:hint="default"/>
        <w:lang w:val="en-US" w:eastAsia="zh-CN" w:bidi="ar-SA"/>
      </w:rPr>
    </w:lvl>
  </w:abstractNum>
  <w:num w:numId="1">
    <w:abstractNumId w:val="1"/>
  </w:num>
  <w:num w:numId="2">
    <w:abstractNumId w:val="5"/>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ZGY1YjE5NTNkY2RkZTk0MDgxYTgyNzFmYjY3MWQifQ=="/>
  </w:docVars>
  <w:rsids>
    <w:rsidRoot w:val="1B775B35"/>
    <w:rsid w:val="193A6226"/>
    <w:rsid w:val="1B77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autoRedefine/>
    <w:qFormat/>
    <w:uiPriority w:val="1"/>
    <w:pPr>
      <w:spacing w:before="37"/>
      <w:ind w:left="340" w:right="557"/>
      <w:jc w:val="center"/>
      <w:outlineLvl w:val="0"/>
    </w:pPr>
    <w:rPr>
      <w:b/>
      <w:bCs/>
      <w:sz w:val="44"/>
      <w:szCs w:val="44"/>
    </w:rPr>
  </w:style>
  <w:style w:type="paragraph" w:styleId="5">
    <w:name w:val="heading 3"/>
    <w:basedOn w:val="1"/>
    <w:next w:val="1"/>
    <w:autoRedefine/>
    <w:qFormat/>
    <w:uiPriority w:val="1"/>
    <w:pPr>
      <w:spacing w:before="62"/>
      <w:ind w:left="340" w:right="557"/>
      <w:jc w:val="center"/>
      <w:outlineLvl w:val="2"/>
    </w:pPr>
    <w:rPr>
      <w:b/>
      <w:bCs/>
      <w:sz w:val="24"/>
      <w:szCs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正文空2字"/>
    <w:basedOn w:val="3"/>
    <w:autoRedefine/>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paragraph" w:styleId="3">
    <w:name w:val="Body Text 2"/>
    <w:basedOn w:val="1"/>
    <w:qFormat/>
    <w:uiPriority w:val="0"/>
    <w:pPr>
      <w:widowControl/>
      <w:spacing w:after="120" w:line="480" w:lineRule="auto"/>
    </w:pPr>
    <w:rPr>
      <w:rFonts w:ascii="Calibri" w:hAnsi="Calibri"/>
      <w:szCs w:val="22"/>
    </w:rPr>
  </w:style>
  <w:style w:type="paragraph" w:styleId="6">
    <w:name w:val="Body Text"/>
    <w:basedOn w:val="1"/>
    <w:autoRedefine/>
    <w:qFormat/>
    <w:uiPriority w:val="1"/>
    <w:pPr>
      <w:ind w:left="318"/>
    </w:pPr>
    <w:rPr>
      <w:sz w:val="21"/>
      <w:szCs w:val="21"/>
    </w:rPr>
  </w:style>
  <w:style w:type="paragraph" w:styleId="7">
    <w:name w:val="Block Text"/>
    <w:basedOn w:val="1"/>
    <w:next w:val="8"/>
    <w:autoRedefine/>
    <w:qFormat/>
    <w:uiPriority w:val="0"/>
    <w:pPr>
      <w:spacing w:before="120"/>
    </w:pPr>
    <w:rPr>
      <w:rFonts w:ascii="黑体" w:eastAsia="黑体"/>
      <w:sz w:val="20"/>
    </w:rPr>
  </w:style>
  <w:style w:type="paragraph" w:customStyle="1" w:styleId="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
    <w:name w:val="正文文本 (2)1"/>
    <w:basedOn w:val="1"/>
    <w:autoRedefine/>
    <w:qFormat/>
    <w:uiPriority w:val="99"/>
    <w:pPr>
      <w:shd w:val="clear" w:color="auto" w:fill="FFFFFF"/>
      <w:spacing w:before="300" w:line="439" w:lineRule="exact"/>
      <w:jc w:val="distribute"/>
    </w:pPr>
    <w:rPr>
      <w:rFonts w:ascii="MingLiU" w:eastAsia="MingLiU" w:cs="Times New Roman"/>
      <w:color w:val="auto"/>
      <w:spacing w:val="20"/>
      <w:sz w:val="22"/>
      <w:szCs w:val="22"/>
    </w:rPr>
  </w:style>
  <w:style w:type="character" w:customStyle="1" w:styleId="12">
    <w:name w:val="正文文本 (2) + 10 pt37"/>
    <w:autoRedefine/>
    <w:qFormat/>
    <w:uiPriority w:val="99"/>
    <w:rPr>
      <w:rFonts w:ascii="MingLiU" w:eastAsia="MingLiU" w:cs="MingLiU"/>
      <w:spacing w:val="0"/>
      <w:sz w:val="20"/>
      <w:szCs w:val="20"/>
      <w:u w:val="none"/>
    </w:rPr>
  </w:style>
  <w:style w:type="paragraph" w:customStyle="1" w:styleId="13">
    <w:name w:val="Table Paragraph"/>
    <w:basedOn w:val="1"/>
    <w:autoRedefine/>
    <w:qFormat/>
    <w:uiPriority w:val="1"/>
  </w:style>
  <w:style w:type="table" w:customStyle="1" w:styleId="14">
    <w:name w:val="Table Normal"/>
    <w:autoRedefine/>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2024-03-12T06:27:00Z</dcterms:created>
  <dc:creator>admin11</dc:creator>
  <cp:lastModifiedBy>admin11</cp:lastModifiedBy>
  <dcterms:modified xsi:type="dcterms:W3CDTF">2024-03-13T03:32:14Z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6F37B70959C94730914039AE8FA6790A_11</vt:lpwstr>
  </property>
</Properties>
</file>