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1C9B2">
      <w:pPr>
        <w:widowControl w:val="0"/>
        <w:snapToGrid w:val="0"/>
        <w:ind w:firstLine="0" w:firstLineChars="0"/>
        <w:jc w:val="both"/>
        <w:rPr>
          <w:rFonts w:hint="eastAsia" w:eastAsia="宋体"/>
          <w:b/>
          <w:bCs/>
          <w:color w:val="auto"/>
          <w:sz w:val="32"/>
          <w:szCs w:val="32"/>
          <w:lang w:val="en-US" w:eastAsia="zh-CN"/>
        </w:rPr>
      </w:pPr>
      <w:r>
        <w:rPr>
          <w:rFonts w:hint="eastAsia"/>
          <w:b/>
          <w:bCs/>
          <w:color w:val="auto"/>
          <w:sz w:val="32"/>
          <w:szCs w:val="32"/>
        </w:rPr>
        <w:t>附件3：评标办法</w:t>
      </w:r>
      <w:r>
        <w:rPr>
          <w:rFonts w:hint="eastAsia"/>
          <w:b/>
          <w:bCs/>
          <w:color w:val="auto"/>
          <w:sz w:val="32"/>
          <w:szCs w:val="32"/>
          <w:lang w:val="en-US" w:eastAsia="zh-CN"/>
        </w:rPr>
        <w:t xml:space="preserve"> </w:t>
      </w:r>
    </w:p>
    <w:p w14:paraId="6DDDD04D">
      <w:pPr>
        <w:keepNext w:val="0"/>
        <w:keepLines w:val="0"/>
        <w:pageBreakBefore w:val="0"/>
        <w:widowControl/>
        <w:kinsoku/>
        <w:wordWrap/>
        <w:overflowPunct/>
        <w:topLinePunct w:val="0"/>
        <w:autoSpaceDE w:val="0"/>
        <w:autoSpaceDN w:val="0"/>
        <w:bidi w:val="0"/>
        <w:adjustRightInd w:val="0"/>
        <w:snapToGrid w:val="0"/>
        <w:spacing w:before="114" w:line="25" w:lineRule="atLeast"/>
        <w:jc w:val="center"/>
        <w:textAlignment w:val="baseline"/>
        <w:rPr>
          <w:rFonts w:ascii="Arial" w:hAnsi="黑体" w:eastAsia="黑体" w:cs="黑体"/>
          <w:snapToGrid w:val="0"/>
          <w:color w:val="auto"/>
          <w:kern w:val="0"/>
          <w:sz w:val="32"/>
          <w:szCs w:val="32"/>
          <w:highlight w:val="none"/>
          <w:lang w:val="en-US" w:eastAsia="en-US" w:bidi="ar-SA"/>
        </w:rPr>
      </w:pPr>
      <w:r>
        <w:rPr>
          <w:rFonts w:hint="eastAsia" w:ascii="宋体" w:hAnsi="宋体" w:eastAsia="宋体" w:cs="宋体"/>
          <w:snapToGrid w:val="0"/>
          <w:color w:val="auto"/>
          <w:spacing w:val="-1"/>
          <w:kern w:val="0"/>
          <w:position w:val="8"/>
          <w:sz w:val="32"/>
          <w:szCs w:val="32"/>
          <w:highlight w:val="none"/>
          <w:lang w:val="en-US" w:eastAsia="en-US" w:bidi="ar-SA"/>
          <w14:textOutline w14:w="6537" w14:cap="sq" w14:cmpd="sng">
            <w14:solidFill>
              <w14:srgbClr w14:val="000000"/>
            </w14:solidFill>
            <w14:prstDash w14:val="solid"/>
            <w14:bevel/>
          </w14:textOutline>
        </w:rPr>
        <w:t xml:space="preserve"> 评标办法（双信封的技术评分最低标价法)</w:t>
      </w:r>
    </w:p>
    <w:p w14:paraId="456BD4D4">
      <w:pPr>
        <w:pageBreakBefore w:val="0"/>
        <w:widowControl/>
        <w:kinsoku/>
        <w:wordWrap/>
        <w:overflowPunct/>
        <w:topLinePunct w:val="0"/>
        <w:autoSpaceDE w:val="0"/>
        <w:autoSpaceDN w:val="0"/>
        <w:bidi w:val="0"/>
        <w:adjustRightInd w:val="0"/>
        <w:snapToGrid w:val="0"/>
        <w:spacing w:before="231" w:line="240" w:lineRule="auto"/>
        <w:ind w:left="10"/>
        <w:jc w:val="center"/>
        <w:textAlignment w:val="baseline"/>
        <w:rPr>
          <w:rFonts w:hint="eastAsia" w:ascii="宋体" w:hAnsi="宋体" w:eastAsia="宋体" w:cs="宋体"/>
          <w:b/>
          <w:bCs/>
          <w:snapToGrid w:val="0"/>
          <w:color w:val="auto"/>
          <w:spacing w:val="9"/>
          <w:kern w:val="0"/>
          <w:sz w:val="30"/>
          <w:szCs w:val="30"/>
          <w:lang w:eastAsia="en-US"/>
          <w14:textOutline w14:w="3795" w14:cap="sq" w14:cmpd="sng">
            <w14:solidFill>
              <w14:srgbClr w14:val="000000"/>
            </w14:solidFill>
            <w14:prstDash w14:val="solid"/>
            <w14:bevel/>
          </w14:textOutline>
        </w:rPr>
      </w:pPr>
      <w:r>
        <w:rPr>
          <w:rFonts w:hint="eastAsia" w:ascii="宋体" w:hAnsi="宋体" w:eastAsia="宋体" w:cs="宋体"/>
          <w:b/>
          <w:bCs/>
          <w:snapToGrid w:val="0"/>
          <w:color w:val="auto"/>
          <w:spacing w:val="9"/>
          <w:kern w:val="0"/>
          <w:sz w:val="30"/>
          <w:szCs w:val="30"/>
          <w:lang w:eastAsia="en-US"/>
          <w14:textOutline w14:w="3795" w14:cap="sq" w14:cmpd="sng">
            <w14:solidFill>
              <w14:srgbClr w14:val="000000"/>
            </w14:solidFill>
            <w14:prstDash w14:val="solid"/>
            <w14:bevel/>
          </w14:textOutline>
        </w:rPr>
        <w:t>评标办法前附表</w:t>
      </w:r>
      <w:bookmarkStart w:id="2" w:name="_GoBack"/>
      <w:bookmarkEnd w:id="2"/>
    </w:p>
    <w:tbl>
      <w:tblPr>
        <w:tblStyle w:val="7"/>
        <w:tblW w:w="964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674"/>
        <w:gridCol w:w="7062"/>
      </w:tblGrid>
      <w:tr w14:paraId="5B0C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579" w:type="dxa"/>
            <w:gridSpan w:val="2"/>
            <w:vAlign w:val="center"/>
          </w:tcPr>
          <w:p w14:paraId="30E81C0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条款号</w:t>
            </w:r>
          </w:p>
        </w:tc>
        <w:tc>
          <w:tcPr>
            <w:tcW w:w="7062" w:type="dxa"/>
            <w:vAlign w:val="center"/>
          </w:tcPr>
          <w:p w14:paraId="0D0131C6">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评审因素与评审标准</w:t>
            </w:r>
          </w:p>
        </w:tc>
      </w:tr>
      <w:tr w14:paraId="56AB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05" w:type="dxa"/>
            <w:vAlign w:val="center"/>
          </w:tcPr>
          <w:p w14:paraId="19E59A5B">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w:t>
            </w:r>
          </w:p>
        </w:tc>
        <w:tc>
          <w:tcPr>
            <w:tcW w:w="1674" w:type="dxa"/>
            <w:vAlign w:val="center"/>
          </w:tcPr>
          <w:p w14:paraId="736A30CB">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评标方法</w:t>
            </w:r>
          </w:p>
        </w:tc>
        <w:tc>
          <w:tcPr>
            <w:tcW w:w="7062" w:type="dxa"/>
            <w:vAlign w:val="center"/>
          </w:tcPr>
          <w:p w14:paraId="6B1523F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评标价相等时，评标委员会依次按照以下优先顺序推荐中标候选人或确定中标人：</w:t>
            </w:r>
          </w:p>
          <w:p w14:paraId="0016C68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highlight w:val="none"/>
                <w:lang w:eastAsia="en-US"/>
              </w:rPr>
            </w:pPr>
            <w:r>
              <w:rPr>
                <w:rFonts w:hint="eastAsia" w:ascii="宋体" w:hAnsi="宋体" w:eastAsia="宋体" w:cs="宋体"/>
                <w:b w:val="0"/>
                <w:bCs w:val="0"/>
                <w:snapToGrid w:val="0"/>
                <w:color w:val="auto"/>
                <w:kern w:val="0"/>
                <w:sz w:val="24"/>
                <w:szCs w:val="24"/>
                <w:highlight w:val="none"/>
                <w:lang w:eastAsia="en-US"/>
              </w:rPr>
              <w:t>（1）按招标文件规定被认定为最新年度广东省公路工程从业单位信用评价等级较高的投标人优先；</w:t>
            </w:r>
          </w:p>
          <w:p w14:paraId="56CDBFB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【采用如下的优先顺序：承诺使用的AA级投标人、不承诺使用的AA级投标人、承诺使用的A级投标人、不承诺使用的A级投标人、B级投标人、未参评且被确定为B级投标人】</w:t>
            </w:r>
          </w:p>
          <w:p w14:paraId="456D79A5">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（2）以投标人企业最新年度净资产较高的优先；</w:t>
            </w:r>
          </w:p>
          <w:p w14:paraId="69748B6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（3）评标委员会视投标人情况综合比较，投票确定其名次。</w:t>
            </w:r>
          </w:p>
        </w:tc>
      </w:tr>
      <w:tr w14:paraId="6D7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vAlign w:val="center"/>
          </w:tcPr>
          <w:p w14:paraId="3FC348B4">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2.1.1</w:t>
            </w:r>
          </w:p>
          <w:p w14:paraId="393ECB4F">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2.1.3</w:t>
            </w:r>
          </w:p>
        </w:tc>
        <w:tc>
          <w:tcPr>
            <w:tcW w:w="1674" w:type="dxa"/>
            <w:vAlign w:val="center"/>
          </w:tcPr>
          <w:p w14:paraId="40A13821">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形式评审与响应性评审标准</w:t>
            </w:r>
          </w:p>
        </w:tc>
        <w:tc>
          <w:tcPr>
            <w:tcW w:w="7062" w:type="dxa"/>
            <w:vAlign w:val="center"/>
          </w:tcPr>
          <w:p w14:paraId="482A97D0">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第一个信封（商务及技术文件）评审标准：</w:t>
            </w:r>
          </w:p>
          <w:p w14:paraId="3E3B60B6">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（1）投标文件按照招标文件规定的格式、内容填写，字迹清晰可辨：</w:t>
            </w:r>
          </w:p>
          <w:p w14:paraId="51761BD5">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a.投标函按招标文件规定填报了项目名称、标段号（如有)、补遗书编号（如有)、工期、工程质量要求及安全目标；</w:t>
            </w:r>
          </w:p>
          <w:p w14:paraId="596A6DE9">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b.投标函附录的所有数据均符合招标文件规定；</w:t>
            </w:r>
          </w:p>
          <w:p w14:paraId="0B98B819">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c.投标文件组成齐全完整，内容均按规定填写。</w:t>
            </w:r>
          </w:p>
          <w:p w14:paraId="6B48BEB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（2）投标文件上法定代表人或其委托代理人的签字、投标人的单位章盖章齐全，符合招标文件规定。</w:t>
            </w:r>
          </w:p>
          <w:p w14:paraId="38E5F2A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3</w:t>
            </w:r>
            <w:r>
              <w:rPr>
                <w:rFonts w:hint="eastAsia" w:ascii="宋体" w:hAnsi="宋体" w:eastAsia="宋体" w:cs="宋体"/>
                <w:b w:val="0"/>
                <w:bCs w:val="0"/>
                <w:snapToGrid w:val="0"/>
                <w:color w:val="auto"/>
                <w:kern w:val="0"/>
                <w:sz w:val="24"/>
                <w:szCs w:val="24"/>
                <w:lang w:eastAsia="en-US"/>
              </w:rPr>
              <w:t>）投标人按照招标文件的规定提供了投标保证金：</w:t>
            </w:r>
          </w:p>
          <w:p w14:paraId="58201BAE">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a.投标保证金金额符合招标文件规定的金额，且投标保证金有效期不少于投标有效期；</w:t>
            </w:r>
          </w:p>
          <w:p w14:paraId="1184E40F">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b.若投标保证金采用现金或支票形式提交，投标人应在投标人须知3.4.1款规定的时间，将投标保证金由投标人的基本账户转入招标人指定账户；</w:t>
            </w:r>
          </w:p>
          <w:p w14:paraId="5C3C6A6D">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c.若投标保证金采用电子保函（保险）或投标人须知前附表3.4.1项规定的其他形式提交，应满足招标文件要求。</w:t>
            </w:r>
          </w:p>
          <w:p w14:paraId="11CD20D6">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4</w:t>
            </w:r>
            <w:r>
              <w:rPr>
                <w:rFonts w:hint="eastAsia" w:ascii="宋体" w:hAnsi="宋体" w:eastAsia="宋体" w:cs="宋体"/>
                <w:b w:val="0"/>
                <w:bCs w:val="0"/>
                <w:snapToGrid w:val="0"/>
                <w:color w:val="auto"/>
                <w:kern w:val="0"/>
                <w:sz w:val="24"/>
                <w:szCs w:val="24"/>
                <w:lang w:eastAsia="en-US"/>
              </w:rPr>
              <w:t>）投标人法定代表人授权委托代理人签署投标文件的，需提交授权委托书，且授权人和被授权人均在授权委托书上签名</w:t>
            </w:r>
            <w:r>
              <w:rPr>
                <w:rFonts w:hint="eastAsia" w:ascii="宋体" w:hAnsi="宋体" w:eastAsia="宋体" w:cs="宋体"/>
                <w:b w:val="0"/>
                <w:bCs w:val="0"/>
                <w:snapToGrid w:val="0"/>
                <w:color w:val="auto"/>
                <w:kern w:val="0"/>
                <w:sz w:val="24"/>
                <w:szCs w:val="24"/>
                <w:lang w:eastAsia="zh-CN"/>
              </w:rPr>
              <w:t>或加盖个人电子印章</w:t>
            </w:r>
            <w:r>
              <w:rPr>
                <w:rFonts w:hint="eastAsia" w:ascii="宋体" w:hAnsi="宋体" w:eastAsia="宋体" w:cs="宋体"/>
                <w:b w:val="0"/>
                <w:bCs w:val="0"/>
                <w:snapToGrid w:val="0"/>
                <w:color w:val="auto"/>
                <w:kern w:val="0"/>
                <w:sz w:val="24"/>
                <w:szCs w:val="24"/>
                <w:lang w:eastAsia="en-US"/>
              </w:rPr>
              <w:t>。</w:t>
            </w:r>
          </w:p>
          <w:p w14:paraId="7C94529F">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5</w:t>
            </w:r>
            <w:r>
              <w:rPr>
                <w:rFonts w:hint="eastAsia" w:ascii="宋体" w:hAnsi="宋体" w:eastAsia="宋体" w:cs="宋体"/>
                <w:b w:val="0"/>
                <w:bCs w:val="0"/>
                <w:snapToGrid w:val="0"/>
                <w:color w:val="auto"/>
                <w:kern w:val="0"/>
                <w:sz w:val="24"/>
                <w:szCs w:val="24"/>
                <w:lang w:eastAsia="en-US"/>
              </w:rPr>
              <w:t>）投标人法定代表人亲自签署投标文件的，提供了法定代表人身份证明，且法定代表人在法定代表人身份证明上签名</w:t>
            </w:r>
            <w:r>
              <w:rPr>
                <w:rFonts w:hint="eastAsia" w:ascii="宋体" w:hAnsi="宋体" w:eastAsia="宋体" w:cs="宋体"/>
                <w:b w:val="0"/>
                <w:bCs w:val="0"/>
                <w:snapToGrid w:val="0"/>
                <w:color w:val="auto"/>
                <w:kern w:val="0"/>
                <w:sz w:val="24"/>
                <w:szCs w:val="24"/>
                <w:lang w:eastAsia="zh-CN"/>
              </w:rPr>
              <w:t>或加盖个人电子印章</w:t>
            </w:r>
            <w:r>
              <w:rPr>
                <w:rFonts w:hint="eastAsia" w:ascii="宋体" w:hAnsi="宋体" w:eastAsia="宋体" w:cs="宋体"/>
                <w:b w:val="0"/>
                <w:bCs w:val="0"/>
                <w:snapToGrid w:val="0"/>
                <w:color w:val="auto"/>
                <w:kern w:val="0"/>
                <w:sz w:val="24"/>
                <w:szCs w:val="24"/>
                <w:lang w:eastAsia="en-US"/>
              </w:rPr>
              <w:t>。</w:t>
            </w:r>
          </w:p>
          <w:p w14:paraId="0AD13A91">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6</w:t>
            </w:r>
            <w:r>
              <w:rPr>
                <w:rFonts w:hint="eastAsia" w:ascii="宋体" w:hAnsi="宋体" w:eastAsia="宋体" w:cs="宋体"/>
                <w:b w:val="0"/>
                <w:bCs w:val="0"/>
                <w:snapToGrid w:val="0"/>
                <w:color w:val="auto"/>
                <w:kern w:val="0"/>
                <w:sz w:val="24"/>
                <w:szCs w:val="24"/>
                <w:lang w:eastAsia="en-US"/>
              </w:rPr>
              <w:t>）投标人未以联合体形式投标。</w:t>
            </w:r>
          </w:p>
          <w:p w14:paraId="08511091">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7</w:t>
            </w:r>
            <w:r>
              <w:rPr>
                <w:rFonts w:hint="eastAsia" w:ascii="宋体" w:hAnsi="宋体" w:eastAsia="宋体" w:cs="宋体"/>
                <w:b w:val="0"/>
                <w:bCs w:val="0"/>
                <w:snapToGrid w:val="0"/>
                <w:color w:val="auto"/>
                <w:kern w:val="0"/>
                <w:sz w:val="24"/>
                <w:szCs w:val="24"/>
                <w:lang w:eastAsia="en-US"/>
              </w:rPr>
              <w:t>）如投标人不具备拟分包工程所需的某专项工程相应资质或投标人如有分包计划，符合招标文件第二章“投标人须知”第1.11款规定，且按招标文件第九章“投标文件格式”的要求填写了“拟分包项目情况表”。</w:t>
            </w:r>
          </w:p>
          <w:p w14:paraId="5E9524C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8</w:t>
            </w:r>
            <w:r>
              <w:rPr>
                <w:rFonts w:hint="eastAsia" w:ascii="宋体" w:hAnsi="宋体" w:eastAsia="宋体" w:cs="宋体"/>
                <w:b w:val="0"/>
                <w:bCs w:val="0"/>
                <w:snapToGrid w:val="0"/>
                <w:color w:val="auto"/>
                <w:kern w:val="0"/>
                <w:sz w:val="24"/>
                <w:szCs w:val="24"/>
                <w:lang w:eastAsia="en-US"/>
              </w:rPr>
              <w:t>）同一投标人未提交两个以上不同的投标文件，但招标文件要求提交备选投标的除外。</w:t>
            </w:r>
          </w:p>
          <w:p w14:paraId="0A61B59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9</w:t>
            </w:r>
            <w:r>
              <w:rPr>
                <w:rFonts w:hint="eastAsia" w:ascii="宋体" w:hAnsi="宋体" w:eastAsia="宋体" w:cs="宋体"/>
                <w:b w:val="0"/>
                <w:bCs w:val="0"/>
                <w:snapToGrid w:val="0"/>
                <w:color w:val="auto"/>
                <w:kern w:val="0"/>
                <w:sz w:val="24"/>
                <w:szCs w:val="24"/>
                <w:lang w:eastAsia="en-US"/>
              </w:rPr>
              <w:t>）投标文件中未出现有关投标报价的内容。</w:t>
            </w:r>
          </w:p>
          <w:p w14:paraId="13B874D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10</w:t>
            </w:r>
            <w:r>
              <w:rPr>
                <w:rFonts w:hint="eastAsia" w:ascii="宋体" w:hAnsi="宋体" w:eastAsia="宋体" w:cs="宋体"/>
                <w:b w:val="0"/>
                <w:bCs w:val="0"/>
                <w:snapToGrid w:val="0"/>
                <w:color w:val="auto"/>
                <w:kern w:val="0"/>
                <w:sz w:val="24"/>
                <w:szCs w:val="24"/>
                <w:lang w:eastAsia="en-US"/>
              </w:rPr>
              <w:t>）投标文件载明的招标项目完成期限未超过招标文件规定的时限。</w:t>
            </w:r>
          </w:p>
          <w:p w14:paraId="1B3EE09E">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w:t>
            </w:r>
            <w:r>
              <w:rPr>
                <w:rFonts w:hint="eastAsia" w:ascii="宋体" w:hAnsi="宋体" w:eastAsia="宋体" w:cs="宋体"/>
                <w:b w:val="0"/>
                <w:bCs w:val="0"/>
                <w:snapToGrid w:val="0"/>
                <w:color w:val="auto"/>
                <w:kern w:val="0"/>
                <w:sz w:val="24"/>
                <w:szCs w:val="24"/>
                <w:lang w:val="en-US" w:eastAsia="zh-CN"/>
              </w:rPr>
              <w:t>1</w:t>
            </w:r>
            <w:r>
              <w:rPr>
                <w:rFonts w:hint="eastAsia" w:ascii="宋体" w:hAnsi="宋体" w:eastAsia="宋体" w:cs="宋体"/>
                <w:b w:val="0"/>
                <w:bCs w:val="0"/>
                <w:snapToGrid w:val="0"/>
                <w:color w:val="auto"/>
                <w:kern w:val="0"/>
                <w:sz w:val="24"/>
                <w:szCs w:val="24"/>
                <w:lang w:eastAsia="en-US"/>
              </w:rPr>
              <w:t>）投标文件对招标文件的实质性要求和条件作出响应。</w:t>
            </w:r>
          </w:p>
          <w:p w14:paraId="2E7B352D">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w:t>
            </w:r>
            <w:r>
              <w:rPr>
                <w:rFonts w:hint="eastAsia" w:ascii="宋体" w:hAnsi="宋体" w:eastAsia="宋体" w:cs="宋体"/>
                <w:b w:val="0"/>
                <w:bCs w:val="0"/>
                <w:snapToGrid w:val="0"/>
                <w:color w:val="auto"/>
                <w:kern w:val="0"/>
                <w:sz w:val="24"/>
                <w:szCs w:val="24"/>
                <w:lang w:val="en-US" w:eastAsia="zh-CN"/>
              </w:rPr>
              <w:t>2</w:t>
            </w:r>
            <w:r>
              <w:rPr>
                <w:rFonts w:hint="eastAsia" w:ascii="宋体" w:hAnsi="宋体" w:eastAsia="宋体" w:cs="宋体"/>
                <w:b w:val="0"/>
                <w:bCs w:val="0"/>
                <w:snapToGrid w:val="0"/>
                <w:color w:val="auto"/>
                <w:kern w:val="0"/>
                <w:sz w:val="24"/>
                <w:szCs w:val="24"/>
                <w:lang w:eastAsia="en-US"/>
              </w:rPr>
              <w:t>）权利义务符合招标文件规定：</w:t>
            </w:r>
          </w:p>
          <w:p w14:paraId="168CA8A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a.投标人应接受招标文件规定的风险划分原则，未提出新的风险划分办法；</w:t>
            </w:r>
          </w:p>
          <w:p w14:paraId="5FED74D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b.投标人未增加发包人的责任范围，或减少投标人义务；</w:t>
            </w:r>
          </w:p>
          <w:p w14:paraId="3EECFB2B">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c.投标人未提出不同的工程验收、计量、支付办法；</w:t>
            </w:r>
          </w:p>
          <w:p w14:paraId="409E7760">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d.投标人对合同纠纷、事故处理办法未提出异议；</w:t>
            </w:r>
          </w:p>
          <w:p w14:paraId="4666CBD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e.投标人在投标活动中无欺诈行为；</w:t>
            </w:r>
          </w:p>
          <w:p w14:paraId="7BA6AEC6">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f.投标人未对合同条款有重要保留。</w:t>
            </w:r>
          </w:p>
          <w:p w14:paraId="5DAAA191">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w:t>
            </w:r>
            <w:r>
              <w:rPr>
                <w:rFonts w:hint="eastAsia" w:ascii="宋体" w:hAnsi="宋体" w:eastAsia="宋体" w:cs="宋体"/>
                <w:b w:val="0"/>
                <w:bCs w:val="0"/>
                <w:snapToGrid w:val="0"/>
                <w:color w:val="auto"/>
                <w:kern w:val="0"/>
                <w:sz w:val="24"/>
                <w:szCs w:val="24"/>
                <w:lang w:val="en-US" w:eastAsia="zh-CN"/>
              </w:rPr>
              <w:t>3</w:t>
            </w:r>
            <w:r>
              <w:rPr>
                <w:rFonts w:hint="eastAsia" w:ascii="宋体" w:hAnsi="宋体" w:eastAsia="宋体" w:cs="宋体"/>
                <w:b w:val="0"/>
                <w:bCs w:val="0"/>
                <w:snapToGrid w:val="0"/>
                <w:color w:val="auto"/>
                <w:kern w:val="0"/>
                <w:sz w:val="24"/>
                <w:szCs w:val="24"/>
                <w:lang w:eastAsia="en-US"/>
              </w:rPr>
              <w:t>）投标文件符合招标文件第二章“投标人须知第3.7.4项规定。</w:t>
            </w:r>
          </w:p>
          <w:p w14:paraId="3F19D57F">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val="en-US" w:eastAsia="zh-CN"/>
              </w:rPr>
              <w:t>14</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投标文件未附有招标人不能接受的条件。</w:t>
            </w:r>
          </w:p>
          <w:p w14:paraId="6EEE3DB7">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p>
          <w:p w14:paraId="68BECDC5">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第二个信封（报价文件）评审标准：</w:t>
            </w:r>
          </w:p>
          <w:p w14:paraId="413E1573">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（1）投标文件按照招标文件规定的格式、内容填写，字迹清晰可辩：</w:t>
            </w:r>
          </w:p>
          <w:p w14:paraId="5AEBC1DC">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a.投标函按招标文件规定填报了项目名称、标段号（如有)、补遗书编号（如有)、投标总报价（包括大写金额和小写金额)；</w:t>
            </w:r>
          </w:p>
          <w:p w14:paraId="7F9E05E4">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b.已标价工程量清单说明文字与招标文件规定一致，未进行实质性修改和删减；</w:t>
            </w:r>
          </w:p>
          <w:p w14:paraId="5687B34E">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c.投标文件组成齐全完整，内容均按规定填写。</w:t>
            </w:r>
          </w:p>
          <w:p w14:paraId="3631E749">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（2）投标文件上法定代表人或其委托代理人的签字、投标人的单位章盖章齐全，符合招标文件规定。</w:t>
            </w:r>
          </w:p>
          <w:p w14:paraId="3378C672">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（3）投标总报价或调价函中的报价未超过招标文件设定的最高投标限价（如有)及最高评标限价（如有）。</w:t>
            </w:r>
          </w:p>
          <w:p w14:paraId="564ABA3A">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（4）投标总报价或调价函中报价的大写金额能够确定具体数值。</w:t>
            </w:r>
          </w:p>
          <w:p w14:paraId="4C5E050C">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（5）同一投标人未提交两个以上不同的投标报价，但招标文件要求提交备选投标的除外。</w:t>
            </w:r>
          </w:p>
          <w:p w14:paraId="47C60814">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（6）投标人若提交调价函，调价函符合招标文件第二章“投标人须知”第3.2.6项要求。</w:t>
            </w:r>
          </w:p>
          <w:p w14:paraId="4FE52D74">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（7）投标人若填写工程量固化清单，填写完毕的工程量固化清单未对工程量固化清单电子文件中的数据、格式和运算定义进行修改；工程量固化清单中的投标总报价和投标函大写金额报价一致。</w:t>
            </w:r>
          </w:p>
          <w:p w14:paraId="12C130E3">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（8）投标文件符合招标文件第二章“投标人须知”第3.7.4项规定。</w:t>
            </w:r>
          </w:p>
        </w:tc>
      </w:tr>
      <w:tr w14:paraId="17EF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905" w:type="dxa"/>
            <w:vAlign w:val="center"/>
          </w:tcPr>
          <w:p w14:paraId="313F199B">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2.1.2</w:t>
            </w:r>
          </w:p>
        </w:tc>
        <w:tc>
          <w:tcPr>
            <w:tcW w:w="1674" w:type="dxa"/>
            <w:vAlign w:val="center"/>
          </w:tcPr>
          <w:p w14:paraId="3B75F22A">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资格评审标准</w:t>
            </w:r>
          </w:p>
        </w:tc>
        <w:tc>
          <w:tcPr>
            <w:tcW w:w="7062" w:type="dxa"/>
            <w:vAlign w:val="center"/>
          </w:tcPr>
          <w:p w14:paraId="319F384B">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0DA5D51F">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（2）投标人的资质等级符合招标文件规定；</w:t>
            </w:r>
          </w:p>
          <w:p w14:paraId="5A9E9143">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（3）投标人的财务状况符合招标文件规定；</w:t>
            </w:r>
          </w:p>
          <w:p w14:paraId="071E2C7E">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（4）投标人的类似项目业绩符合招标文件规定；</w:t>
            </w:r>
          </w:p>
          <w:p w14:paraId="2FAE355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5</w:t>
            </w:r>
            <w:r>
              <w:rPr>
                <w:rFonts w:hint="eastAsia" w:ascii="宋体" w:hAnsi="宋体" w:eastAsia="宋体" w:cs="宋体"/>
                <w:b w:val="0"/>
                <w:bCs w:val="0"/>
                <w:snapToGrid w:val="0"/>
                <w:color w:val="auto"/>
                <w:kern w:val="0"/>
                <w:sz w:val="24"/>
                <w:szCs w:val="24"/>
                <w:lang w:eastAsia="en-US"/>
              </w:rPr>
              <w:t>）投标人的信誉符合招标文件规定；</w:t>
            </w:r>
          </w:p>
          <w:p w14:paraId="6C2CF95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zh-CN"/>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6</w:t>
            </w:r>
            <w:r>
              <w:rPr>
                <w:rFonts w:hint="eastAsia" w:ascii="宋体" w:hAnsi="宋体" w:eastAsia="宋体" w:cs="宋体"/>
                <w:b w:val="0"/>
                <w:bCs w:val="0"/>
                <w:snapToGrid w:val="0"/>
                <w:color w:val="auto"/>
                <w:kern w:val="0"/>
                <w:sz w:val="24"/>
                <w:szCs w:val="24"/>
                <w:lang w:eastAsia="en-US"/>
              </w:rPr>
              <w:t>）投标人的项目经理和项目总工资格</w:t>
            </w:r>
            <w:r>
              <w:rPr>
                <w:rFonts w:hint="eastAsia" w:ascii="宋体" w:hAnsi="宋体" w:eastAsia="宋体" w:cs="宋体"/>
                <w:b w:val="0"/>
                <w:bCs w:val="0"/>
                <w:snapToGrid w:val="0"/>
                <w:color w:val="auto"/>
                <w:kern w:val="0"/>
                <w:sz w:val="24"/>
                <w:szCs w:val="24"/>
                <w:u w:val="single"/>
                <w:lang w:eastAsia="en-US"/>
              </w:rPr>
              <w:t>（均含备选）</w:t>
            </w:r>
            <w:r>
              <w:rPr>
                <w:rFonts w:hint="eastAsia" w:ascii="宋体" w:hAnsi="宋体" w:eastAsia="宋体" w:cs="宋体"/>
                <w:b w:val="0"/>
                <w:bCs w:val="0"/>
                <w:snapToGrid w:val="0"/>
                <w:color w:val="auto"/>
                <w:kern w:val="0"/>
                <w:sz w:val="24"/>
                <w:szCs w:val="24"/>
                <w:lang w:eastAsia="en-US"/>
              </w:rPr>
              <w:t>、在岗情况符合招标文件规定，并按规定在投标文件中签字确认</w:t>
            </w:r>
            <w:r>
              <w:rPr>
                <w:rFonts w:hint="eastAsia" w:ascii="宋体" w:hAnsi="宋体" w:eastAsia="宋体" w:cs="宋体"/>
                <w:b w:val="0"/>
                <w:bCs w:val="0"/>
                <w:snapToGrid w:val="0"/>
                <w:color w:val="auto"/>
                <w:kern w:val="0"/>
                <w:sz w:val="24"/>
                <w:szCs w:val="24"/>
                <w:lang w:eastAsia="zh-CN"/>
              </w:rPr>
              <w:t>；</w:t>
            </w:r>
          </w:p>
          <w:p w14:paraId="55F6759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highlight w:val="none"/>
                <w:lang w:eastAsia="en-US"/>
              </w:rPr>
            </w:pPr>
            <w:r>
              <w:rPr>
                <w:rFonts w:hint="eastAsia" w:ascii="宋体" w:hAnsi="宋体" w:eastAsia="宋体" w:cs="宋体"/>
                <w:b w:val="0"/>
                <w:bCs w:val="0"/>
                <w:snapToGrid w:val="0"/>
                <w:color w:val="auto"/>
                <w:kern w:val="0"/>
                <w:sz w:val="24"/>
                <w:szCs w:val="24"/>
                <w:highlight w:val="none"/>
                <w:lang w:eastAsia="en-US"/>
              </w:rPr>
              <w:t>（</w:t>
            </w:r>
            <w:r>
              <w:rPr>
                <w:rFonts w:hint="eastAsia" w:ascii="宋体" w:hAnsi="宋体" w:eastAsia="宋体" w:cs="宋体"/>
                <w:b w:val="0"/>
                <w:bCs w:val="0"/>
                <w:snapToGrid w:val="0"/>
                <w:color w:val="auto"/>
                <w:kern w:val="0"/>
                <w:sz w:val="24"/>
                <w:szCs w:val="24"/>
                <w:highlight w:val="none"/>
                <w:lang w:val="en-US" w:eastAsia="zh-CN"/>
              </w:rPr>
              <w:t>7</w:t>
            </w:r>
            <w:r>
              <w:rPr>
                <w:rFonts w:hint="eastAsia" w:ascii="宋体" w:hAnsi="宋体" w:eastAsia="宋体" w:cs="宋体"/>
                <w:b w:val="0"/>
                <w:bCs w:val="0"/>
                <w:snapToGrid w:val="0"/>
                <w:color w:val="auto"/>
                <w:kern w:val="0"/>
                <w:sz w:val="24"/>
                <w:szCs w:val="24"/>
                <w:highlight w:val="none"/>
                <w:lang w:eastAsia="en-US"/>
              </w:rPr>
              <w:t>）投标人的其他要求符合招标文件规定；</w:t>
            </w:r>
          </w:p>
          <w:p w14:paraId="3698FC1B">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8</w:t>
            </w:r>
            <w:r>
              <w:rPr>
                <w:rFonts w:hint="eastAsia" w:ascii="宋体" w:hAnsi="宋体" w:eastAsia="宋体" w:cs="宋体"/>
                <w:b w:val="0"/>
                <w:bCs w:val="0"/>
                <w:snapToGrid w:val="0"/>
                <w:color w:val="auto"/>
                <w:kern w:val="0"/>
                <w:sz w:val="24"/>
                <w:szCs w:val="24"/>
                <w:lang w:eastAsia="en-US"/>
              </w:rPr>
              <w:t>）投标人不存在第二章“投标人须知”第1.4.3项或第1.4.4项规定的任何一种情形；</w:t>
            </w:r>
          </w:p>
          <w:p w14:paraId="1C363A7C">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9</w:t>
            </w:r>
            <w:r>
              <w:rPr>
                <w:rFonts w:hint="eastAsia" w:ascii="宋体" w:hAnsi="宋体" w:eastAsia="宋体" w:cs="宋体"/>
                <w:b w:val="0"/>
                <w:bCs w:val="0"/>
                <w:snapToGrid w:val="0"/>
                <w:color w:val="auto"/>
                <w:kern w:val="0"/>
                <w:sz w:val="24"/>
                <w:szCs w:val="24"/>
                <w:lang w:eastAsia="en-US"/>
              </w:rPr>
              <w:t>）投标人符合第二章“投标人须知”第1.4.5项规定；</w:t>
            </w:r>
          </w:p>
        </w:tc>
      </w:tr>
    </w:tbl>
    <w:p w14:paraId="193133ED">
      <w:pPr>
        <w:pageBreakBefore w:val="0"/>
        <w:kinsoku/>
        <w:wordWrap/>
        <w:overflowPunct/>
        <w:topLinePunct w:val="0"/>
        <w:autoSpaceDE w:val="0"/>
        <w:autoSpaceDN w:val="0"/>
        <w:bidi w:val="0"/>
        <w:adjustRightInd w:val="0"/>
        <w:snapToGrid w:val="0"/>
        <w:spacing w:before="156" w:line="228" w:lineRule="auto"/>
        <w:jc w:val="left"/>
        <w:textAlignment w:val="baseline"/>
        <w:rPr>
          <w:rFonts w:ascii="宋体" w:hAnsi="宋体" w:eastAsia="宋体" w:cs="宋体"/>
          <w:snapToGrid w:val="0"/>
          <w:color w:val="auto"/>
          <w:spacing w:val="7"/>
          <w:kern w:val="0"/>
          <w:sz w:val="20"/>
          <w:szCs w:val="20"/>
          <w:lang w:val="en-US" w:eastAsia="en-US" w:bidi="ar-SA"/>
          <w14:textOutline w14:w="3795" w14:cap="sq" w14:cmpd="sng">
            <w14:solidFill>
              <w14:srgbClr w14:val="000000"/>
            </w14:solidFill>
            <w14:prstDash w14:val="solid"/>
            <w14:bevel/>
          </w14:textOutline>
        </w:rPr>
      </w:pPr>
    </w:p>
    <w:p w14:paraId="151A5E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7"/>
          <w:kern w:val="0"/>
          <w:sz w:val="20"/>
          <w:szCs w:val="20"/>
          <w:lang w:eastAsia="en-US"/>
          <w14:textOutline w14:w="3795" w14:cap="sq" w14:cmpd="sng">
            <w14:solidFill>
              <w14:srgbClr w14:val="000000"/>
            </w14:solidFill>
            <w14:prstDash w14:val="solid"/>
            <w14:bevel/>
          </w14:textOutline>
        </w:rPr>
      </w:pPr>
      <w:r>
        <w:rPr>
          <w:rFonts w:ascii="Arial" w:hAnsi="Arial" w:eastAsia="Arial" w:cs="Arial"/>
          <w:snapToGrid w:val="0"/>
          <w:color w:val="auto"/>
          <w:spacing w:val="7"/>
          <w:kern w:val="0"/>
          <w:sz w:val="20"/>
          <w:szCs w:val="20"/>
          <w:lang w:eastAsia="en-US"/>
          <w14:textOutline w14:w="3795" w14:cap="sq" w14:cmpd="sng">
            <w14:solidFill>
              <w14:srgbClr w14:val="000000"/>
            </w14:solidFill>
            <w14:prstDash w14:val="solid"/>
            <w14:bevel/>
          </w14:textOutline>
        </w:rPr>
        <w:br w:type="page"/>
      </w:r>
    </w:p>
    <w:p w14:paraId="5A68193B">
      <w:pPr>
        <w:pageBreakBefore w:val="0"/>
        <w:widowControl/>
        <w:kinsoku/>
        <w:wordWrap/>
        <w:overflowPunct/>
        <w:topLinePunct w:val="0"/>
        <w:autoSpaceDE w:val="0"/>
        <w:autoSpaceDN w:val="0"/>
        <w:bidi w:val="0"/>
        <w:adjustRightInd w:val="0"/>
        <w:snapToGrid w:val="0"/>
        <w:spacing w:before="228" w:line="240" w:lineRule="auto"/>
        <w:jc w:val="left"/>
        <w:textAlignment w:val="baseline"/>
        <w:rPr>
          <w:rFonts w:ascii="Arial" w:hAnsi="Arial" w:eastAsia="Arial" w:cs="Arial"/>
          <w:snapToGrid w:val="0"/>
          <w:color w:val="auto"/>
          <w:spacing w:val="7"/>
          <w:kern w:val="0"/>
          <w:sz w:val="20"/>
          <w:szCs w:val="20"/>
          <w:lang w:eastAsia="en-US"/>
          <w14:textOutline w14:w="3795" w14:cap="sq" w14:cmpd="sng">
            <w14:solidFill>
              <w14:srgbClr w14:val="000000"/>
            </w14:solidFill>
            <w14:prstDash w14:val="solid"/>
            <w14:bevel/>
          </w14:textOutline>
        </w:rPr>
      </w:pPr>
    </w:p>
    <w:tbl>
      <w:tblPr>
        <w:tblStyle w:val="7"/>
        <w:tblW w:w="1003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
        <w:gridCol w:w="539"/>
        <w:gridCol w:w="456"/>
        <w:gridCol w:w="516"/>
        <w:gridCol w:w="496"/>
        <w:gridCol w:w="1253"/>
        <w:gridCol w:w="463"/>
        <w:gridCol w:w="5338"/>
      </w:tblGrid>
      <w:tr w14:paraId="4301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6" w:type="dxa"/>
            <w:vAlign w:val="center"/>
          </w:tcPr>
          <w:p w14:paraId="3CE16971">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条款号</w:t>
            </w:r>
          </w:p>
        </w:tc>
        <w:tc>
          <w:tcPr>
            <w:tcW w:w="1516" w:type="dxa"/>
            <w:gridSpan w:val="4"/>
            <w:vAlign w:val="center"/>
          </w:tcPr>
          <w:p w14:paraId="77E1C7D9">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条款内容</w:t>
            </w:r>
          </w:p>
        </w:tc>
        <w:tc>
          <w:tcPr>
            <w:tcW w:w="7550" w:type="dxa"/>
            <w:gridSpan w:val="4"/>
            <w:vAlign w:val="center"/>
          </w:tcPr>
          <w:p w14:paraId="535BB7F3">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编列内容</w:t>
            </w:r>
          </w:p>
        </w:tc>
      </w:tr>
      <w:tr w14:paraId="6D2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966" w:type="dxa"/>
            <w:vAlign w:val="center"/>
          </w:tcPr>
          <w:p w14:paraId="5C3C01D1">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2.2.1</w:t>
            </w:r>
          </w:p>
        </w:tc>
        <w:tc>
          <w:tcPr>
            <w:tcW w:w="1516" w:type="dxa"/>
            <w:gridSpan w:val="4"/>
            <w:vAlign w:val="center"/>
          </w:tcPr>
          <w:p w14:paraId="1F9D23AB">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第一个信封评分分值构成</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总分100分</w:t>
            </w:r>
            <w:r>
              <w:rPr>
                <w:rFonts w:hint="eastAsia" w:ascii="宋体" w:hAnsi="宋体" w:eastAsia="宋体" w:cs="宋体"/>
                <w:b w:val="0"/>
                <w:bCs w:val="0"/>
                <w:snapToGrid w:val="0"/>
                <w:color w:val="auto"/>
                <w:kern w:val="0"/>
                <w:sz w:val="24"/>
                <w:szCs w:val="24"/>
                <w:lang w:eastAsia="zh-CN"/>
              </w:rPr>
              <w:t>）</w:t>
            </w:r>
          </w:p>
        </w:tc>
        <w:tc>
          <w:tcPr>
            <w:tcW w:w="7550" w:type="dxa"/>
            <w:gridSpan w:val="4"/>
            <w:vAlign w:val="center"/>
          </w:tcPr>
          <w:p w14:paraId="004D9231">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施工组织设计</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val="en-US" w:eastAsia="zh-CN"/>
              </w:rPr>
              <w:t>A</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u w:val="single"/>
                <w:lang w:val="en-US" w:eastAsia="zh-CN"/>
              </w:rPr>
              <w:t xml:space="preserve"> </w:t>
            </w:r>
            <w:r>
              <w:rPr>
                <w:rFonts w:hint="eastAsia" w:ascii="宋体" w:hAnsi="宋体" w:eastAsia="宋体" w:cs="宋体"/>
                <w:b/>
                <w:bCs/>
                <w:snapToGrid w:val="0"/>
                <w:color w:val="auto"/>
                <w:kern w:val="0"/>
                <w:sz w:val="24"/>
                <w:szCs w:val="24"/>
                <w:u w:val="single"/>
                <w:lang w:val="en-US" w:eastAsia="zh-CN"/>
              </w:rPr>
              <w:t>40</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w:t>
            </w:r>
          </w:p>
          <w:p w14:paraId="02C63F67">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主要人员</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B</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30</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w:t>
            </w:r>
          </w:p>
          <w:p w14:paraId="075EA840">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其他因素</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C</w:t>
            </w:r>
            <w:r>
              <w:rPr>
                <w:rFonts w:hint="eastAsia" w:ascii="宋体" w:hAnsi="宋体" w:eastAsia="宋体" w:cs="宋体"/>
                <w:b w:val="0"/>
                <w:bCs w:val="0"/>
                <w:snapToGrid w:val="0"/>
                <w:color w:val="auto"/>
                <w:kern w:val="0"/>
                <w:sz w:val="24"/>
                <w:szCs w:val="24"/>
                <w:lang w:eastAsia="zh-CN"/>
              </w:rPr>
              <w:t>）</w:t>
            </w:r>
          </w:p>
          <w:p w14:paraId="41E175AF">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技术能力：</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10</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w:t>
            </w:r>
          </w:p>
          <w:p w14:paraId="4B9E59DA">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履约信誉：</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20</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w:t>
            </w:r>
          </w:p>
        </w:tc>
      </w:tr>
      <w:tr w14:paraId="4F89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trPr>
        <w:tc>
          <w:tcPr>
            <w:tcW w:w="966" w:type="dxa"/>
            <w:vAlign w:val="center"/>
          </w:tcPr>
          <w:p w14:paraId="79679007">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p w14:paraId="3174C9EC">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2.2.3</w:t>
            </w:r>
          </w:p>
        </w:tc>
        <w:tc>
          <w:tcPr>
            <w:tcW w:w="1516" w:type="dxa"/>
            <w:gridSpan w:val="4"/>
            <w:vAlign w:val="center"/>
          </w:tcPr>
          <w:p w14:paraId="137308F4">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第二个信封详细评审标准</w:t>
            </w:r>
          </w:p>
        </w:tc>
        <w:tc>
          <w:tcPr>
            <w:tcW w:w="7550" w:type="dxa"/>
            <w:gridSpan w:val="4"/>
            <w:vAlign w:val="center"/>
          </w:tcPr>
          <w:p w14:paraId="698EE50E">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评标价的评审：</w:t>
            </w:r>
          </w:p>
          <w:p w14:paraId="040D0805">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val="en-US" w:eastAsia="zh-CN"/>
              </w:rPr>
              <w:t>1</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评标价计算公式：</w:t>
            </w:r>
          </w:p>
          <w:p w14:paraId="3E804825">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评标价=投标函文字报价</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lang w:eastAsia="en-US"/>
              </w:rPr>
              <w:t>暂估价</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lang w:eastAsia="en-US"/>
              </w:rPr>
              <w:t>暂列金额（不含计日工总额）</w:t>
            </w:r>
          </w:p>
          <w:p w14:paraId="6FC417E9">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zh-CN"/>
              </w:rPr>
            </w:pPr>
            <w:r>
              <w:rPr>
                <w:rFonts w:hint="eastAsia" w:ascii="宋体" w:hAnsi="宋体" w:eastAsia="宋体" w:cs="宋体"/>
                <w:b w:val="0"/>
                <w:bCs w:val="0"/>
                <w:snapToGrid w:val="0"/>
                <w:color w:val="auto"/>
                <w:kern w:val="0"/>
                <w:sz w:val="24"/>
                <w:szCs w:val="24"/>
                <w:lang w:eastAsia="zh-CN"/>
              </w:rPr>
              <w:t>若投标人的评标价小于</w:t>
            </w:r>
            <w:r>
              <w:rPr>
                <w:rFonts w:hint="eastAsia" w:ascii="宋体" w:hAnsi="宋体" w:eastAsia="宋体" w:cs="宋体"/>
                <w:b/>
                <w:bCs/>
                <w:snapToGrid w:val="0"/>
                <w:color w:val="auto"/>
                <w:kern w:val="0"/>
                <w:sz w:val="24"/>
                <w:szCs w:val="24"/>
                <w:lang w:eastAsia="zh-CN"/>
              </w:rPr>
              <w:t>最高投标限价85％</w:t>
            </w:r>
            <w:r>
              <w:rPr>
                <w:rFonts w:hint="eastAsia" w:ascii="宋体" w:hAnsi="宋体" w:eastAsia="宋体" w:cs="宋体"/>
                <w:b w:val="0"/>
                <w:bCs w:val="0"/>
                <w:snapToGrid w:val="0"/>
                <w:color w:val="auto"/>
                <w:kern w:val="0"/>
                <w:sz w:val="24"/>
                <w:szCs w:val="24"/>
                <w:lang w:eastAsia="zh-CN"/>
              </w:rPr>
              <w:t>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14:paraId="48F2A23F">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Arial" w:hAnsi="Arial" w:eastAsia="Arial" w:cs="Arial"/>
                <w:snapToGrid w:val="0"/>
                <w:color w:val="auto"/>
                <w:kern w:val="0"/>
                <w:szCs w:val="21"/>
                <w:lang w:eastAsia="en-US"/>
              </w:rPr>
            </w:pPr>
            <w:r>
              <w:rPr>
                <w:rFonts w:hint="eastAsia" w:ascii="宋体" w:hAnsi="宋体" w:eastAsia="宋体" w:cs="宋体"/>
                <w:b/>
                <w:bCs/>
                <w:snapToGrid w:val="0"/>
                <w:color w:val="auto"/>
                <w:kern w:val="0"/>
                <w:sz w:val="24"/>
                <w:szCs w:val="24"/>
                <w:lang w:val="en-US" w:eastAsia="en-US"/>
              </w:rPr>
              <w:t>注</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lang w:val="en-US" w:eastAsia="en-US"/>
              </w:rPr>
              <w:t>投标人在线制件投标文件时，须在电子交易平台准确填写各项目投标报价，包括但不限于投标函文字报价、暂估价、暂列金额等。</w:t>
            </w:r>
          </w:p>
        </w:tc>
      </w:tr>
      <w:tr w14:paraId="2A9A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Align w:val="center"/>
          </w:tcPr>
          <w:p w14:paraId="0A0F08CB">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3.2.4</w:t>
            </w:r>
          </w:p>
        </w:tc>
        <w:tc>
          <w:tcPr>
            <w:tcW w:w="1516" w:type="dxa"/>
            <w:gridSpan w:val="4"/>
            <w:vAlign w:val="center"/>
          </w:tcPr>
          <w:p w14:paraId="2FE4B3EB">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通过第一个信封详细评审的投标人数量</w:t>
            </w:r>
          </w:p>
        </w:tc>
        <w:tc>
          <w:tcPr>
            <w:tcW w:w="7550" w:type="dxa"/>
            <w:gridSpan w:val="4"/>
            <w:vAlign w:val="center"/>
          </w:tcPr>
          <w:p w14:paraId="0DACFCA8">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按照投标人的商务和技术得分由高到低排序，选择</w:t>
            </w:r>
            <w:r>
              <w:rPr>
                <w:rFonts w:hint="eastAsia" w:ascii="宋体" w:hAnsi="宋体" w:eastAsia="宋体" w:cs="宋体"/>
                <w:b/>
                <w:bCs/>
                <w:snapToGrid w:val="0"/>
                <w:color w:val="auto"/>
                <w:kern w:val="0"/>
                <w:sz w:val="24"/>
                <w:szCs w:val="24"/>
                <w:u w:val="single"/>
                <w:lang w:eastAsia="en-US"/>
              </w:rPr>
              <w:t>前5名（不少于3名但不足5名时，按全部实际数量）</w:t>
            </w:r>
            <w:r>
              <w:rPr>
                <w:rFonts w:hint="eastAsia" w:ascii="宋体" w:hAnsi="宋体" w:eastAsia="宋体" w:cs="宋体"/>
                <w:b w:val="0"/>
                <w:bCs w:val="0"/>
                <w:snapToGrid w:val="0"/>
                <w:color w:val="auto"/>
                <w:kern w:val="0"/>
                <w:sz w:val="24"/>
                <w:szCs w:val="24"/>
                <w:lang w:eastAsia="en-US"/>
              </w:rPr>
              <w:t>通过详细评审。</w:t>
            </w:r>
          </w:p>
          <w:p w14:paraId="0E9E398F">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Arial" w:hAnsi="Arial" w:eastAsia="宋体" w:cs="Arial"/>
                <w:snapToGrid w:val="0"/>
                <w:color w:val="auto"/>
                <w:kern w:val="0"/>
                <w:szCs w:val="21"/>
                <w:lang w:eastAsia="zh-CN"/>
              </w:rPr>
            </w:pPr>
            <w:r>
              <w:rPr>
                <w:rFonts w:hint="eastAsia" w:ascii="宋体" w:hAnsi="宋体" w:eastAsia="宋体" w:cs="宋体"/>
                <w:b/>
                <w:bCs/>
                <w:snapToGrid w:val="0"/>
                <w:color w:val="auto"/>
                <w:kern w:val="0"/>
                <w:sz w:val="24"/>
                <w:szCs w:val="24"/>
                <w:lang w:eastAsia="en-US"/>
              </w:rPr>
              <w:t>注</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eastAsia="en-US"/>
              </w:rPr>
              <w:t>上述“名次”包含了并列的情况</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eastAsia="en-US"/>
              </w:rPr>
              <w:t>如名次为1,1,3,4,5，则前5名为5家投标人</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eastAsia="en-US"/>
              </w:rPr>
              <w:t>如名次为1,2,3,4,5,5，则前5名为6家投标人，下同</w:t>
            </w:r>
            <w:r>
              <w:rPr>
                <w:rFonts w:hint="eastAsia" w:ascii="宋体" w:hAnsi="宋体" w:eastAsia="宋体" w:cs="宋体"/>
                <w:b/>
                <w:bCs/>
                <w:snapToGrid w:val="0"/>
                <w:color w:val="auto"/>
                <w:kern w:val="0"/>
                <w:sz w:val="24"/>
                <w:szCs w:val="24"/>
                <w:lang w:eastAsia="zh-CN"/>
              </w:rPr>
              <w:t>。</w:t>
            </w:r>
          </w:p>
        </w:tc>
      </w:tr>
      <w:tr w14:paraId="40C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694" w:type="dxa"/>
            <w:gridSpan w:val="8"/>
            <w:vAlign w:val="center"/>
          </w:tcPr>
          <w:p w14:paraId="5D5FFA98">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评分因素与权重分值</w:t>
            </w:r>
          </w:p>
        </w:tc>
        <w:tc>
          <w:tcPr>
            <w:tcW w:w="5338" w:type="dxa"/>
            <w:vMerge w:val="restart"/>
            <w:vAlign w:val="center"/>
          </w:tcPr>
          <w:p w14:paraId="7D815592">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评分标准</w:t>
            </w:r>
          </w:p>
        </w:tc>
      </w:tr>
      <w:tr w14:paraId="11C5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6" w:type="dxa"/>
            <w:vAlign w:val="center"/>
          </w:tcPr>
          <w:p w14:paraId="315CE9B5">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条款号</w:t>
            </w:r>
          </w:p>
        </w:tc>
        <w:tc>
          <w:tcPr>
            <w:tcW w:w="1000" w:type="dxa"/>
            <w:gridSpan w:val="3"/>
            <w:vAlign w:val="center"/>
          </w:tcPr>
          <w:p w14:paraId="757188D8">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评分因素</w:t>
            </w:r>
          </w:p>
        </w:tc>
        <w:tc>
          <w:tcPr>
            <w:tcW w:w="1012" w:type="dxa"/>
            <w:gridSpan w:val="2"/>
            <w:vAlign w:val="center"/>
          </w:tcPr>
          <w:p w14:paraId="316631E8">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评分因素权重分值</w:t>
            </w:r>
          </w:p>
        </w:tc>
        <w:tc>
          <w:tcPr>
            <w:tcW w:w="1253" w:type="dxa"/>
            <w:vAlign w:val="center"/>
          </w:tcPr>
          <w:p w14:paraId="7F2E1C2A">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各评分因素细分项</w:t>
            </w:r>
          </w:p>
        </w:tc>
        <w:tc>
          <w:tcPr>
            <w:tcW w:w="463" w:type="dxa"/>
            <w:vAlign w:val="center"/>
          </w:tcPr>
          <w:p w14:paraId="05D6E12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分值</w:t>
            </w:r>
          </w:p>
        </w:tc>
        <w:tc>
          <w:tcPr>
            <w:tcW w:w="5338" w:type="dxa"/>
            <w:vMerge w:val="continue"/>
            <w:vAlign w:val="center"/>
          </w:tcPr>
          <w:p w14:paraId="221C3963">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p>
        </w:tc>
      </w:tr>
      <w:tr w14:paraId="046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966" w:type="dxa"/>
            <w:vMerge w:val="restart"/>
            <w:vAlign w:val="center"/>
          </w:tcPr>
          <w:p w14:paraId="3E67B5C0">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2.2.2</w:t>
            </w:r>
          </w:p>
          <w:p w14:paraId="2C4A0705">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w:t>
            </w:r>
          </w:p>
        </w:tc>
        <w:tc>
          <w:tcPr>
            <w:tcW w:w="1000" w:type="dxa"/>
            <w:gridSpan w:val="3"/>
            <w:vMerge w:val="restart"/>
            <w:vAlign w:val="center"/>
          </w:tcPr>
          <w:p w14:paraId="77EBAEC0">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施工组织设计</w:t>
            </w:r>
          </w:p>
        </w:tc>
        <w:tc>
          <w:tcPr>
            <w:tcW w:w="1012" w:type="dxa"/>
            <w:gridSpan w:val="2"/>
            <w:vMerge w:val="restart"/>
            <w:vAlign w:val="center"/>
          </w:tcPr>
          <w:p w14:paraId="74856286">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u w:val="single" w:color="auto"/>
                <w:lang w:val="en-US" w:eastAsia="zh-CN"/>
              </w:rPr>
              <w:t>40</w:t>
            </w:r>
            <w:r>
              <w:rPr>
                <w:rFonts w:ascii="Arial" w:hAnsi="Arial" w:eastAsia="Arial" w:cs="Arial"/>
                <w:b/>
                <w:bCs/>
                <w:snapToGrid w:val="0"/>
                <w:color w:val="auto"/>
                <w:kern w:val="0"/>
                <w:sz w:val="24"/>
                <w:szCs w:val="24"/>
                <w:lang w:eastAsia="en-US"/>
              </w:rPr>
              <w:t>分</w:t>
            </w:r>
          </w:p>
        </w:tc>
        <w:tc>
          <w:tcPr>
            <w:tcW w:w="1253" w:type="dxa"/>
            <w:vAlign w:val="center"/>
          </w:tcPr>
          <w:p w14:paraId="375194BA">
            <w:pPr>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总体施工组织布置及规划</w:t>
            </w:r>
          </w:p>
        </w:tc>
        <w:tc>
          <w:tcPr>
            <w:tcW w:w="463" w:type="dxa"/>
            <w:vAlign w:val="center"/>
          </w:tcPr>
          <w:p w14:paraId="33141CE6">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u w:val="single" w:color="auto"/>
                <w:lang w:val="en-US" w:eastAsia="zh-CN"/>
              </w:rPr>
              <w:t>15</w:t>
            </w:r>
            <w:r>
              <w:rPr>
                <w:rFonts w:hint="eastAsia" w:ascii="Arial" w:hAnsi="Arial" w:eastAsia="Arial" w:cs="Arial"/>
                <w:b/>
                <w:bCs/>
                <w:snapToGrid w:val="0"/>
                <w:color w:val="auto"/>
                <w:kern w:val="0"/>
                <w:sz w:val="24"/>
                <w:szCs w:val="24"/>
                <w:u w:val="none" w:color="auto"/>
                <w:lang w:eastAsia="en-US"/>
              </w:rPr>
              <w:t>分</w:t>
            </w:r>
          </w:p>
        </w:tc>
        <w:tc>
          <w:tcPr>
            <w:tcW w:w="5338" w:type="dxa"/>
            <w:vAlign w:val="center"/>
          </w:tcPr>
          <w:p w14:paraId="13143D9D">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val="en-US" w:eastAsia="zh-CN"/>
              </w:rPr>
              <w:t>1</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对项目的基本情况了解全面、准确，施工总体布置规划、施工进度计划科学合理、可操作性强，按《广东省公路工程施工标准化指南》及《公路工程施工安全防护设施技术指南》执行，得</w:t>
            </w:r>
            <w:r>
              <w:rPr>
                <w:rFonts w:hint="eastAsia" w:ascii="宋体" w:hAnsi="宋体" w:eastAsia="宋体" w:cs="宋体"/>
                <w:b w:val="0"/>
                <w:bCs w:val="0"/>
                <w:snapToGrid w:val="0"/>
                <w:color w:val="auto"/>
                <w:kern w:val="0"/>
                <w:sz w:val="24"/>
                <w:szCs w:val="24"/>
                <w:u w:val="single"/>
                <w:lang w:eastAsia="en-US"/>
              </w:rPr>
              <w:t xml:space="preserve"> </w:t>
            </w:r>
            <w:bookmarkStart w:id="0" w:name="OLE_LINK69"/>
            <w:r>
              <w:rPr>
                <w:rFonts w:hint="eastAsia" w:ascii="宋体" w:hAnsi="宋体" w:eastAsia="宋体" w:cs="宋体"/>
                <w:b/>
                <w:bCs/>
                <w:snapToGrid w:val="0"/>
                <w:color w:val="auto"/>
                <w:kern w:val="0"/>
                <w:sz w:val="24"/>
                <w:szCs w:val="24"/>
                <w:u w:val="single"/>
                <w:lang w:val="en-US" w:eastAsia="zh-CN"/>
              </w:rPr>
              <w:t>12-15</w:t>
            </w:r>
            <w:bookmarkEnd w:id="0"/>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分（满分分值的80%～100%）；</w:t>
            </w:r>
          </w:p>
          <w:p w14:paraId="56134F6C">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（2）满足工程建设需要，施工总体布置规划、施工进度计划基本可行，得</w:t>
            </w:r>
            <w:r>
              <w:rPr>
                <w:rFonts w:hint="eastAsia" w:ascii="宋体" w:hAnsi="宋体" w:eastAsia="宋体" w:cs="宋体"/>
                <w:b w:val="0"/>
                <w:bCs w:val="0"/>
                <w:snapToGrid w:val="0"/>
                <w:color w:val="auto"/>
                <w:kern w:val="0"/>
                <w:sz w:val="24"/>
                <w:szCs w:val="24"/>
                <w:u w:val="single"/>
                <w:lang w:eastAsia="en-US"/>
              </w:rPr>
              <w:t xml:space="preserve"> </w:t>
            </w:r>
            <w:bookmarkStart w:id="1" w:name="OLE_LINK70"/>
            <w:r>
              <w:rPr>
                <w:rFonts w:hint="eastAsia" w:ascii="宋体" w:hAnsi="宋体" w:eastAsia="宋体" w:cs="宋体"/>
                <w:b/>
                <w:bCs/>
                <w:snapToGrid w:val="0"/>
                <w:color w:val="auto"/>
                <w:kern w:val="0"/>
                <w:sz w:val="24"/>
                <w:szCs w:val="24"/>
                <w:u w:val="single"/>
                <w:lang w:val="en-US" w:eastAsia="zh-CN"/>
              </w:rPr>
              <w:t>9-12</w:t>
            </w:r>
            <w:bookmarkEnd w:id="1"/>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分（满分分值的60%～80%）；</w:t>
            </w:r>
          </w:p>
          <w:p w14:paraId="2660858B">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（3）一般但不被评定为不响应的</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9</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分（满分分值的60%）。</w:t>
            </w:r>
          </w:p>
        </w:tc>
      </w:tr>
      <w:tr w14:paraId="5D3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6" w:hRule="atLeast"/>
        </w:trPr>
        <w:tc>
          <w:tcPr>
            <w:tcW w:w="966" w:type="dxa"/>
            <w:vMerge w:val="continue"/>
            <w:vAlign w:val="center"/>
          </w:tcPr>
          <w:p w14:paraId="3AA4DD5D">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1000" w:type="dxa"/>
            <w:gridSpan w:val="3"/>
            <w:vMerge w:val="continue"/>
            <w:vAlign w:val="center"/>
          </w:tcPr>
          <w:p w14:paraId="6AE9DF5D">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1012" w:type="dxa"/>
            <w:gridSpan w:val="2"/>
            <w:vMerge w:val="continue"/>
            <w:vAlign w:val="center"/>
          </w:tcPr>
          <w:p w14:paraId="21623C1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b w:val="0"/>
                <w:bCs w:val="0"/>
                <w:snapToGrid w:val="0"/>
                <w:color w:val="auto"/>
                <w:kern w:val="0"/>
                <w:sz w:val="24"/>
                <w:szCs w:val="24"/>
                <w:u w:val="single" w:color="auto"/>
                <w:lang w:eastAsia="en-US"/>
              </w:rPr>
            </w:pPr>
          </w:p>
        </w:tc>
        <w:tc>
          <w:tcPr>
            <w:tcW w:w="1253" w:type="dxa"/>
            <w:vAlign w:val="center"/>
          </w:tcPr>
          <w:p w14:paraId="350A7F8F">
            <w:pPr>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重点、难点和关键工程的施工方案与技术措施</w:t>
            </w:r>
          </w:p>
        </w:tc>
        <w:tc>
          <w:tcPr>
            <w:tcW w:w="463" w:type="dxa"/>
            <w:vAlign w:val="center"/>
          </w:tcPr>
          <w:p w14:paraId="21D10731">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Arial" w:hAnsi="Arial" w:eastAsia="Arial" w:cs="Arial"/>
                <w:b w:val="0"/>
                <w:bCs w:val="0"/>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15</w:t>
            </w:r>
            <w:r>
              <w:rPr>
                <w:rFonts w:hint="eastAsia" w:ascii="Arial" w:hAnsi="Arial" w:eastAsia="Arial" w:cs="Arial"/>
                <w:b/>
                <w:bCs/>
                <w:snapToGrid w:val="0"/>
                <w:color w:val="auto"/>
                <w:kern w:val="0"/>
                <w:sz w:val="24"/>
                <w:szCs w:val="24"/>
                <w:u w:val="none" w:color="auto"/>
                <w:lang w:eastAsia="en-US"/>
              </w:rPr>
              <w:t>分</w:t>
            </w:r>
          </w:p>
        </w:tc>
        <w:tc>
          <w:tcPr>
            <w:tcW w:w="5338" w:type="dxa"/>
            <w:vAlign w:val="center"/>
          </w:tcPr>
          <w:p w14:paraId="5D0001E7">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12-15</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分（满分分值的80%～100%）；</w:t>
            </w:r>
          </w:p>
          <w:p w14:paraId="21779F49">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（2）对项目重点、难点和关键工程认识基本到位，施工方案与技术措施基本可行，重点较为突出的，得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 xml:space="preserve">9-12 </w:t>
            </w:r>
            <w:r>
              <w:rPr>
                <w:rFonts w:hint="eastAsia" w:ascii="宋体" w:hAnsi="宋体" w:eastAsia="宋体" w:cs="宋体"/>
                <w:b w:val="0"/>
                <w:bCs w:val="0"/>
                <w:snapToGrid w:val="0"/>
                <w:color w:val="auto"/>
                <w:kern w:val="0"/>
                <w:sz w:val="24"/>
                <w:szCs w:val="24"/>
                <w:lang w:eastAsia="en-US"/>
              </w:rPr>
              <w:t>分（满分分值的60%～80%）；</w:t>
            </w:r>
          </w:p>
          <w:p w14:paraId="57B7C6F2">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（3）一般但不被评定为不响应的</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9</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分（满分分值的60%）。</w:t>
            </w:r>
          </w:p>
        </w:tc>
      </w:tr>
      <w:tr w14:paraId="1F47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966" w:type="dxa"/>
            <w:vMerge w:val="continue"/>
            <w:vAlign w:val="center"/>
          </w:tcPr>
          <w:p w14:paraId="725272D3">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1000" w:type="dxa"/>
            <w:gridSpan w:val="3"/>
            <w:vMerge w:val="continue"/>
            <w:vAlign w:val="center"/>
          </w:tcPr>
          <w:p w14:paraId="65D4F6F1">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1012" w:type="dxa"/>
            <w:gridSpan w:val="2"/>
            <w:vMerge w:val="continue"/>
            <w:vAlign w:val="center"/>
          </w:tcPr>
          <w:p w14:paraId="3092C20D">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b w:val="0"/>
                <w:bCs w:val="0"/>
                <w:snapToGrid w:val="0"/>
                <w:color w:val="auto"/>
                <w:kern w:val="0"/>
                <w:sz w:val="24"/>
                <w:szCs w:val="24"/>
                <w:u w:val="single" w:color="auto"/>
                <w:lang w:eastAsia="en-US"/>
              </w:rPr>
            </w:pPr>
          </w:p>
        </w:tc>
        <w:tc>
          <w:tcPr>
            <w:tcW w:w="1253" w:type="dxa"/>
            <w:vAlign w:val="center"/>
          </w:tcPr>
          <w:p w14:paraId="0D48A1B1">
            <w:pPr>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工期、质量、安全、环保水保、文明施工保证措施</w:t>
            </w:r>
          </w:p>
        </w:tc>
        <w:tc>
          <w:tcPr>
            <w:tcW w:w="463" w:type="dxa"/>
            <w:vAlign w:val="center"/>
          </w:tcPr>
          <w:p w14:paraId="6C6B7FC4">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Arial" w:hAnsi="Arial" w:eastAsia="Arial" w:cs="Arial"/>
                <w:b w:val="0"/>
                <w:bCs w:val="0"/>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10</w:t>
            </w:r>
            <w:r>
              <w:rPr>
                <w:rFonts w:hint="eastAsia" w:ascii="Arial" w:hAnsi="Arial" w:eastAsia="Arial" w:cs="Arial"/>
                <w:b/>
                <w:bCs/>
                <w:snapToGrid w:val="0"/>
                <w:color w:val="auto"/>
                <w:kern w:val="0"/>
                <w:sz w:val="24"/>
                <w:szCs w:val="24"/>
                <w:u w:val="none" w:color="auto"/>
                <w:lang w:eastAsia="en-US"/>
              </w:rPr>
              <w:t>分</w:t>
            </w:r>
          </w:p>
        </w:tc>
        <w:tc>
          <w:tcPr>
            <w:tcW w:w="5338" w:type="dxa"/>
            <w:vAlign w:val="center"/>
          </w:tcPr>
          <w:p w14:paraId="564C4301">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能够准确预判分析工期、质量、安全、环保、水保、文明施工目标实现的主要影响因素，拟采取预防保证措施针对性强、科学有效，重点突出的，按《广东省公路工程施工标准化指南》及《公路工程施工安全防护设施技术指南》执行，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8-10</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分（满分分值的80%～100%）；</w:t>
            </w:r>
          </w:p>
          <w:p w14:paraId="7252AE7C">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（2）对工期、质量、安全、环保、水保等风险有一定认识，预防保证措施基本可行，重点较为突出的，得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6-8</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分（满分分值的60%～80%）；</w:t>
            </w:r>
          </w:p>
          <w:p w14:paraId="0572C47F">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（3）一般但不被评定为不响应的</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bCs/>
                <w:snapToGrid w:val="0"/>
                <w:color w:val="auto"/>
                <w:kern w:val="0"/>
                <w:sz w:val="24"/>
                <w:szCs w:val="24"/>
                <w:u w:val="single"/>
                <w:lang w:val="en-US" w:eastAsia="zh-CN"/>
              </w:rPr>
              <w:t>6</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分（满分分值的60%）。</w:t>
            </w:r>
          </w:p>
        </w:tc>
      </w:tr>
      <w:tr w14:paraId="4384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66" w:type="dxa"/>
            <w:vMerge w:val="restart"/>
            <w:vAlign w:val="center"/>
          </w:tcPr>
          <w:p w14:paraId="6A82E178">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2.2.2</w:t>
            </w:r>
          </w:p>
          <w:p w14:paraId="7503AB93">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w:t>
            </w:r>
          </w:p>
        </w:tc>
        <w:tc>
          <w:tcPr>
            <w:tcW w:w="1000" w:type="dxa"/>
            <w:gridSpan w:val="3"/>
            <w:vMerge w:val="restart"/>
            <w:vAlign w:val="center"/>
          </w:tcPr>
          <w:p w14:paraId="6F9D1996">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主要人员</w:t>
            </w:r>
          </w:p>
        </w:tc>
        <w:tc>
          <w:tcPr>
            <w:tcW w:w="1012" w:type="dxa"/>
            <w:gridSpan w:val="2"/>
            <w:vMerge w:val="restart"/>
            <w:vAlign w:val="center"/>
          </w:tcPr>
          <w:p w14:paraId="050271A5">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b w:val="0"/>
                <w:bCs w:val="0"/>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30</w:t>
            </w:r>
            <w:r>
              <w:rPr>
                <w:rFonts w:ascii="Arial" w:hAnsi="Arial" w:eastAsia="Arial" w:cs="Arial"/>
                <w:b/>
                <w:bCs/>
                <w:snapToGrid w:val="0"/>
                <w:color w:val="auto"/>
                <w:kern w:val="0"/>
                <w:sz w:val="24"/>
                <w:szCs w:val="24"/>
                <w:lang w:eastAsia="en-US"/>
              </w:rPr>
              <w:t>分</w:t>
            </w:r>
          </w:p>
        </w:tc>
        <w:tc>
          <w:tcPr>
            <w:tcW w:w="1253" w:type="dxa"/>
            <w:vAlign w:val="center"/>
          </w:tcPr>
          <w:p w14:paraId="7C878BA0">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项目经理任职资格与业绩</w:t>
            </w:r>
          </w:p>
        </w:tc>
        <w:tc>
          <w:tcPr>
            <w:tcW w:w="463" w:type="dxa"/>
            <w:vAlign w:val="center"/>
          </w:tcPr>
          <w:p w14:paraId="6B723ABA">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Arial" w:hAnsi="Arial" w:eastAsia="Arial" w:cs="Arial"/>
                <w:b w:val="0"/>
                <w:bCs w:val="0"/>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15</w:t>
            </w:r>
            <w:r>
              <w:rPr>
                <w:rFonts w:hint="eastAsia" w:ascii="Arial" w:hAnsi="Arial" w:eastAsia="Arial" w:cs="Arial"/>
                <w:b/>
                <w:bCs/>
                <w:snapToGrid w:val="0"/>
                <w:color w:val="auto"/>
                <w:kern w:val="0"/>
                <w:sz w:val="24"/>
                <w:szCs w:val="24"/>
                <w:u w:val="none" w:color="auto"/>
                <w:lang w:eastAsia="en-US"/>
              </w:rPr>
              <w:t>分</w:t>
            </w:r>
          </w:p>
        </w:tc>
        <w:tc>
          <w:tcPr>
            <w:tcW w:w="5338" w:type="dxa"/>
            <w:vAlign w:val="center"/>
          </w:tcPr>
          <w:p w14:paraId="1FDD4C66">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满足资格审查条件（项目经理和项目总工最低要求）时，得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u w:val="single"/>
                <w:lang w:val="en-US" w:eastAsia="zh-CN"/>
              </w:rPr>
              <w:t>15</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w:t>
            </w:r>
          </w:p>
          <w:p w14:paraId="378BCB5F">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Arial" w:hAnsi="Arial" w:eastAsia="Arial" w:cs="Arial"/>
                <w:snapToGrid w:val="0"/>
                <w:color w:val="auto"/>
                <w:kern w:val="0"/>
                <w:szCs w:val="21"/>
                <w:lang w:eastAsia="en-US"/>
              </w:rPr>
            </w:pPr>
            <w:r>
              <w:rPr>
                <w:rFonts w:hint="eastAsia" w:ascii="宋体" w:hAnsi="宋体" w:eastAsia="宋体" w:cs="宋体"/>
                <w:b w:val="0"/>
                <w:bCs w:val="0"/>
                <w:snapToGrid w:val="0"/>
                <w:color w:val="auto"/>
                <w:kern w:val="0"/>
                <w:sz w:val="24"/>
                <w:szCs w:val="24"/>
                <w:lang w:eastAsia="en-US"/>
              </w:rPr>
              <w:t>须按“投标人须知”第3.5.5项的要求提供证明材料。</w:t>
            </w:r>
          </w:p>
        </w:tc>
      </w:tr>
      <w:tr w14:paraId="0AF8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6" w:type="dxa"/>
            <w:vMerge w:val="continue"/>
            <w:vAlign w:val="center"/>
          </w:tcPr>
          <w:p w14:paraId="3F9B078B">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1000" w:type="dxa"/>
            <w:gridSpan w:val="3"/>
            <w:vMerge w:val="continue"/>
            <w:vAlign w:val="center"/>
          </w:tcPr>
          <w:p w14:paraId="3315A26A">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1012" w:type="dxa"/>
            <w:gridSpan w:val="2"/>
            <w:vMerge w:val="continue"/>
            <w:vAlign w:val="center"/>
          </w:tcPr>
          <w:p w14:paraId="05F5E89B">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snapToGrid w:val="0"/>
                <w:color w:val="auto"/>
                <w:kern w:val="0"/>
                <w:sz w:val="24"/>
                <w:szCs w:val="24"/>
                <w:u w:val="single" w:color="auto"/>
                <w:lang w:eastAsia="en-US"/>
              </w:rPr>
            </w:pPr>
          </w:p>
        </w:tc>
        <w:tc>
          <w:tcPr>
            <w:tcW w:w="1253" w:type="dxa"/>
            <w:vAlign w:val="center"/>
          </w:tcPr>
          <w:p w14:paraId="1488E907">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项目总工任职资格与业绩</w:t>
            </w:r>
          </w:p>
        </w:tc>
        <w:tc>
          <w:tcPr>
            <w:tcW w:w="463" w:type="dxa"/>
            <w:vAlign w:val="center"/>
          </w:tcPr>
          <w:p w14:paraId="37A3CCC4">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15</w:t>
            </w:r>
            <w:r>
              <w:rPr>
                <w:rFonts w:hint="eastAsia" w:ascii="Arial" w:hAnsi="Arial" w:eastAsia="Arial" w:cs="Arial"/>
                <w:b/>
                <w:bCs/>
                <w:snapToGrid w:val="0"/>
                <w:color w:val="auto"/>
                <w:kern w:val="0"/>
                <w:sz w:val="24"/>
                <w:szCs w:val="24"/>
                <w:u w:val="none" w:color="auto"/>
                <w:lang w:eastAsia="en-US"/>
              </w:rPr>
              <w:t>分</w:t>
            </w:r>
          </w:p>
        </w:tc>
        <w:tc>
          <w:tcPr>
            <w:tcW w:w="5338" w:type="dxa"/>
            <w:vAlign w:val="center"/>
          </w:tcPr>
          <w:p w14:paraId="5CC1028B">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（1）满足资格审查条件（项目经理和项目总工最低要求）时，得</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u w:val="single"/>
                <w:lang w:val="en-US" w:eastAsia="zh-CN"/>
              </w:rPr>
              <w:t>15</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w:t>
            </w:r>
          </w:p>
          <w:p w14:paraId="334F72EE">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Arial" w:hAnsi="Arial" w:eastAsia="Arial" w:cs="Arial"/>
                <w:snapToGrid w:val="0"/>
                <w:color w:val="auto"/>
                <w:kern w:val="0"/>
                <w:szCs w:val="21"/>
                <w:lang w:eastAsia="en-US"/>
              </w:rPr>
            </w:pPr>
            <w:r>
              <w:rPr>
                <w:rFonts w:hint="eastAsia" w:ascii="宋体" w:hAnsi="宋体" w:eastAsia="宋体" w:cs="宋体"/>
                <w:b w:val="0"/>
                <w:bCs w:val="0"/>
                <w:snapToGrid w:val="0"/>
                <w:color w:val="auto"/>
                <w:kern w:val="0"/>
                <w:sz w:val="24"/>
                <w:szCs w:val="24"/>
                <w:lang w:eastAsia="en-US"/>
              </w:rPr>
              <w:t>须按“投标人须知”第3.5.5项的要求提供证明材料。</w:t>
            </w:r>
          </w:p>
        </w:tc>
      </w:tr>
      <w:tr w14:paraId="6ED0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66" w:type="dxa"/>
            <w:vMerge w:val="restart"/>
            <w:vAlign w:val="center"/>
          </w:tcPr>
          <w:p w14:paraId="68A4E3C6">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2.2.2</w:t>
            </w:r>
          </w:p>
          <w:p w14:paraId="499B5C6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w:t>
            </w:r>
          </w:p>
        </w:tc>
        <w:tc>
          <w:tcPr>
            <w:tcW w:w="544" w:type="dxa"/>
            <w:gridSpan w:val="2"/>
            <w:vMerge w:val="restart"/>
            <w:vAlign w:val="center"/>
          </w:tcPr>
          <w:p w14:paraId="410B1AE7">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其他因素</w:t>
            </w:r>
          </w:p>
        </w:tc>
        <w:tc>
          <w:tcPr>
            <w:tcW w:w="456" w:type="dxa"/>
            <w:vAlign w:val="center"/>
          </w:tcPr>
          <w:p w14:paraId="77F639A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技术能力</w:t>
            </w:r>
          </w:p>
        </w:tc>
        <w:tc>
          <w:tcPr>
            <w:tcW w:w="1012" w:type="dxa"/>
            <w:gridSpan w:val="2"/>
            <w:vAlign w:val="center"/>
          </w:tcPr>
          <w:p w14:paraId="3A4D5BC3">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10</w:t>
            </w:r>
            <w:r>
              <w:rPr>
                <w:rFonts w:ascii="Arial" w:hAnsi="Arial" w:eastAsia="Arial" w:cs="Arial"/>
                <w:b/>
                <w:bCs/>
                <w:snapToGrid w:val="0"/>
                <w:color w:val="auto"/>
                <w:kern w:val="0"/>
                <w:sz w:val="24"/>
                <w:szCs w:val="24"/>
                <w:lang w:eastAsia="en-US"/>
              </w:rPr>
              <w:t>分</w:t>
            </w:r>
          </w:p>
        </w:tc>
        <w:tc>
          <w:tcPr>
            <w:tcW w:w="7054" w:type="dxa"/>
            <w:gridSpan w:val="3"/>
            <w:vAlign w:val="center"/>
          </w:tcPr>
          <w:p w14:paraId="474E09D7">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highlight w:val="none"/>
                <w:lang w:eastAsia="en-US"/>
              </w:rPr>
            </w:pPr>
            <w:r>
              <w:rPr>
                <w:rFonts w:hint="eastAsia" w:ascii="宋体" w:hAnsi="宋体" w:eastAsia="宋体" w:cs="宋体"/>
                <w:b w:val="0"/>
                <w:bCs w:val="0"/>
                <w:snapToGrid w:val="0"/>
                <w:color w:val="auto"/>
                <w:kern w:val="0"/>
                <w:sz w:val="24"/>
                <w:szCs w:val="24"/>
                <w:highlight w:val="none"/>
                <w:lang w:eastAsia="en-US"/>
              </w:rPr>
              <w:t>（1）投标人获得与项目施工有关(指与项目标类相对应)的国家级工法、专利（发明专利或实用新型专利）、国家级科学技术进步奖、鲁班奖、詹天佑奖，主编或参编过国家标准，每项加</w:t>
            </w:r>
            <w:r>
              <w:rPr>
                <w:rFonts w:hint="eastAsia" w:ascii="宋体" w:hAnsi="宋体" w:eastAsia="宋体" w:cs="宋体"/>
                <w:b w:val="0"/>
                <w:bCs w:val="0"/>
                <w:snapToGrid w:val="0"/>
                <w:color w:val="auto"/>
                <w:kern w:val="0"/>
                <w:sz w:val="24"/>
                <w:szCs w:val="24"/>
                <w:highlight w:val="none"/>
                <w:u w:val="single"/>
                <w:lang w:eastAsia="en-US"/>
              </w:rPr>
              <w:t xml:space="preserve"> </w:t>
            </w:r>
            <w:r>
              <w:rPr>
                <w:rFonts w:hint="eastAsia" w:ascii="宋体" w:hAnsi="宋体" w:eastAsia="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u w:val="single"/>
                <w:lang w:eastAsia="en-US"/>
              </w:rPr>
              <w:t xml:space="preserve"> </w:t>
            </w:r>
            <w:r>
              <w:rPr>
                <w:rFonts w:hint="eastAsia" w:ascii="宋体" w:hAnsi="宋体" w:eastAsia="宋体" w:cs="宋体"/>
                <w:b w:val="0"/>
                <w:bCs w:val="0"/>
                <w:snapToGrid w:val="0"/>
                <w:color w:val="auto"/>
                <w:kern w:val="0"/>
                <w:sz w:val="24"/>
                <w:szCs w:val="24"/>
                <w:highlight w:val="none"/>
                <w:lang w:eastAsia="en-US"/>
              </w:rPr>
              <w:t>分；</w:t>
            </w:r>
          </w:p>
          <w:p w14:paraId="5C205953">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highlight w:val="none"/>
                <w:lang w:eastAsia="en-US"/>
              </w:rPr>
            </w:pPr>
            <w:r>
              <w:rPr>
                <w:rFonts w:hint="eastAsia" w:ascii="宋体" w:hAnsi="宋体" w:eastAsia="宋体" w:cs="宋体"/>
                <w:b w:val="0"/>
                <w:bCs w:val="0"/>
                <w:snapToGrid w:val="0"/>
                <w:color w:val="auto"/>
                <w:kern w:val="0"/>
                <w:sz w:val="24"/>
                <w:szCs w:val="24"/>
                <w:highlight w:val="none"/>
                <w:lang w:eastAsia="en-US"/>
              </w:rPr>
              <w:t>（2）投标人获得与项目施工有关(指与项目标类相对应)</w:t>
            </w:r>
            <w:r>
              <w:rPr>
                <w:rFonts w:hint="eastAsia" w:ascii="宋体" w:hAnsi="宋体" w:eastAsia="宋体" w:cs="宋体"/>
                <w:b w:val="0"/>
                <w:bCs w:val="0"/>
                <w:snapToGrid w:val="0"/>
                <w:color w:val="auto"/>
                <w:kern w:val="0"/>
                <w:sz w:val="24"/>
                <w:szCs w:val="24"/>
                <w:highlight w:val="none"/>
                <w:lang w:val="en-US" w:eastAsia="zh-CN"/>
              </w:rPr>
              <w:t>的</w:t>
            </w:r>
            <w:r>
              <w:rPr>
                <w:rFonts w:hint="eastAsia" w:ascii="宋体" w:hAnsi="宋体" w:eastAsia="宋体" w:cs="宋体"/>
                <w:b w:val="0"/>
                <w:bCs w:val="0"/>
                <w:snapToGrid w:val="0"/>
                <w:color w:val="auto"/>
                <w:kern w:val="0"/>
                <w:sz w:val="24"/>
                <w:szCs w:val="24"/>
                <w:highlight w:val="none"/>
                <w:lang w:eastAsia="en-US"/>
              </w:rPr>
              <w:t>省级科学技术进步奖，主编或参编过的行业或地方（指省级）标准，每项加</w:t>
            </w:r>
            <w:r>
              <w:rPr>
                <w:rFonts w:hint="eastAsia" w:ascii="宋体" w:hAnsi="宋体" w:eastAsia="宋体" w:cs="宋体"/>
                <w:b w:val="0"/>
                <w:bCs w:val="0"/>
                <w:snapToGrid w:val="0"/>
                <w:color w:val="auto"/>
                <w:kern w:val="0"/>
                <w:sz w:val="24"/>
                <w:szCs w:val="24"/>
                <w:highlight w:val="none"/>
                <w:u w:val="single"/>
                <w:lang w:eastAsia="en-US"/>
              </w:rPr>
              <w:t xml:space="preserve"> </w:t>
            </w:r>
            <w:r>
              <w:rPr>
                <w:rFonts w:hint="eastAsia" w:ascii="宋体" w:hAnsi="宋体" w:eastAsia="宋体" w:cs="宋体"/>
                <w:b w:val="0"/>
                <w:bCs w:val="0"/>
                <w:snapToGrid w:val="0"/>
                <w:color w:val="auto"/>
                <w:kern w:val="0"/>
                <w:sz w:val="24"/>
                <w:szCs w:val="24"/>
                <w:highlight w:val="none"/>
                <w:u w:val="single"/>
                <w:lang w:val="en-US" w:eastAsia="zh-CN"/>
              </w:rPr>
              <w:t>1</w:t>
            </w:r>
            <w:r>
              <w:rPr>
                <w:rFonts w:hint="eastAsia" w:ascii="宋体" w:hAnsi="宋体" w:eastAsia="宋体" w:cs="宋体"/>
                <w:b w:val="0"/>
                <w:bCs w:val="0"/>
                <w:snapToGrid w:val="0"/>
                <w:color w:val="auto"/>
                <w:kern w:val="0"/>
                <w:sz w:val="24"/>
                <w:szCs w:val="24"/>
                <w:highlight w:val="none"/>
                <w:u w:val="single"/>
                <w:lang w:eastAsia="en-US"/>
              </w:rPr>
              <w:t xml:space="preserve"> </w:t>
            </w:r>
            <w:r>
              <w:rPr>
                <w:rFonts w:hint="eastAsia" w:ascii="宋体" w:hAnsi="宋体" w:eastAsia="宋体" w:cs="宋体"/>
                <w:b w:val="0"/>
                <w:bCs w:val="0"/>
                <w:snapToGrid w:val="0"/>
                <w:color w:val="auto"/>
                <w:kern w:val="0"/>
                <w:sz w:val="24"/>
                <w:szCs w:val="24"/>
                <w:highlight w:val="none"/>
                <w:lang w:eastAsia="en-US"/>
              </w:rPr>
              <w:t>分；</w:t>
            </w:r>
          </w:p>
          <w:p w14:paraId="11C6E154">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Arial" w:hAnsi="Arial" w:eastAsia="Arial" w:cs="Arial"/>
                <w:snapToGrid w:val="0"/>
                <w:color w:val="auto"/>
                <w:kern w:val="0"/>
                <w:szCs w:val="21"/>
                <w:lang w:eastAsia="en-US"/>
              </w:rPr>
            </w:pPr>
            <w:r>
              <w:rPr>
                <w:rFonts w:hint="eastAsia" w:ascii="宋体" w:hAnsi="宋体" w:eastAsia="宋体" w:cs="宋体"/>
                <w:b w:val="0"/>
                <w:bCs w:val="0"/>
                <w:snapToGrid w:val="0"/>
                <w:color w:val="auto"/>
                <w:kern w:val="0"/>
                <w:sz w:val="24"/>
                <w:szCs w:val="24"/>
                <w:lang w:eastAsia="en-US"/>
              </w:rPr>
              <w:t>注：技术能力加分最高</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u w:val="single"/>
                <w:lang w:val="en-US" w:eastAsia="zh-CN"/>
              </w:rPr>
              <w:t>10</w:t>
            </w:r>
            <w:r>
              <w:rPr>
                <w:rFonts w:hint="eastAsia" w:ascii="宋体" w:hAnsi="宋体" w:eastAsia="宋体" w:cs="宋体"/>
                <w:b w:val="0"/>
                <w:bCs w:val="0"/>
                <w:snapToGrid w:val="0"/>
                <w:color w:val="auto"/>
                <w:kern w:val="0"/>
                <w:sz w:val="24"/>
                <w:szCs w:val="24"/>
                <w:u w:val="single"/>
                <w:lang w:eastAsia="en-US"/>
              </w:rPr>
              <w:t xml:space="preserve"> </w:t>
            </w:r>
            <w:r>
              <w:rPr>
                <w:rFonts w:hint="eastAsia" w:ascii="宋体" w:hAnsi="宋体" w:eastAsia="宋体" w:cs="宋体"/>
                <w:b w:val="0"/>
                <w:bCs w:val="0"/>
                <w:snapToGrid w:val="0"/>
                <w:color w:val="auto"/>
                <w:kern w:val="0"/>
                <w:sz w:val="24"/>
                <w:szCs w:val="24"/>
                <w:lang w:eastAsia="en-US"/>
              </w:rPr>
              <w:t>分，同一事项按较高分只计一次。</w:t>
            </w:r>
          </w:p>
        </w:tc>
      </w:tr>
      <w:tr w14:paraId="026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66" w:type="dxa"/>
            <w:vMerge w:val="continue"/>
            <w:vAlign w:val="center"/>
          </w:tcPr>
          <w:p w14:paraId="1528860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544" w:type="dxa"/>
            <w:gridSpan w:val="2"/>
            <w:vMerge w:val="continue"/>
            <w:vAlign w:val="center"/>
          </w:tcPr>
          <w:p w14:paraId="0CB18DA8">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p>
        </w:tc>
        <w:tc>
          <w:tcPr>
            <w:tcW w:w="456" w:type="dxa"/>
            <w:vAlign w:val="center"/>
          </w:tcPr>
          <w:p w14:paraId="2F335329">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履约信誉</w:t>
            </w:r>
          </w:p>
        </w:tc>
        <w:tc>
          <w:tcPr>
            <w:tcW w:w="1012" w:type="dxa"/>
            <w:gridSpan w:val="2"/>
            <w:vAlign w:val="center"/>
          </w:tcPr>
          <w:p w14:paraId="323EACA7">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Arial" w:hAnsi="Arial" w:eastAsia="Arial" w:cs="Arial"/>
                <w:snapToGrid w:val="0"/>
                <w:color w:val="auto"/>
                <w:kern w:val="0"/>
                <w:sz w:val="24"/>
                <w:szCs w:val="24"/>
                <w:u w:val="single" w:color="auto"/>
                <w:lang w:eastAsia="en-US"/>
              </w:rPr>
            </w:pPr>
            <w:r>
              <w:rPr>
                <w:rFonts w:hint="eastAsia" w:ascii="宋体" w:hAnsi="宋体" w:eastAsia="宋体" w:cs="宋体"/>
                <w:b/>
                <w:bCs/>
                <w:snapToGrid w:val="0"/>
                <w:color w:val="auto"/>
                <w:kern w:val="0"/>
                <w:sz w:val="24"/>
                <w:szCs w:val="24"/>
                <w:u w:val="single" w:color="auto"/>
                <w:lang w:val="en-US" w:eastAsia="zh-CN"/>
              </w:rPr>
              <w:t>20</w:t>
            </w:r>
            <w:r>
              <w:rPr>
                <w:rFonts w:ascii="Arial" w:hAnsi="Arial" w:eastAsia="Arial" w:cs="Arial"/>
                <w:b/>
                <w:bCs/>
                <w:snapToGrid w:val="0"/>
                <w:color w:val="auto"/>
                <w:kern w:val="0"/>
                <w:sz w:val="24"/>
                <w:szCs w:val="24"/>
                <w:lang w:eastAsia="en-US"/>
              </w:rPr>
              <w:t>分</w:t>
            </w:r>
          </w:p>
        </w:tc>
        <w:tc>
          <w:tcPr>
            <w:tcW w:w="7054" w:type="dxa"/>
            <w:gridSpan w:val="3"/>
            <w:vAlign w:val="center"/>
          </w:tcPr>
          <w:p w14:paraId="5AB4885F">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1.信用等级分值</w:t>
            </w:r>
            <w:r>
              <w:rPr>
                <w:rFonts w:hint="eastAsia" w:ascii="宋体" w:hAnsi="宋体" w:eastAsia="宋体" w:cs="宋体"/>
                <w:b/>
                <w:bCs/>
                <w:snapToGrid w:val="0"/>
                <w:color w:val="auto"/>
                <w:kern w:val="0"/>
                <w:sz w:val="24"/>
                <w:szCs w:val="24"/>
                <w:lang w:eastAsia="en-US"/>
              </w:rPr>
              <w:t>（10分）</w:t>
            </w:r>
          </w:p>
          <w:p w14:paraId="3A32AA85">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AA、A、B、C级单位的信用等级分得分分别为</w:t>
            </w:r>
            <w:r>
              <w:rPr>
                <w:rFonts w:hint="eastAsia" w:ascii="宋体" w:hAnsi="宋体" w:eastAsia="宋体" w:cs="宋体"/>
                <w:b/>
                <w:bCs/>
                <w:snapToGrid w:val="0"/>
                <w:color w:val="auto"/>
                <w:kern w:val="0"/>
                <w:sz w:val="24"/>
                <w:szCs w:val="24"/>
                <w:u w:val="single"/>
                <w:lang w:eastAsia="en-US"/>
              </w:rPr>
              <w:t>10、9.5、8.9、7.3</w:t>
            </w:r>
            <w:r>
              <w:rPr>
                <w:rFonts w:hint="eastAsia" w:ascii="宋体" w:hAnsi="宋体" w:eastAsia="宋体" w:cs="宋体"/>
                <w:b w:val="0"/>
                <w:bCs w:val="0"/>
                <w:snapToGrid w:val="0"/>
                <w:color w:val="auto"/>
                <w:kern w:val="0"/>
                <w:sz w:val="24"/>
                <w:szCs w:val="24"/>
                <w:lang w:eastAsia="en-US"/>
              </w:rPr>
              <w:t>分。</w:t>
            </w:r>
          </w:p>
          <w:p w14:paraId="0B4BA5F4">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注：信用等级的确定原则遵循投标人须知前附表10.2款的规定。</w:t>
            </w:r>
          </w:p>
          <w:p w14:paraId="345BEB37">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2.履约情况</w:t>
            </w:r>
            <w:r>
              <w:rPr>
                <w:rFonts w:hint="eastAsia" w:ascii="宋体" w:hAnsi="宋体" w:eastAsia="宋体" w:cs="宋体"/>
                <w:b/>
                <w:bCs/>
                <w:snapToGrid w:val="0"/>
                <w:color w:val="auto"/>
                <w:kern w:val="0"/>
                <w:sz w:val="24"/>
                <w:szCs w:val="24"/>
                <w:lang w:eastAsia="en-US"/>
              </w:rPr>
              <w:t>（</w:t>
            </w:r>
            <w:r>
              <w:rPr>
                <w:rFonts w:hint="eastAsia" w:ascii="宋体" w:hAnsi="宋体" w:eastAsia="宋体" w:cs="宋体"/>
                <w:b/>
                <w:bCs/>
                <w:snapToGrid w:val="0"/>
                <w:color w:val="auto"/>
                <w:kern w:val="0"/>
                <w:sz w:val="24"/>
                <w:szCs w:val="24"/>
                <w:lang w:val="en-US" w:eastAsia="zh-CN"/>
              </w:rPr>
              <w:t>10</w:t>
            </w:r>
            <w:r>
              <w:rPr>
                <w:rFonts w:hint="eastAsia" w:ascii="宋体" w:hAnsi="宋体" w:eastAsia="宋体" w:cs="宋体"/>
                <w:b/>
                <w:bCs/>
                <w:snapToGrid w:val="0"/>
                <w:color w:val="auto"/>
                <w:kern w:val="0"/>
                <w:sz w:val="24"/>
                <w:szCs w:val="24"/>
                <w:lang w:eastAsia="en-US"/>
              </w:rPr>
              <w:t>分）</w:t>
            </w:r>
          </w:p>
          <w:p w14:paraId="3BFE06CD">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若没出现下述情形得满分；</w:t>
            </w:r>
          </w:p>
          <w:p w14:paraId="52A3DDF3">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自2023年</w:t>
            </w:r>
            <w:r>
              <w:rPr>
                <w:rFonts w:hint="eastAsia" w:ascii="宋体" w:hAnsi="宋体" w:eastAsia="宋体" w:cs="宋体"/>
                <w:b w:val="0"/>
                <w:bCs w:val="0"/>
                <w:snapToGrid w:val="0"/>
                <w:color w:val="auto"/>
                <w:kern w:val="0"/>
                <w:sz w:val="24"/>
                <w:szCs w:val="24"/>
                <w:lang w:val="en-US" w:eastAsia="zh-CN"/>
              </w:rPr>
              <w:t>9</w:t>
            </w:r>
            <w:r>
              <w:rPr>
                <w:rFonts w:hint="eastAsia" w:ascii="宋体" w:hAnsi="宋体" w:eastAsia="宋体" w:cs="宋体"/>
                <w:b w:val="0"/>
                <w:bCs w:val="0"/>
                <w:snapToGrid w:val="0"/>
                <w:color w:val="auto"/>
                <w:kern w:val="0"/>
                <w:sz w:val="24"/>
                <w:szCs w:val="24"/>
                <w:lang w:eastAsia="en-US"/>
              </w:rPr>
              <w:t>月1日至投标文件递交截止日</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投标文件递交截止日前1年内</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，投标人因公路工程（含附属设施）质量、安全、履约或招标投标问题等原因被：</w:t>
            </w:r>
          </w:p>
          <w:p w14:paraId="2CCB5585">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（1）交通运输部行政处罚的，</w:t>
            </w:r>
            <w:r>
              <w:rPr>
                <w:rFonts w:hint="eastAsia" w:ascii="宋体" w:hAnsi="宋体" w:eastAsia="宋体" w:cs="宋体"/>
                <w:b/>
                <w:bCs/>
                <w:snapToGrid w:val="0"/>
                <w:color w:val="auto"/>
                <w:kern w:val="0"/>
                <w:sz w:val="24"/>
                <w:szCs w:val="24"/>
                <w:lang w:eastAsia="en-US"/>
              </w:rPr>
              <w:t>扣</w:t>
            </w:r>
            <w:r>
              <w:rPr>
                <w:rFonts w:hint="eastAsia" w:ascii="宋体" w:hAnsi="宋体" w:eastAsia="宋体" w:cs="宋体"/>
                <w:b/>
                <w:bCs/>
                <w:snapToGrid w:val="0"/>
                <w:color w:val="auto"/>
                <w:kern w:val="0"/>
                <w:sz w:val="24"/>
                <w:szCs w:val="24"/>
                <w:u w:val="single"/>
                <w:lang w:eastAsia="en-US"/>
              </w:rPr>
              <w:t xml:space="preserve"> 5 </w:t>
            </w:r>
            <w:r>
              <w:rPr>
                <w:rFonts w:hint="eastAsia" w:ascii="宋体" w:hAnsi="宋体" w:eastAsia="宋体" w:cs="宋体"/>
                <w:b/>
                <w:bCs/>
                <w:snapToGrid w:val="0"/>
                <w:color w:val="auto"/>
                <w:kern w:val="0"/>
                <w:sz w:val="24"/>
                <w:szCs w:val="24"/>
                <w:lang w:eastAsia="en-US"/>
              </w:rPr>
              <w:t>分/次</w:t>
            </w:r>
            <w:r>
              <w:rPr>
                <w:rFonts w:hint="eastAsia" w:ascii="宋体" w:hAnsi="宋体" w:eastAsia="宋体" w:cs="宋体"/>
                <w:b w:val="0"/>
                <w:bCs w:val="0"/>
                <w:snapToGrid w:val="0"/>
                <w:color w:val="auto"/>
                <w:kern w:val="0"/>
                <w:sz w:val="24"/>
                <w:szCs w:val="24"/>
                <w:lang w:eastAsia="en-US"/>
              </w:rPr>
              <w:t>。</w:t>
            </w:r>
          </w:p>
          <w:p w14:paraId="0DF4933F">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（2）广东省交通运输厅行政处罚的，</w:t>
            </w:r>
            <w:r>
              <w:rPr>
                <w:rFonts w:hint="eastAsia" w:ascii="宋体" w:hAnsi="宋体" w:eastAsia="宋体" w:cs="宋体"/>
                <w:b/>
                <w:bCs/>
                <w:snapToGrid w:val="0"/>
                <w:color w:val="auto"/>
                <w:kern w:val="0"/>
                <w:sz w:val="24"/>
                <w:szCs w:val="24"/>
                <w:lang w:eastAsia="en-US"/>
              </w:rPr>
              <w:t>扣</w:t>
            </w:r>
            <w:r>
              <w:rPr>
                <w:rFonts w:hint="eastAsia" w:ascii="宋体" w:hAnsi="宋体" w:eastAsia="宋体" w:cs="宋体"/>
                <w:b/>
                <w:bCs/>
                <w:snapToGrid w:val="0"/>
                <w:color w:val="auto"/>
                <w:kern w:val="0"/>
                <w:sz w:val="24"/>
                <w:szCs w:val="24"/>
                <w:u w:val="single"/>
                <w:lang w:eastAsia="en-US"/>
              </w:rPr>
              <w:t xml:space="preserve"> 3 </w:t>
            </w:r>
            <w:r>
              <w:rPr>
                <w:rFonts w:hint="eastAsia" w:ascii="宋体" w:hAnsi="宋体" w:eastAsia="宋体" w:cs="宋体"/>
                <w:b/>
                <w:bCs/>
                <w:snapToGrid w:val="0"/>
                <w:color w:val="auto"/>
                <w:kern w:val="0"/>
                <w:sz w:val="24"/>
                <w:szCs w:val="24"/>
                <w:lang w:eastAsia="en-US"/>
              </w:rPr>
              <w:t>分/次</w:t>
            </w:r>
            <w:r>
              <w:rPr>
                <w:rFonts w:hint="eastAsia" w:ascii="宋体" w:hAnsi="宋体" w:eastAsia="宋体" w:cs="宋体"/>
                <w:b w:val="0"/>
                <w:bCs w:val="0"/>
                <w:snapToGrid w:val="0"/>
                <w:color w:val="auto"/>
                <w:kern w:val="0"/>
                <w:sz w:val="24"/>
                <w:szCs w:val="24"/>
                <w:lang w:eastAsia="en-US"/>
              </w:rPr>
              <w:t>。</w:t>
            </w:r>
          </w:p>
          <w:p w14:paraId="3B242722">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（3）招标项目所在地地级以上市交通运输局行政处罚的，</w:t>
            </w:r>
            <w:r>
              <w:rPr>
                <w:rFonts w:hint="eastAsia" w:ascii="宋体" w:hAnsi="宋体" w:eastAsia="宋体" w:cs="宋体"/>
                <w:b/>
                <w:bCs/>
                <w:snapToGrid w:val="0"/>
                <w:color w:val="auto"/>
                <w:kern w:val="0"/>
                <w:sz w:val="24"/>
                <w:szCs w:val="24"/>
                <w:lang w:eastAsia="en-US"/>
              </w:rPr>
              <w:t>扣</w:t>
            </w:r>
            <w:r>
              <w:rPr>
                <w:rFonts w:hint="eastAsia" w:ascii="宋体" w:hAnsi="宋体" w:eastAsia="宋体" w:cs="宋体"/>
                <w:b/>
                <w:bCs/>
                <w:snapToGrid w:val="0"/>
                <w:color w:val="auto"/>
                <w:kern w:val="0"/>
                <w:sz w:val="24"/>
                <w:szCs w:val="24"/>
                <w:u w:val="single"/>
                <w:lang w:val="en-US" w:eastAsia="zh-CN"/>
              </w:rPr>
              <w:t xml:space="preserve"> </w:t>
            </w:r>
            <w:r>
              <w:rPr>
                <w:rFonts w:hint="eastAsia" w:ascii="宋体" w:hAnsi="宋体" w:eastAsia="宋体" w:cs="宋体"/>
                <w:b/>
                <w:bCs/>
                <w:snapToGrid w:val="0"/>
                <w:color w:val="auto"/>
                <w:kern w:val="0"/>
                <w:sz w:val="24"/>
                <w:szCs w:val="24"/>
                <w:u w:val="single"/>
                <w:lang w:eastAsia="en-US"/>
              </w:rPr>
              <w:t>1.5</w:t>
            </w:r>
            <w:r>
              <w:rPr>
                <w:rFonts w:hint="eastAsia" w:ascii="宋体" w:hAnsi="宋体" w:eastAsia="宋体" w:cs="宋体"/>
                <w:b/>
                <w:bCs/>
                <w:snapToGrid w:val="0"/>
                <w:color w:val="auto"/>
                <w:kern w:val="0"/>
                <w:sz w:val="24"/>
                <w:szCs w:val="24"/>
                <w:u w:val="single"/>
                <w:lang w:val="en-US" w:eastAsia="zh-CN"/>
              </w:rPr>
              <w:t xml:space="preserve"> </w:t>
            </w:r>
            <w:r>
              <w:rPr>
                <w:rFonts w:hint="eastAsia" w:ascii="宋体" w:hAnsi="宋体" w:eastAsia="宋体" w:cs="宋体"/>
                <w:b/>
                <w:bCs/>
                <w:snapToGrid w:val="0"/>
                <w:color w:val="auto"/>
                <w:kern w:val="0"/>
                <w:sz w:val="24"/>
                <w:szCs w:val="24"/>
                <w:lang w:eastAsia="en-US"/>
              </w:rPr>
              <w:t>分/次</w:t>
            </w:r>
            <w:r>
              <w:rPr>
                <w:rFonts w:hint="eastAsia" w:ascii="宋体" w:hAnsi="宋体" w:eastAsia="宋体" w:cs="宋体"/>
                <w:b w:val="0"/>
                <w:bCs w:val="0"/>
                <w:snapToGrid w:val="0"/>
                <w:color w:val="auto"/>
                <w:kern w:val="0"/>
                <w:sz w:val="24"/>
                <w:szCs w:val="24"/>
                <w:lang w:eastAsia="en-US"/>
              </w:rPr>
              <w:t>。</w:t>
            </w:r>
          </w:p>
          <w:p w14:paraId="06CD633B">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（4）广东省交通运输厅正式约谈的，</w:t>
            </w:r>
            <w:r>
              <w:rPr>
                <w:rFonts w:hint="eastAsia" w:ascii="宋体" w:hAnsi="宋体" w:eastAsia="宋体" w:cs="宋体"/>
                <w:b/>
                <w:bCs/>
                <w:snapToGrid w:val="0"/>
                <w:color w:val="auto"/>
                <w:kern w:val="0"/>
                <w:sz w:val="24"/>
                <w:szCs w:val="24"/>
                <w:lang w:eastAsia="en-US"/>
              </w:rPr>
              <w:t>扣</w:t>
            </w:r>
            <w:r>
              <w:rPr>
                <w:rFonts w:hint="eastAsia" w:ascii="宋体" w:hAnsi="宋体" w:eastAsia="宋体" w:cs="宋体"/>
                <w:b/>
                <w:bCs/>
                <w:snapToGrid w:val="0"/>
                <w:color w:val="auto"/>
                <w:kern w:val="0"/>
                <w:sz w:val="24"/>
                <w:szCs w:val="24"/>
                <w:u w:val="single"/>
                <w:lang w:eastAsia="en-US"/>
              </w:rPr>
              <w:t xml:space="preserve"> 0.1 </w:t>
            </w:r>
            <w:r>
              <w:rPr>
                <w:rFonts w:hint="eastAsia" w:ascii="宋体" w:hAnsi="宋体" w:eastAsia="宋体" w:cs="宋体"/>
                <w:b/>
                <w:bCs/>
                <w:snapToGrid w:val="0"/>
                <w:color w:val="auto"/>
                <w:kern w:val="0"/>
                <w:sz w:val="24"/>
                <w:szCs w:val="24"/>
                <w:lang w:eastAsia="en-US"/>
              </w:rPr>
              <w:t>分/次</w:t>
            </w:r>
            <w:r>
              <w:rPr>
                <w:rFonts w:hint="eastAsia" w:ascii="宋体" w:hAnsi="宋体" w:eastAsia="宋体" w:cs="宋体"/>
                <w:b w:val="0"/>
                <w:bCs w:val="0"/>
                <w:snapToGrid w:val="0"/>
                <w:color w:val="auto"/>
                <w:kern w:val="0"/>
                <w:sz w:val="24"/>
                <w:szCs w:val="24"/>
                <w:lang w:eastAsia="en-US"/>
              </w:rPr>
              <w:t>。</w:t>
            </w:r>
          </w:p>
          <w:p w14:paraId="06F22FA3">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同一事项同时被多个部门行政处罚或正式约谈只按最高的</w:t>
            </w:r>
            <w:r>
              <w:rPr>
                <w:rFonts w:hint="eastAsia" w:ascii="宋体" w:hAnsi="宋体" w:eastAsia="宋体" w:cs="宋体"/>
                <w:b/>
                <w:bCs/>
                <w:snapToGrid w:val="0"/>
                <w:color w:val="auto"/>
                <w:kern w:val="0"/>
                <w:sz w:val="24"/>
                <w:szCs w:val="24"/>
                <w:lang w:eastAsia="en-US"/>
              </w:rPr>
              <w:t>扣分计算1次</w:t>
            </w:r>
            <w:r>
              <w:rPr>
                <w:rFonts w:hint="eastAsia" w:ascii="宋体" w:hAnsi="宋体" w:eastAsia="宋体" w:cs="宋体"/>
                <w:b w:val="0"/>
                <w:bCs w:val="0"/>
                <w:snapToGrid w:val="0"/>
                <w:color w:val="auto"/>
                <w:kern w:val="0"/>
                <w:sz w:val="24"/>
                <w:szCs w:val="24"/>
                <w:lang w:eastAsia="en-US"/>
              </w:rPr>
              <w:t>。如果扣完本项分值，可以从总分中扣。以联合体形式投标的，若各联合体成员任何一方或均存在上述情形的，对联合体各成员进行累计扣分。</w:t>
            </w:r>
          </w:p>
          <w:p w14:paraId="60C6FC13">
            <w:pPr>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Arial" w:hAnsi="Arial" w:eastAsia="Arial" w:cs="Arial"/>
                <w:snapToGrid w:val="0"/>
                <w:color w:val="auto"/>
                <w:kern w:val="0"/>
                <w:szCs w:val="21"/>
                <w:lang w:eastAsia="en-US"/>
              </w:rPr>
            </w:pPr>
            <w:r>
              <w:rPr>
                <w:rFonts w:hint="eastAsia" w:ascii="宋体" w:hAnsi="宋体" w:eastAsia="宋体" w:cs="宋体"/>
                <w:b w:val="0"/>
                <w:bCs w:val="0"/>
                <w:snapToGrid w:val="0"/>
                <w:color w:val="auto"/>
                <w:kern w:val="0"/>
                <w:sz w:val="24"/>
                <w:szCs w:val="24"/>
                <w:lang w:val="en-US" w:eastAsia="zh-CN"/>
              </w:rPr>
              <w:t>本条内容所指的行政处罚和正式约谈是指招标文件范本施行之日</w:t>
            </w:r>
            <w:r>
              <w:rPr>
                <w:rFonts w:hint="eastAsia" w:ascii="宋体" w:hAnsi="宋体" w:eastAsia="宋体" w:cs="宋体"/>
                <w:b w:val="0"/>
                <w:bCs w:val="0"/>
                <w:snapToGrid w:val="0"/>
                <w:color w:val="auto"/>
                <w:kern w:val="0"/>
                <w:sz w:val="24"/>
                <w:szCs w:val="24"/>
                <w:highlight w:val="none"/>
                <w:lang w:val="en-US" w:eastAsia="zh-CN"/>
              </w:rPr>
              <w:t>（2023年4月1日）</w:t>
            </w:r>
            <w:r>
              <w:rPr>
                <w:rFonts w:hint="eastAsia" w:ascii="宋体" w:hAnsi="宋体" w:eastAsia="宋体" w:cs="宋体"/>
                <w:b w:val="0"/>
                <w:bCs w:val="0"/>
                <w:snapToGrid w:val="0"/>
                <w:color w:val="auto"/>
                <w:kern w:val="0"/>
                <w:sz w:val="24"/>
                <w:szCs w:val="24"/>
                <w:lang w:val="en-US" w:eastAsia="zh-CN"/>
              </w:rPr>
              <w:t>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tc>
      </w:tr>
      <w:tr w14:paraId="4DBA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32" w:type="dxa"/>
            <w:gridSpan w:val="9"/>
            <w:vAlign w:val="center"/>
          </w:tcPr>
          <w:p w14:paraId="38570A98">
            <w:pPr>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需要补充的其他内容：</w:t>
            </w:r>
          </w:p>
        </w:tc>
      </w:tr>
      <w:tr w14:paraId="4834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1" w:type="dxa"/>
            <w:gridSpan w:val="2"/>
            <w:vAlign w:val="center"/>
          </w:tcPr>
          <w:p w14:paraId="43AB5D9F">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条款号</w:t>
            </w:r>
          </w:p>
        </w:tc>
        <w:tc>
          <w:tcPr>
            <w:tcW w:w="9061" w:type="dxa"/>
            <w:gridSpan w:val="7"/>
            <w:vAlign w:val="center"/>
          </w:tcPr>
          <w:p w14:paraId="51CDDBE2">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补充或修改的内容</w:t>
            </w:r>
          </w:p>
        </w:tc>
      </w:tr>
      <w:tr w14:paraId="2194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1" w:type="dxa"/>
            <w:gridSpan w:val="2"/>
            <w:vAlign w:val="center"/>
          </w:tcPr>
          <w:p w14:paraId="1BBA9FCC">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snapToGrid w:val="0"/>
                <w:color w:val="auto"/>
                <w:kern w:val="0"/>
                <w:sz w:val="24"/>
                <w:szCs w:val="24"/>
                <w:lang w:val="en-US" w:eastAsia="zh-CN"/>
              </w:rPr>
              <w:t>1</w:t>
            </w:r>
          </w:p>
        </w:tc>
        <w:tc>
          <w:tcPr>
            <w:tcW w:w="9061" w:type="dxa"/>
            <w:gridSpan w:val="7"/>
            <w:vAlign w:val="center"/>
          </w:tcPr>
          <w:p w14:paraId="318ADE0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将评标办法原文第1条“评标方法”改为“评标方法、组织及工作程序”，原文内容修改如下：</w:t>
            </w:r>
          </w:p>
          <w:p w14:paraId="6AEAE3E7">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1.评标方法、组织及工作程序</w:t>
            </w:r>
          </w:p>
          <w:p w14:paraId="07E08D9F">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1.1 评标方法</w:t>
            </w:r>
          </w:p>
          <w:p w14:paraId="74E9396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本次评标采用双信封的技术评分最低标价法。评标委员会对满足招标文件实质性要求的投标文件，按照本章第2.2款规定对通过初步评审的投标人的施工组织设计、主要人员、其他因素等进行评分，按照得分由高到低排序，对排名在招标文件规定数量</w:t>
            </w:r>
            <w:r>
              <w:rPr>
                <w:rFonts w:hint="eastAsia" w:ascii="宋体" w:hAnsi="宋体" w:eastAsia="宋体" w:cs="宋体"/>
                <w:b/>
                <w:bCs/>
                <w:snapToGrid w:val="0"/>
                <w:color w:val="auto"/>
                <w:kern w:val="0"/>
                <w:sz w:val="24"/>
                <w:szCs w:val="24"/>
                <w:u w:val="single"/>
                <w:lang w:eastAsia="en-US"/>
              </w:rPr>
              <w:t>前5名（不少于3名但不足5名时，按全部实际数量）</w:t>
            </w:r>
            <w:r>
              <w:rPr>
                <w:rFonts w:hint="eastAsia" w:ascii="宋体" w:hAnsi="宋体" w:eastAsia="宋体" w:cs="宋体"/>
                <w:b w:val="0"/>
                <w:bCs w:val="0"/>
                <w:snapToGrid w:val="0"/>
                <w:color w:val="auto"/>
                <w:kern w:val="0"/>
                <w:sz w:val="24"/>
                <w:szCs w:val="24"/>
                <w:lang w:eastAsia="en-US"/>
              </w:rPr>
              <w:t>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14:paraId="775F30F0">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1.2 评标组织</w:t>
            </w:r>
          </w:p>
          <w:p w14:paraId="0BDAEF02">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1.2.1 协助工作组</w:t>
            </w:r>
          </w:p>
          <w:p w14:paraId="0FF1442F">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招标人可在评标工作开始前成立协助工作组，选派熟悉招标工作、政治素质高的人员组成，协助评标委员会工作。协助工作组人员的具体数量由招标人视评标工作量确定。</w:t>
            </w:r>
          </w:p>
          <w:p w14:paraId="2F57BFA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招标人可以协助评标委员会开展下列工作并提供相关信息：</w:t>
            </w:r>
          </w:p>
          <w:p w14:paraId="0A8C20C0">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（1）根据招标文件，编制评标使用的相应表格；</w:t>
            </w:r>
          </w:p>
          <w:p w14:paraId="45B0D39B">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（2）对投标报价进行算术性校核（如采用固化工程量清单，本步骤省略）；</w:t>
            </w:r>
          </w:p>
          <w:p w14:paraId="4B17C4D0">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（3）以评标标准和方法为依据，列出投标文件相对于招标文件的所有偏差，并进行归类汇总；</w:t>
            </w:r>
          </w:p>
          <w:p w14:paraId="73C4E1D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（4）查询公路建设市场监督管理系统，对投标人的资质、业绩、主要人员资历和目前在岗情况、信用等级进行核实。</w:t>
            </w:r>
          </w:p>
          <w:p w14:paraId="1000ACC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招标人不得对投标文件作出任何评价，不得故意遗漏或者片面摘录，不得在评标委员会对所有偏差定性之前透露存有偏差的投标人名称。</w:t>
            </w:r>
          </w:p>
          <w:p w14:paraId="0AC2062F">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1.2.2 评标委员会</w:t>
            </w:r>
          </w:p>
          <w:p w14:paraId="5BB35A96">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评标委员会由招标人按国家、广东省等的有关规定依法组建。评标委员会的主要工作内容包括：</w:t>
            </w:r>
          </w:p>
          <w:p w14:paraId="0B8F1AE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（1）评标委员会开始评标工作之前，首先听取招标人、协助工作组关于工程情况和辅助工作的说明，并认真研读招标文件，获取评标所需的重要信息和数据；</w:t>
            </w:r>
          </w:p>
          <w:p w14:paraId="1C9B63D3">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（2）对协助工作组提供的评标工作用表和评标内容进行核查。</w:t>
            </w:r>
          </w:p>
          <w:p w14:paraId="526087D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（3）按照以下1.3款程序进行各项评审工作。</w:t>
            </w:r>
          </w:p>
          <w:p w14:paraId="6F841BC4">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1.3 评审工作程序</w:t>
            </w:r>
          </w:p>
          <w:p w14:paraId="2A70E198">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（一）第一个信封（商务及技术文件）：</w:t>
            </w:r>
          </w:p>
          <w:p w14:paraId="377F0713">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l、初步评审：包括形式评审与响应性评审、资格评审（适用于未进行资格预审）；</w:t>
            </w:r>
          </w:p>
          <w:p w14:paraId="283B1006">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详细评审（评审打分）：评标委员会首先对通过第一个信封初步评审的投标文件进行详细评审，对投标人的施工组织设计、主要人员、其他因素等分别评审打分，并按照综合得分由高到低排序，排名在招标文件规定数量</w:t>
            </w:r>
            <w:r>
              <w:rPr>
                <w:rFonts w:hint="eastAsia" w:ascii="宋体" w:hAnsi="宋体" w:eastAsia="宋体" w:cs="宋体"/>
                <w:b/>
                <w:bCs/>
                <w:snapToGrid w:val="0"/>
                <w:color w:val="auto"/>
                <w:kern w:val="0"/>
                <w:sz w:val="24"/>
                <w:szCs w:val="24"/>
                <w:u w:val="single"/>
                <w:lang w:eastAsia="en-US"/>
              </w:rPr>
              <w:t>前5名（不少于3名但不足5名的，按全部实际数量）</w:t>
            </w:r>
            <w:r>
              <w:rPr>
                <w:rFonts w:hint="eastAsia" w:ascii="宋体" w:hAnsi="宋体" w:eastAsia="宋体" w:cs="宋体"/>
                <w:b w:val="0"/>
                <w:bCs w:val="0"/>
                <w:snapToGrid w:val="0"/>
                <w:color w:val="auto"/>
                <w:kern w:val="0"/>
                <w:sz w:val="24"/>
                <w:szCs w:val="24"/>
                <w:lang w:eastAsia="en-US"/>
              </w:rPr>
              <w:t>的投标人，其投标文件第一个信封（商务及技术文件）通过详细评审。</w:t>
            </w:r>
          </w:p>
          <w:p w14:paraId="6D374F1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（二）第二个信封（报价文件）：</w:t>
            </w:r>
          </w:p>
          <w:p w14:paraId="570620EE">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1、初步评审：</w:t>
            </w:r>
          </w:p>
          <w:p w14:paraId="75A6E3D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（1）只有对投标文件第一个信封通过详细评审的投标人的报价文件才能继续参加第二个信封报价文件的形式评审与响应性评审。</w:t>
            </w:r>
          </w:p>
          <w:p w14:paraId="4330905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（2）报价算术性修正（如采用固化工程量清单，本步骤省略）；</w:t>
            </w:r>
          </w:p>
          <w:p w14:paraId="18CAEC74">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2、详细评审：计算评标价。</w:t>
            </w:r>
          </w:p>
          <w:p w14:paraId="28E2E184">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（三）投标文件相关信息的核查。</w:t>
            </w:r>
          </w:p>
          <w:p w14:paraId="0FD60EEE">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（四）投标文件的澄清和说明(如有)</w:t>
            </w:r>
          </w:p>
          <w:p w14:paraId="42887BF8">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（五）按评标办法规定按照第二个信封的评标价由低到高的顺序推荐中标候选人，编写评标报告。</w:t>
            </w:r>
          </w:p>
        </w:tc>
      </w:tr>
      <w:tr w14:paraId="7087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1" w:type="dxa"/>
            <w:gridSpan w:val="2"/>
            <w:vAlign w:val="center"/>
          </w:tcPr>
          <w:p w14:paraId="01173F59">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zh-CN"/>
              </w:rPr>
            </w:pPr>
            <w:r>
              <w:rPr>
                <w:rFonts w:hint="eastAsia" w:ascii="宋体" w:hAnsi="宋体" w:eastAsia="宋体" w:cs="宋体"/>
                <w:b w:val="0"/>
                <w:bCs w:val="0"/>
                <w:snapToGrid w:val="0"/>
                <w:color w:val="auto"/>
                <w:kern w:val="0"/>
                <w:sz w:val="24"/>
                <w:szCs w:val="24"/>
                <w:lang w:eastAsia="en-US"/>
              </w:rPr>
              <w:t>3.</w:t>
            </w:r>
            <w:r>
              <w:rPr>
                <w:rFonts w:hint="eastAsia" w:ascii="宋体" w:hAnsi="宋体" w:eastAsia="宋体" w:cs="宋体"/>
                <w:b w:val="0"/>
                <w:bCs w:val="0"/>
                <w:snapToGrid w:val="0"/>
                <w:color w:val="auto"/>
                <w:kern w:val="0"/>
                <w:sz w:val="24"/>
                <w:szCs w:val="24"/>
                <w:lang w:val="en-US" w:eastAsia="zh-CN"/>
              </w:rPr>
              <w:t>1</w:t>
            </w: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1</w:t>
            </w:r>
          </w:p>
        </w:tc>
        <w:tc>
          <w:tcPr>
            <w:tcW w:w="9061" w:type="dxa"/>
            <w:gridSpan w:val="7"/>
            <w:vAlign w:val="center"/>
          </w:tcPr>
          <w:p w14:paraId="7D4B836A">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将评标办法原文第3.</w:t>
            </w:r>
            <w:r>
              <w:rPr>
                <w:rFonts w:hint="eastAsia" w:ascii="宋体" w:hAnsi="宋体" w:eastAsia="宋体" w:cs="宋体"/>
                <w:b w:val="0"/>
                <w:bCs w:val="0"/>
                <w:snapToGrid w:val="0"/>
                <w:color w:val="auto"/>
                <w:kern w:val="0"/>
                <w:sz w:val="24"/>
                <w:szCs w:val="24"/>
                <w:lang w:val="en-US" w:eastAsia="zh-CN"/>
              </w:rPr>
              <w:t>1</w:t>
            </w:r>
            <w:r>
              <w:rPr>
                <w:rFonts w:hint="eastAsia" w:ascii="宋体" w:hAnsi="宋体" w:eastAsia="宋体" w:cs="宋体"/>
                <w:b w:val="0"/>
                <w:bCs w:val="0"/>
                <w:snapToGrid w:val="0"/>
                <w:color w:val="auto"/>
                <w:kern w:val="0"/>
                <w:sz w:val="24"/>
                <w:szCs w:val="24"/>
                <w:lang w:eastAsia="en-US"/>
              </w:rPr>
              <w:t>.</w:t>
            </w:r>
            <w:r>
              <w:rPr>
                <w:rFonts w:hint="eastAsia" w:ascii="宋体" w:hAnsi="宋体" w:eastAsia="宋体" w:cs="宋体"/>
                <w:b w:val="0"/>
                <w:bCs w:val="0"/>
                <w:snapToGrid w:val="0"/>
                <w:color w:val="auto"/>
                <w:kern w:val="0"/>
                <w:sz w:val="24"/>
                <w:szCs w:val="24"/>
                <w:lang w:val="en-US" w:eastAsia="zh-CN"/>
              </w:rPr>
              <w:t>1</w:t>
            </w:r>
            <w:r>
              <w:rPr>
                <w:rFonts w:hint="eastAsia" w:ascii="宋体" w:hAnsi="宋体" w:eastAsia="宋体" w:cs="宋体"/>
                <w:b w:val="0"/>
                <w:bCs w:val="0"/>
                <w:snapToGrid w:val="0"/>
                <w:color w:val="auto"/>
                <w:kern w:val="0"/>
                <w:sz w:val="24"/>
                <w:szCs w:val="24"/>
                <w:lang w:eastAsia="en-US"/>
              </w:rPr>
              <w:t>项修改如下：</w:t>
            </w:r>
          </w:p>
          <w:p w14:paraId="3D6C6681">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3.1.1</w:t>
            </w:r>
            <w:r>
              <w:rPr>
                <w:rFonts w:hint="eastAsia" w:ascii="宋体" w:hAnsi="宋体" w:eastAsia="宋体" w:cs="宋体"/>
                <w:b w:val="0"/>
                <w:bCs w:val="0"/>
                <w:snapToGrid w:val="0"/>
                <w:color w:val="auto"/>
                <w:kern w:val="0"/>
                <w:sz w:val="24"/>
                <w:szCs w:val="24"/>
                <w:lang w:val="en-US" w:eastAsia="zh-CN"/>
              </w:rPr>
              <w:t xml:space="preserve"> </w:t>
            </w:r>
            <w:r>
              <w:rPr>
                <w:rFonts w:hint="eastAsia" w:ascii="宋体" w:hAnsi="宋体" w:eastAsia="宋体" w:cs="宋体"/>
                <w:b w:val="0"/>
                <w:bCs w:val="0"/>
                <w:snapToGrid w:val="0"/>
                <w:color w:val="auto"/>
                <w:kern w:val="0"/>
                <w:sz w:val="24"/>
                <w:szCs w:val="24"/>
                <w:lang w:eastAsia="en-US"/>
              </w:rPr>
              <w:t>评标委员会依据本章第2.1款规定的标准对投标文件第一个信封(商务及技术文件)进行初步评审。有一项不符合评审标准的，评标委员会应否决其投标。</w:t>
            </w:r>
          </w:p>
        </w:tc>
      </w:tr>
      <w:tr w14:paraId="1BC9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1" w:type="dxa"/>
            <w:gridSpan w:val="2"/>
            <w:vAlign w:val="center"/>
          </w:tcPr>
          <w:p w14:paraId="5DE23A91">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3.2.2</w:t>
            </w:r>
          </w:p>
        </w:tc>
        <w:tc>
          <w:tcPr>
            <w:tcW w:w="9061" w:type="dxa"/>
            <w:gridSpan w:val="7"/>
            <w:vAlign w:val="center"/>
          </w:tcPr>
          <w:p w14:paraId="3C0F90B2">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将评标办法</w:t>
            </w:r>
            <w:r>
              <w:rPr>
                <w:rFonts w:hint="eastAsia" w:ascii="宋体" w:hAnsi="宋体" w:eastAsia="宋体" w:cs="宋体"/>
                <w:b w:val="0"/>
                <w:bCs w:val="0"/>
                <w:snapToGrid w:val="0"/>
                <w:color w:val="auto"/>
                <w:kern w:val="0"/>
                <w:sz w:val="24"/>
                <w:szCs w:val="24"/>
                <w:lang w:eastAsia="zh-CN"/>
              </w:rPr>
              <w:t>范文</w:t>
            </w:r>
            <w:r>
              <w:rPr>
                <w:rFonts w:hint="eastAsia" w:ascii="宋体" w:hAnsi="宋体" w:eastAsia="宋体" w:cs="宋体"/>
                <w:b w:val="0"/>
                <w:bCs w:val="0"/>
                <w:snapToGrid w:val="0"/>
                <w:color w:val="auto"/>
                <w:kern w:val="0"/>
                <w:sz w:val="24"/>
                <w:szCs w:val="24"/>
                <w:lang w:eastAsia="en-US"/>
              </w:rPr>
              <w:t>原文第3.2.2项修改如下：</w:t>
            </w:r>
          </w:p>
          <w:p w14:paraId="4E8BF389">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投标人的商务和技术得分分值计算保留小数点后三位，小数点后第四位“四舍五入”。</w:t>
            </w:r>
          </w:p>
        </w:tc>
      </w:tr>
      <w:tr w14:paraId="4D17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1" w:type="dxa"/>
            <w:gridSpan w:val="2"/>
            <w:vAlign w:val="center"/>
          </w:tcPr>
          <w:p w14:paraId="02E7DDC6">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3.2.3</w:t>
            </w:r>
          </w:p>
        </w:tc>
        <w:tc>
          <w:tcPr>
            <w:tcW w:w="9061" w:type="dxa"/>
            <w:gridSpan w:val="7"/>
            <w:vAlign w:val="center"/>
          </w:tcPr>
          <w:p w14:paraId="1F0F6010">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将评标办法</w:t>
            </w:r>
            <w:r>
              <w:rPr>
                <w:rFonts w:hint="eastAsia" w:ascii="宋体" w:hAnsi="宋体" w:eastAsia="宋体" w:cs="宋体"/>
                <w:b w:val="0"/>
                <w:bCs w:val="0"/>
                <w:snapToGrid w:val="0"/>
                <w:color w:val="auto"/>
                <w:kern w:val="0"/>
                <w:sz w:val="24"/>
                <w:szCs w:val="24"/>
                <w:lang w:eastAsia="zh-CN"/>
              </w:rPr>
              <w:t>范文</w:t>
            </w:r>
            <w:r>
              <w:rPr>
                <w:rFonts w:hint="eastAsia" w:ascii="宋体" w:hAnsi="宋体" w:eastAsia="宋体" w:cs="宋体"/>
                <w:b w:val="0"/>
                <w:bCs w:val="0"/>
                <w:snapToGrid w:val="0"/>
                <w:color w:val="auto"/>
                <w:kern w:val="0"/>
                <w:sz w:val="24"/>
                <w:szCs w:val="24"/>
                <w:lang w:eastAsia="en-US"/>
              </w:rPr>
              <w:t>原文第3.2.3项细化如下：</w:t>
            </w:r>
          </w:p>
          <w:p w14:paraId="5EE22C03">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1、适用于实际参与评审的评标委员会人数数量不少于9人单数：</w:t>
            </w:r>
          </w:p>
          <w:p w14:paraId="26833E95">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投标人的商务和技术得分=A+B+C。</w:t>
            </w:r>
          </w:p>
          <w:p w14:paraId="128DC3A0">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除履约信誉、技术能力得分外，投标文件各评分因素细分项得分均不应低于其权重分的60%，评分低于权重分值60%的，评标委员会成员应当在评标报告中作出说明。计算投标人技术得分时</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18BF8472">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取消其中1名评委所有评分的办法一</w:t>
            </w:r>
            <w:r>
              <w:rPr>
                <w:rFonts w:hint="eastAsia" w:ascii="宋体" w:hAnsi="宋体" w:eastAsia="宋体" w:cs="宋体"/>
                <w:b w:val="0"/>
                <w:bCs w:val="0"/>
                <w:snapToGrid w:val="0"/>
                <w:color w:val="auto"/>
                <w:kern w:val="0"/>
                <w:sz w:val="24"/>
                <w:szCs w:val="24"/>
                <w:lang w:eastAsia="en-US"/>
              </w:rPr>
              <w:t>（依次按照以下流程）：（1）对比上述出现技术评分总分差值最大值相等的评委的次大差值（次大差值＝某一评委技术评分总分的最高分－该评委技术评分总分的次低分），取消次分差值最大的评委所有评分；（2）如次分差值仍相同，则按随机抽取的方式选定取消1名评委评分。</w:t>
            </w:r>
          </w:p>
          <w:p w14:paraId="7558D5FF">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示例</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同一评委对5名投标人技术评分总分分别为</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6.65（最高分)、5.88、5.11、4.90（次低分）、4.55（最低分），则其最大差值为2.1、次大差值为6.65-4.90=1.75）。</w:t>
            </w:r>
          </w:p>
          <w:p w14:paraId="736671C9">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p>
          <w:p w14:paraId="155D982A">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2、适用于实际参与评审的评标委员会人数数量为7人的情形（包括由于符合相关规定的特殊原因评标委员会人数由9人变为7人的情形）：</w:t>
            </w:r>
          </w:p>
          <w:p w14:paraId="4AEF3D4B">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投标人的商务和技术得分=A+B+C。</w:t>
            </w:r>
          </w:p>
          <w:p w14:paraId="73FE5D8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除履约信誉、技术能力得分外，投标文件各评分因素细分项得分均不应低于其权重分的60%，评分低于权重分值60%的，评标委员会成员应当在评标报告中作出说明。计算投标人技术得分时:对各评分因素细分项中取消一个最高、一个最低分后计算算术平均值的和为投标人的最终技术得分，平均值计算保留小数点后三位，小数点后第四位“四舍五入”。</w:t>
            </w:r>
          </w:p>
        </w:tc>
      </w:tr>
      <w:tr w14:paraId="3B2A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1" w:type="dxa"/>
            <w:gridSpan w:val="2"/>
            <w:vAlign w:val="center"/>
          </w:tcPr>
          <w:p w14:paraId="25B61AC5">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3.6</w:t>
            </w:r>
          </w:p>
        </w:tc>
        <w:tc>
          <w:tcPr>
            <w:tcW w:w="9061" w:type="dxa"/>
            <w:gridSpan w:val="7"/>
            <w:vAlign w:val="center"/>
          </w:tcPr>
          <w:p w14:paraId="33AB1DB3">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zh-CN"/>
              </w:rPr>
            </w:pPr>
            <w:r>
              <w:rPr>
                <w:rFonts w:hint="eastAsia" w:ascii="宋体" w:hAnsi="宋体" w:eastAsia="宋体" w:cs="宋体"/>
                <w:b w:val="0"/>
                <w:bCs w:val="0"/>
                <w:snapToGrid w:val="0"/>
                <w:color w:val="auto"/>
                <w:kern w:val="0"/>
                <w:sz w:val="24"/>
                <w:szCs w:val="24"/>
                <w:lang w:eastAsia="en-US"/>
              </w:rPr>
              <w:t>将评标办法范本原文第3.6.1项细化如下</w:t>
            </w:r>
            <w:r>
              <w:rPr>
                <w:rFonts w:hint="eastAsia" w:ascii="宋体" w:hAnsi="宋体" w:eastAsia="宋体" w:cs="宋体"/>
                <w:b w:val="0"/>
                <w:bCs w:val="0"/>
                <w:snapToGrid w:val="0"/>
                <w:color w:val="auto"/>
                <w:kern w:val="0"/>
                <w:sz w:val="24"/>
                <w:szCs w:val="24"/>
                <w:lang w:eastAsia="zh-CN"/>
              </w:rPr>
              <w:t>：</w:t>
            </w:r>
          </w:p>
          <w:p w14:paraId="0CAB605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3.6.1在评标过程中，评标委员会应查询交通运输主管部门“全国公路建设市场监督管理系统”，对投标人的资质、业绩、主要人员资历和目前在岗情况、信用等级等信息进行核实。若投标文件载明的信息与交通运输主管部门“全国公路建设市场监督管理系统</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en-US"/>
              </w:rPr>
              <w:t>发布的信息不符，使得投标人的资格条件不符合招标文件规定的，评标委员会应否决其投标。</w:t>
            </w:r>
          </w:p>
          <w:p w14:paraId="3FE9784F">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3.6.2项（2）目末增加以下条款：</w:t>
            </w:r>
          </w:p>
          <w:p w14:paraId="68DEF7F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g.当一家以上投标人评标价相同时，若各投标人工程量清单细目单价也相同，视为串标（一个标段仅一工作细目报价的除外）。</w:t>
            </w:r>
          </w:p>
          <w:p w14:paraId="566D5A17">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zh-CN"/>
              </w:rPr>
            </w:pPr>
            <w:r>
              <w:rPr>
                <w:rFonts w:hint="eastAsia" w:ascii="宋体" w:hAnsi="宋体" w:eastAsia="宋体" w:cs="宋体"/>
                <w:b w:val="0"/>
                <w:bCs w:val="0"/>
                <w:snapToGrid w:val="0"/>
                <w:color w:val="auto"/>
                <w:kern w:val="0"/>
                <w:sz w:val="24"/>
                <w:szCs w:val="24"/>
                <w:lang w:eastAsia="en-US"/>
              </w:rPr>
              <w:t>h.广东省实施《中华人民共和国招标投标法》办法第十六条规定的情形</w:t>
            </w:r>
            <w:r>
              <w:rPr>
                <w:rFonts w:hint="eastAsia" w:ascii="宋体" w:hAnsi="宋体" w:eastAsia="宋体" w:cs="宋体"/>
                <w:b w:val="0"/>
                <w:bCs w:val="0"/>
                <w:snapToGrid w:val="0"/>
                <w:color w:val="auto"/>
                <w:kern w:val="0"/>
                <w:sz w:val="24"/>
                <w:szCs w:val="24"/>
                <w:lang w:eastAsia="zh-CN"/>
              </w:rPr>
              <w:t>。</w:t>
            </w:r>
          </w:p>
          <w:p w14:paraId="56BFE759">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增加3.6.3项：</w:t>
            </w:r>
          </w:p>
          <w:p w14:paraId="628351BA">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236E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1" w:type="dxa"/>
            <w:gridSpan w:val="2"/>
            <w:vAlign w:val="center"/>
          </w:tcPr>
          <w:p w14:paraId="192AF547">
            <w:pPr>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3.9</w:t>
            </w:r>
          </w:p>
        </w:tc>
        <w:tc>
          <w:tcPr>
            <w:tcW w:w="9061" w:type="dxa"/>
            <w:gridSpan w:val="7"/>
            <w:vAlign w:val="center"/>
          </w:tcPr>
          <w:p w14:paraId="07413980">
            <w:pPr>
              <w:keepNext w:val="0"/>
              <w:keepLines w:val="0"/>
              <w:pageBreakBefore w:val="0"/>
              <w:widowControl/>
              <w:kinsoku/>
              <w:wordWrap/>
              <w:overflowPunct/>
              <w:topLinePunct w:val="0"/>
              <w:autoSpaceDE w:val="0"/>
              <w:autoSpaceDN w:val="0"/>
              <w:bidi w:val="0"/>
              <w:adjustRightInd w:val="0"/>
              <w:snapToGrid w:val="0"/>
              <w:spacing w:line="300" w:lineRule="auto"/>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增加3.9.3-3.9.7项：</w:t>
            </w:r>
          </w:p>
          <w:p w14:paraId="528ABD5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3EAD5B8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3.9.4 通过第一个信封商务及技术文件评审的投标人少于3个的，评标委员会应否决全部投标。</w:t>
            </w:r>
          </w:p>
          <w:p w14:paraId="43E84E6B">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27047AE2">
            <w:pPr>
              <w:keepNext w:val="0"/>
              <w:keepLines w:val="0"/>
              <w:pageBreakBefore w:val="0"/>
              <w:widowControl/>
              <w:kinsoku/>
              <w:wordWrap/>
              <w:overflowPunct/>
              <w:topLinePunct w:val="0"/>
              <w:autoSpaceDE w:val="0"/>
              <w:autoSpaceDN w:val="0"/>
              <w:bidi w:val="0"/>
              <w:adjustRightInd w:val="0"/>
              <w:snapToGrid w:val="0"/>
              <w:spacing w:line="300" w:lineRule="auto"/>
              <w:ind w:firstLine="480"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val="0"/>
                <w:bCs w:val="0"/>
                <w:snapToGrid w:val="0"/>
                <w:color w:val="auto"/>
                <w:kern w:val="0"/>
                <w:sz w:val="24"/>
                <w:szCs w:val="24"/>
                <w:lang w:eastAsia="en-US"/>
              </w:rPr>
              <w:t>3.9.6 如果发生无法确定推荐中标候选人的其他意外情况，评标委员会可建议招标人重新招标。</w:t>
            </w:r>
          </w:p>
          <w:p w14:paraId="28FB0844">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3.9.7 本招标文件规定的否决投标条款包含在以下条款：</w:t>
            </w:r>
          </w:p>
          <w:p w14:paraId="40C6EBF8">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（1）投标人资格要求</w:t>
            </w:r>
            <w:r>
              <w:rPr>
                <w:rFonts w:hint="eastAsia" w:ascii="宋体" w:hAnsi="宋体" w:eastAsia="宋体" w:cs="宋体"/>
                <w:b/>
                <w:bCs/>
                <w:snapToGrid w:val="0"/>
                <w:color w:val="auto"/>
                <w:kern w:val="0"/>
                <w:sz w:val="24"/>
                <w:szCs w:val="24"/>
                <w:lang w:eastAsia="zh-CN"/>
              </w:rPr>
              <w:t>；</w:t>
            </w:r>
          </w:p>
          <w:p w14:paraId="718EF7AC">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（2）投标人须知1.4.3项、1.4.4项、1.4.5项、1.11.1项、1.12.2项、3.4.2项、3.5.11项、3.6.1项；</w:t>
            </w:r>
          </w:p>
          <w:p w14:paraId="36BBE15E">
            <w:pPr>
              <w:keepNext w:val="0"/>
              <w:keepLines w:val="0"/>
              <w:pageBreakBefore w:val="0"/>
              <w:widowControl/>
              <w:kinsoku/>
              <w:wordWrap/>
              <w:overflowPunct/>
              <w:topLinePunct w:val="0"/>
              <w:autoSpaceDE w:val="0"/>
              <w:autoSpaceDN w:val="0"/>
              <w:bidi w:val="0"/>
              <w:adjustRightInd w:val="0"/>
              <w:snapToGrid w:val="0"/>
              <w:spacing w:line="300" w:lineRule="auto"/>
              <w:ind w:firstLine="482" w:firstLineChars="200"/>
              <w:jc w:val="both"/>
              <w:textAlignment w:val="baseline"/>
              <w:rPr>
                <w:rFonts w:hint="eastAsia" w:ascii="宋体" w:hAnsi="宋体" w:eastAsia="宋体" w:cs="宋体"/>
                <w:b w:val="0"/>
                <w:bCs w:val="0"/>
                <w:snapToGrid w:val="0"/>
                <w:color w:val="auto"/>
                <w:kern w:val="0"/>
                <w:sz w:val="24"/>
                <w:szCs w:val="24"/>
                <w:lang w:eastAsia="en-US"/>
              </w:rPr>
            </w:pPr>
            <w:r>
              <w:rPr>
                <w:rFonts w:hint="eastAsia" w:ascii="宋体" w:hAnsi="宋体" w:eastAsia="宋体" w:cs="宋体"/>
                <w:b/>
                <w:bCs/>
                <w:snapToGrid w:val="0"/>
                <w:color w:val="auto"/>
                <w:kern w:val="0"/>
                <w:sz w:val="24"/>
                <w:szCs w:val="24"/>
                <w:lang w:eastAsia="en-US"/>
              </w:rPr>
              <w:t>（3）本评标办法的否决条款。</w:t>
            </w:r>
          </w:p>
        </w:tc>
      </w:tr>
    </w:tbl>
    <w:p w14:paraId="30B97B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Cs w:val="21"/>
          <w:lang w:eastAsia="en-US"/>
        </w:rPr>
      </w:pPr>
    </w:p>
    <w:p w14:paraId="57858A08"/>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jc5ZWZhOWI2OWY5ZDcwODY3YmNhOWVmOTY0MjQifQ=="/>
  </w:docVars>
  <w:rsids>
    <w:rsidRoot w:val="497310D3"/>
    <w:rsid w:val="08B45462"/>
    <w:rsid w:val="177C3EA7"/>
    <w:rsid w:val="4973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cs="宋体"/>
      <w:b/>
      <w:snapToGrid w:val="0"/>
      <w:color w:val="000000"/>
      <w:kern w:val="44"/>
      <w:sz w:val="52"/>
      <w:szCs w:val="44"/>
    </w:rPr>
  </w:style>
  <w:style w:type="paragraph" w:styleId="4">
    <w:name w:val="heading 2"/>
    <w:basedOn w:val="5"/>
    <w:next w:val="1"/>
    <w:semiHidden/>
    <w:unhideWhenUsed/>
    <w:qFormat/>
    <w:uiPriority w:val="0"/>
    <w:pPr>
      <w:keepNext/>
      <w:keepLines/>
      <w:spacing w:before="260" w:beforeLines="0" w:after="260" w:afterLines="0" w:line="413" w:lineRule="auto"/>
      <w:outlineLvl w:val="1"/>
    </w:pPr>
    <w:rPr>
      <w:rFonts w:ascii="Arial" w:hAnsi="Arial" w:eastAsia="黑体" w:cs="Times New Roman"/>
      <w:b/>
      <w:sz w:val="28"/>
      <w:szCs w:val="2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toa heading"/>
    <w:basedOn w:val="1"/>
    <w:next w:val="1"/>
    <w:uiPriority w:val="0"/>
    <w:pPr>
      <w:spacing w:before="120" w:beforeLines="0" w:beforeAutospacing="0"/>
    </w:pPr>
    <w:rPr>
      <w:rFonts w:ascii="Arial" w:hAnsi="Arial"/>
      <w:sz w:val="2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2024-08-22T04:03:00Z</dcterms:created>
  <dc:creator> A当然</dc:creator>
  <cp:lastModifiedBy> A当然</cp:lastModifiedBy>
  <dcterms:modified xsi:type="dcterms:W3CDTF">2024-08-22T04:06:05Z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796150AAD3BC41FB819EB548C3B772F7_11</vt:lpwstr>
  </property>
</Properties>
</file>