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jc w:val="center"/>
        <w:rPr>
          <w:rFonts w:ascii="方正小标宋简体" w:hAnsi="方正小标宋简体" w:eastAsia="方正小标宋简体" w:cs="方正小标宋简体"/>
          <w:bCs/>
          <w:color w:val="auto"/>
          <w:kern w:val="0"/>
          <w:sz w:val="36"/>
          <w:szCs w:val="36"/>
          <w:highlight w:val="none"/>
          <w:shd w:val="clear" w:color="auto" w:fill="FFFFFF"/>
        </w:rPr>
      </w:pPr>
      <w:r>
        <w:rPr>
          <w:rFonts w:hint="eastAsia" w:ascii="方正小标宋简体" w:hAnsi="方正小标宋简体" w:eastAsia="方正小标宋简体" w:cs="方正小标宋简体"/>
          <w:bCs/>
          <w:color w:val="auto"/>
          <w:kern w:val="0"/>
          <w:sz w:val="36"/>
          <w:szCs w:val="36"/>
          <w:highlight w:val="none"/>
        </w:rPr>
        <w:t>广东省工程建设项目招标公告</w:t>
      </w:r>
    </w:p>
    <w:tbl>
      <w:tblPr>
        <w:tblStyle w:val="6"/>
        <w:tblW w:w="0" w:type="auto"/>
        <w:jc w:val="center"/>
        <w:tblLayout w:type="fixed"/>
        <w:tblCellMar>
          <w:top w:w="0" w:type="dxa"/>
          <w:left w:w="108" w:type="dxa"/>
          <w:bottom w:w="0" w:type="dxa"/>
          <w:right w:w="108" w:type="dxa"/>
        </w:tblCellMar>
      </w:tblPr>
      <w:tblGrid>
        <w:gridCol w:w="2130"/>
        <w:gridCol w:w="1748"/>
        <w:gridCol w:w="1436"/>
        <w:gridCol w:w="2189"/>
        <w:gridCol w:w="2189"/>
      </w:tblGrid>
      <w:tr>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投资项目代码</w:t>
            </w:r>
          </w:p>
        </w:tc>
        <w:tc>
          <w:tcPr>
            <w:tcW w:w="75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2311-445322-04-01-211834</w:t>
            </w:r>
          </w:p>
        </w:tc>
      </w:tr>
      <w:tr>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投资项目名称</w:t>
            </w:r>
          </w:p>
        </w:tc>
        <w:tc>
          <w:tcPr>
            <w:tcW w:w="75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郁南县“美丽农村路”整治工程</w:t>
            </w:r>
          </w:p>
        </w:tc>
      </w:tr>
      <w:tr>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招标项目名称</w:t>
            </w:r>
          </w:p>
        </w:tc>
        <w:tc>
          <w:tcPr>
            <w:tcW w:w="75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郁南县“美丽农村路”整治工程（施工）</w:t>
            </w:r>
          </w:p>
        </w:tc>
      </w:tr>
      <w:tr>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标段（包）名称</w:t>
            </w:r>
          </w:p>
        </w:tc>
        <w:tc>
          <w:tcPr>
            <w:tcW w:w="174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郁南县“美丽农村路”整治工程（施工）</w:t>
            </w:r>
          </w:p>
        </w:tc>
        <w:tc>
          <w:tcPr>
            <w:tcW w:w="1436"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公告性质</w:t>
            </w:r>
          </w:p>
        </w:tc>
        <w:tc>
          <w:tcPr>
            <w:tcW w:w="4378"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正常</w:t>
            </w:r>
          </w:p>
        </w:tc>
      </w:tr>
      <w:tr>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资格审查方式</w:t>
            </w:r>
          </w:p>
        </w:tc>
        <w:tc>
          <w:tcPr>
            <w:tcW w:w="7562" w:type="dxa"/>
            <w:gridSpan w:val="4"/>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资格后审</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招标项目实施</w:t>
            </w:r>
          </w:p>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（交货）地点</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广东省云浮市郁南县都城镇、河口镇、通门镇、历洞镇、东坝镇</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资金来源</w:t>
            </w:r>
          </w:p>
        </w:tc>
        <w:tc>
          <w:tcPr>
            <w:tcW w:w="1748"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上级补助资金和地方配套解决</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资金来源构成</w:t>
            </w:r>
          </w:p>
        </w:tc>
        <w:tc>
          <w:tcPr>
            <w:tcW w:w="4378" w:type="dxa"/>
            <w:gridSpan w:val="2"/>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财政资金</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招标范围及规模</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highlight w:val="none"/>
              </w:rPr>
            </w:pPr>
            <w:r>
              <w:rPr>
                <w:rFonts w:hint="default" w:ascii="宋体" w:hAnsi="宋体" w:eastAsia="宋体" w:cs="宋体"/>
                <w:color w:val="auto"/>
                <w:sz w:val="20"/>
                <w:szCs w:val="20"/>
                <w:highlight w:val="none"/>
                <w:lang w:val="en-US" w:eastAsia="zh-CN"/>
              </w:rPr>
              <w:t>本项目为“美丽农村路”整治工程，位于云浮市郁南县境内，包含五个镇共九条示范路升级改造，项目里程总长44.0公里，具体工程项目内容按工程量清单及图纸为准。</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招标内容</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afterAutospacing="0"/>
              <w:jc w:val="left"/>
              <w:textAlignment w:val="center"/>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郁南县“美丽农村路”整治工程位于云浮市郁南县境内，包含五个镇共九条示范路升级改造，项目里程总长44.0公里，分别为：1、都城镇C277线都城肉联厂至五龙，桩号为K0+222～ K1+592，路线长1.37km；2、都城镇X801线都城肉联厂至枧峡，桩号：K6+799～K15+456，路线长8.657km；3、河口镇C530线河口中学至河口水泥厂，桩号：K0+000～K1+219，路线长1.219km；4、河口镇C516线河口寨至河口镇政府，桩号：K0+000～K0+523，路线长0.523km；5、河口镇X490线绿化至河口寨，桩号：K11+578～K17+798，路线长6.22km；6、河口镇X491线绿化至回龙，桩号：K11+640～K13+841，路线长2.201km；7、通门镇X821线格江村至铁根坳，桩号： K0+000～K15+825，路线长15.825km；8、历洞镇Y563线旺冲至里城，桩号：K0+000～K5+350，路线长5.35km；9、东坝镇X467线高速路口至粗石，桩号：K63+971～K66+606，路线长2.635km。</w:t>
            </w:r>
          </w:p>
          <w:p>
            <w:pPr>
              <w:pStyle w:val="5"/>
              <w:keepNext w:val="0"/>
              <w:keepLines w:val="0"/>
              <w:pageBreakBefore w:val="0"/>
              <w:widowControl/>
              <w:suppressLineNumbers w:val="0"/>
              <w:kinsoku/>
              <w:overflowPunct/>
              <w:topLinePunct w:val="0"/>
              <w:autoSpaceDE/>
              <w:autoSpaceDN/>
              <w:bidi w:val="0"/>
              <w:adjustRightInd/>
              <w:snapToGrid/>
              <w:spacing w:before="159" w:beforeLines="50" w:beforeAutospacing="0" w:afterAutospacing="0" w:line="360" w:lineRule="auto"/>
              <w:ind w:left="0" w:firstLine="0"/>
              <w:jc w:val="both"/>
              <w:rPr>
                <w:rFonts w:hint="default" w:ascii="宋体" w:hAnsi="宋体" w:eastAsia="宋体" w:cs="宋体"/>
                <w:i w:val="0"/>
                <w:iCs w:val="0"/>
                <w:caps w:val="0"/>
                <w:color w:val="auto"/>
                <w:spacing w:val="0"/>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2.2标段划分:</w:t>
            </w:r>
            <w:r>
              <w:rPr>
                <w:rFonts w:hint="default" w:ascii="宋体" w:hAnsi="宋体" w:eastAsia="宋体" w:cs="宋体"/>
                <w:i w:val="0"/>
                <w:iCs w:val="0"/>
                <w:caps w:val="0"/>
                <w:color w:val="auto"/>
                <w:spacing w:val="0"/>
                <w:sz w:val="20"/>
                <w:szCs w:val="20"/>
                <w:highlight w:val="none"/>
                <w:lang w:val="en-US" w:eastAsia="zh-CN"/>
              </w:rPr>
              <w:t>：</w:t>
            </w:r>
            <w:r>
              <w:rPr>
                <w:rFonts w:hint="default" w:ascii="宋体" w:hAnsi="宋体" w:eastAsia="宋体" w:cs="宋体"/>
                <w:i w:val="0"/>
                <w:iCs w:val="0"/>
                <w:caps w:val="0"/>
                <w:color w:val="auto"/>
                <w:spacing w:val="0"/>
                <w:sz w:val="20"/>
                <w:szCs w:val="20"/>
                <w:highlight w:val="none"/>
                <w:lang w:val="en-US"/>
              </w:rPr>
              <w:t>本次招标共分二个标类一个合同段。具体见附件 1。</w:t>
            </w:r>
          </w:p>
          <w:tbl>
            <w:tblPr>
              <w:tblStyle w:val="6"/>
              <w:tblW w:w="7296"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10"/>
              <w:gridCol w:w="383"/>
              <w:gridCol w:w="520"/>
              <w:gridCol w:w="557"/>
              <w:gridCol w:w="874"/>
              <w:gridCol w:w="2072"/>
              <w:gridCol w:w="1380"/>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3" w:hRule="atLeast"/>
              </w:trPr>
              <w:tc>
                <w:tcPr>
                  <w:tcW w:w="151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150" w:beforeAutospacing="0" w:afterAutospacing="0" w:line="360" w:lineRule="auto"/>
                    <w:ind w:left="0"/>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标段类别</w:t>
                  </w:r>
                </w:p>
              </w:tc>
              <w:tc>
                <w:tcPr>
                  <w:tcW w:w="38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30" w:beforeAutospacing="0" w:afterAutospacing="0" w:line="360" w:lineRule="auto"/>
                    <w:ind w:left="0"/>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标</w:t>
                  </w:r>
                </w:p>
                <w:p>
                  <w:pPr>
                    <w:pStyle w:val="5"/>
                    <w:keepNext w:val="0"/>
                    <w:keepLines w:val="0"/>
                    <w:pageBreakBefore w:val="0"/>
                    <w:widowControl/>
                    <w:suppressLineNumbers w:val="0"/>
                    <w:kinsoku/>
                    <w:wordWrap w:val="0"/>
                    <w:overflowPunct/>
                    <w:topLinePunct w:val="0"/>
                    <w:autoSpaceDE/>
                    <w:autoSpaceDN/>
                    <w:bidi w:val="0"/>
                    <w:adjustRightInd/>
                    <w:snapToGrid/>
                    <w:spacing w:afterAutospacing="0" w:line="360" w:lineRule="auto"/>
                    <w:ind w:left="0" w:hanging="86" w:hangingChars="43"/>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段</w:t>
                  </w:r>
                </w:p>
              </w:tc>
              <w:tc>
                <w:tcPr>
                  <w:tcW w:w="52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30" w:beforeAutospacing="0" w:afterAutospacing="0" w:line="360" w:lineRule="auto"/>
                    <w:ind w:left="0"/>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起讫</w:t>
                  </w:r>
                </w:p>
                <w:p>
                  <w:pPr>
                    <w:pStyle w:val="5"/>
                    <w:keepNext w:val="0"/>
                    <w:keepLines w:val="0"/>
                    <w:pageBreakBefore w:val="0"/>
                    <w:widowControl/>
                    <w:suppressLineNumbers w:val="0"/>
                    <w:kinsoku/>
                    <w:wordWrap w:val="0"/>
                    <w:overflowPunct/>
                    <w:topLinePunct w:val="0"/>
                    <w:autoSpaceDE/>
                    <w:autoSpaceDN/>
                    <w:bidi w:val="0"/>
                    <w:adjustRightInd/>
                    <w:snapToGrid/>
                    <w:spacing w:afterAutospacing="0" w:line="360" w:lineRule="auto"/>
                    <w:ind w:left="0"/>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桩号</w:t>
                  </w:r>
                </w:p>
              </w:tc>
              <w:tc>
                <w:tcPr>
                  <w:tcW w:w="55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30" w:beforeAutospacing="0" w:afterLines="0" w:afterAutospacing="0" w:line="360" w:lineRule="auto"/>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长度</w:t>
                  </w:r>
                </w:p>
                <w:p>
                  <w:pPr>
                    <w:pStyle w:val="5"/>
                    <w:keepNext w:val="0"/>
                    <w:keepLines w:val="0"/>
                    <w:pageBreakBefore w:val="0"/>
                    <w:widowControl/>
                    <w:suppressLineNumbers w:val="0"/>
                    <w:kinsoku/>
                    <w:wordWrap w:val="0"/>
                    <w:overflowPunct/>
                    <w:topLinePunct w:val="0"/>
                    <w:autoSpaceDE/>
                    <w:autoSpaceDN/>
                    <w:bidi w:val="0"/>
                    <w:adjustRightInd/>
                    <w:snapToGrid/>
                    <w:spacing w:beforeLines="0" w:beforeAutospacing="0" w:afterAutospacing="0" w:line="360" w:lineRule="auto"/>
                    <w:ind w:left="0"/>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(km)</w:t>
                  </w:r>
                </w:p>
              </w:tc>
              <w:tc>
                <w:tcPr>
                  <w:tcW w:w="87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30" w:beforeAutospacing="0" w:afterAutospacing="0" w:line="360" w:lineRule="auto"/>
                    <w:ind w:right="75"/>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主要工程项目</w:t>
                  </w:r>
                </w:p>
              </w:tc>
              <w:tc>
                <w:tcPr>
                  <w:tcW w:w="207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150" w:beforeAutospacing="0" w:afterAutospacing="0" w:line="360" w:lineRule="auto"/>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对申请人资质要求</w:t>
                  </w:r>
                </w:p>
              </w:tc>
              <w:tc>
                <w:tcPr>
                  <w:tcW w:w="138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150" w:beforeAutospacing="0" w:afterAutospacing="0" w:line="360" w:lineRule="auto"/>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备 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5" w:hRule="atLeast"/>
              </w:trPr>
              <w:tc>
                <w:tcPr>
                  <w:tcW w:w="15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60" w:beforeAutospacing="0" w:afterAutospacing="0" w:line="360" w:lineRule="auto"/>
                    <w:ind w:left="44" w:leftChars="20" w:right="105"/>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G类路面工程；H类交通安全设施工程</w:t>
                  </w:r>
                </w:p>
              </w:tc>
              <w:tc>
                <w:tcPr>
                  <w:tcW w:w="2334" w:type="dxa"/>
                  <w:gridSpan w:val="4"/>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60" w:beforeAutospacing="0" w:afterAutospacing="0" w:line="360" w:lineRule="auto"/>
                    <w:ind w:left="0" w:right="70" w:rightChars="32"/>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标段的划分及主要工程项目情况详见附件</w:t>
                  </w:r>
                  <w:r>
                    <w:rPr>
                      <w:rFonts w:hint="default" w:ascii="宋体" w:hAnsi="宋体" w:eastAsia="宋体" w:cs="宋体"/>
                      <w:i w:val="0"/>
                      <w:iCs w:val="0"/>
                      <w:caps w:val="0"/>
                      <w:color w:val="auto"/>
                      <w:spacing w:val="0"/>
                      <w:sz w:val="20"/>
                      <w:szCs w:val="20"/>
                      <w:highlight w:val="none"/>
                      <w:u w:val="none"/>
                      <w:lang w:val="en-US"/>
                    </w:rPr>
                    <w:t>1</w:t>
                  </w:r>
                </w:p>
              </w:tc>
              <w:tc>
                <w:tcPr>
                  <w:tcW w:w="2072"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60" w:beforeAutospacing="0" w:afterAutospacing="0" w:line="360" w:lineRule="auto"/>
                    <w:ind w:left="0" w:right="75"/>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具备住建部门核发的公路工程施工总承包叁级</w:t>
                  </w:r>
                  <w:r>
                    <w:rPr>
                      <w:rFonts w:hint="default" w:ascii="宋体" w:hAnsi="宋体" w:eastAsia="宋体" w:cs="宋体"/>
                      <w:i w:val="0"/>
                      <w:iCs w:val="0"/>
                      <w:caps w:val="0"/>
                      <w:color w:val="auto"/>
                      <w:spacing w:val="0"/>
                      <w:sz w:val="20"/>
                      <w:szCs w:val="20"/>
                      <w:highlight w:val="none"/>
                      <w:lang w:val="en-US" w:eastAsia="zh-CN"/>
                    </w:rPr>
                    <w:t>或</w:t>
                  </w:r>
                  <w:r>
                    <w:rPr>
                      <w:rFonts w:hint="default" w:ascii="宋体" w:hAnsi="宋体" w:eastAsia="宋体" w:cs="宋体"/>
                      <w:i w:val="0"/>
                      <w:iCs w:val="0"/>
                      <w:caps w:val="0"/>
                      <w:color w:val="auto"/>
                      <w:spacing w:val="0"/>
                      <w:sz w:val="20"/>
                      <w:szCs w:val="20"/>
                      <w:highlight w:val="none"/>
                      <w:lang w:val="en-US"/>
                    </w:rPr>
                    <w:t>以上资质</w:t>
                  </w:r>
                </w:p>
              </w:tc>
              <w:tc>
                <w:tcPr>
                  <w:tcW w:w="138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60" w:beforeAutospacing="0" w:afterAutospacing="0" w:line="360" w:lineRule="auto"/>
                    <w:ind w:left="0" w:right="105" w:firstLine="0"/>
                    <w:jc w:val="center"/>
                    <w:rPr>
                      <w:color w:val="auto"/>
                      <w:sz w:val="20"/>
                      <w:szCs w:val="20"/>
                      <w:highlight w:val="none"/>
                      <w:lang w:val="en-US"/>
                    </w:rPr>
                  </w:pPr>
                  <w:r>
                    <w:rPr>
                      <w:rFonts w:hint="default" w:ascii="宋体" w:hAnsi="宋体" w:eastAsia="宋体" w:cs="宋体"/>
                      <w:i w:val="0"/>
                      <w:iCs w:val="0"/>
                      <w:caps w:val="0"/>
                      <w:color w:val="auto"/>
                      <w:spacing w:val="0"/>
                      <w:sz w:val="20"/>
                      <w:szCs w:val="20"/>
                      <w:highlight w:val="none"/>
                      <w:lang w:val="en-US"/>
                    </w:rPr>
                    <w:t>资格审查条件附录</w:t>
                  </w:r>
                  <w:r>
                    <w:rPr>
                      <w:rFonts w:hint="default" w:ascii="宋体" w:hAnsi="宋体" w:eastAsia="宋体" w:cs="宋体"/>
                      <w:i w:val="0"/>
                      <w:iCs w:val="0"/>
                      <w:caps w:val="0"/>
                      <w:color w:val="auto"/>
                      <w:spacing w:val="0"/>
                      <w:sz w:val="20"/>
                      <w:szCs w:val="20"/>
                      <w:highlight w:val="none"/>
                      <w:u w:val="none"/>
                      <w:lang w:val="en-US"/>
                    </w:rPr>
                    <w:t>1</w:t>
                  </w:r>
                  <w:r>
                    <w:rPr>
                      <w:rFonts w:hint="default" w:ascii="宋体" w:hAnsi="宋体" w:eastAsia="宋体" w:cs="宋体"/>
                      <w:i w:val="0"/>
                      <w:iCs w:val="0"/>
                      <w:caps w:val="0"/>
                      <w:color w:val="auto"/>
                      <w:spacing w:val="0"/>
                      <w:sz w:val="20"/>
                      <w:szCs w:val="20"/>
                      <w:highlight w:val="none"/>
                      <w:lang w:val="en-US"/>
                    </w:rPr>
                    <w:t>至附录</w:t>
                  </w:r>
                  <w:r>
                    <w:rPr>
                      <w:rFonts w:hint="eastAsia" w:cs="宋体"/>
                      <w:i w:val="0"/>
                      <w:iCs w:val="0"/>
                      <w:caps w:val="0"/>
                      <w:color w:val="auto"/>
                      <w:spacing w:val="0"/>
                      <w:sz w:val="20"/>
                      <w:szCs w:val="20"/>
                      <w:highlight w:val="none"/>
                      <w:u w:val="none"/>
                      <w:lang w:val="en-US" w:eastAsia="zh-CN"/>
                    </w:rPr>
                    <w:t>7</w:t>
                  </w:r>
                  <w:r>
                    <w:rPr>
                      <w:rFonts w:hint="default" w:ascii="宋体" w:hAnsi="宋体" w:eastAsia="宋体" w:cs="宋体"/>
                      <w:i w:val="0"/>
                      <w:iCs w:val="0"/>
                      <w:caps w:val="0"/>
                      <w:color w:val="auto"/>
                      <w:spacing w:val="0"/>
                      <w:sz w:val="20"/>
                      <w:szCs w:val="20"/>
                      <w:highlight w:val="none"/>
                      <w:lang w:val="en-US"/>
                    </w:rPr>
                    <w:t>详见附件</w:t>
                  </w:r>
                  <w:r>
                    <w:rPr>
                      <w:rFonts w:hint="default" w:ascii="宋体" w:hAnsi="宋体" w:eastAsia="宋体" w:cs="宋体"/>
                      <w:i w:val="0"/>
                      <w:iCs w:val="0"/>
                      <w:caps w:val="0"/>
                      <w:color w:val="auto"/>
                      <w:spacing w:val="0"/>
                      <w:sz w:val="20"/>
                      <w:szCs w:val="20"/>
                      <w:highlight w:val="none"/>
                      <w:u w:val="none"/>
                      <w:lang w:val="en-US"/>
                    </w:rPr>
                    <w:t>2</w:t>
                  </w:r>
                </w:p>
              </w:tc>
            </w:tr>
          </w:tbl>
          <w:p>
            <w:pPr>
              <w:pStyle w:val="5"/>
              <w:keepNext w:val="0"/>
              <w:keepLines w:val="0"/>
              <w:pageBreakBefore w:val="0"/>
              <w:widowControl/>
              <w:suppressLineNumbers w:val="0"/>
              <w:kinsoku/>
              <w:overflowPunct/>
              <w:topLinePunct w:val="0"/>
              <w:autoSpaceDE/>
              <w:autoSpaceDN/>
              <w:bidi w:val="0"/>
              <w:adjustRightInd/>
              <w:snapToGrid/>
              <w:spacing w:before="105" w:beforeAutospacing="0" w:afterAutospacing="0" w:line="360" w:lineRule="auto"/>
              <w:ind w:left="0" w:firstLine="0"/>
              <w:jc w:val="both"/>
              <w:rPr>
                <w:rFonts w:hint="default" w:ascii="宋体" w:hAnsi="宋体" w:eastAsia="宋体" w:cs="宋体"/>
                <w:color w:val="auto"/>
                <w:sz w:val="20"/>
                <w:szCs w:val="20"/>
                <w:highlight w:val="none"/>
                <w:lang w:val="en-US" w:eastAsia="zh-CN"/>
              </w:rPr>
            </w:pPr>
            <w:r>
              <w:rPr>
                <w:rFonts w:hint="default" w:ascii="宋体" w:hAnsi="宋体" w:eastAsia="宋体" w:cs="宋体"/>
                <w:i w:val="0"/>
                <w:iCs w:val="0"/>
                <w:caps w:val="0"/>
                <w:color w:val="auto"/>
                <w:spacing w:val="0"/>
                <w:sz w:val="20"/>
                <w:szCs w:val="20"/>
                <w:highlight w:val="none"/>
                <w:lang w:val="en-US"/>
              </w:rPr>
              <w:t>注：具体工程数量以工程量清单为准。</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工期（交货期）</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highlight w:val="none"/>
              </w:rPr>
            </w:pPr>
            <w:r>
              <w:rPr>
                <w:rFonts w:hint="eastAsia" w:ascii="宋体" w:hAnsi="宋体" w:eastAsia="宋体" w:cs="宋体"/>
                <w:i w:val="0"/>
                <w:iCs w:val="0"/>
                <w:caps w:val="0"/>
                <w:color w:val="auto"/>
                <w:spacing w:val="0"/>
                <w:sz w:val="19"/>
                <w:szCs w:val="19"/>
                <w:highlight w:val="none"/>
              </w:rPr>
              <w:t>180/日历天</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最高投标限价</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14,358,238元</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是否接受联合体投标</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否</w:t>
            </w:r>
          </w:p>
        </w:tc>
      </w:tr>
      <w:tr>
        <w:tblPrEx>
          <w:tblCellMar>
            <w:top w:w="0" w:type="dxa"/>
            <w:left w:w="108" w:type="dxa"/>
            <w:bottom w:w="0" w:type="dxa"/>
            <w:right w:w="108" w:type="dxa"/>
          </w:tblCellMar>
        </w:tblPrEx>
        <w:trPr>
          <w:trHeight w:val="775" w:hRule="atLeast"/>
          <w:jc w:val="center"/>
        </w:trPr>
        <w:tc>
          <w:tcPr>
            <w:tcW w:w="213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投标资格能力要求</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（包括但不限于资质人员、业绩等要求）</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投标人资格要求</w:t>
            </w:r>
          </w:p>
        </w:tc>
        <w:tc>
          <w:tcPr>
            <w:tcW w:w="58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3、投标人资格要求</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3.1本次招标要求投标人须具备上述第2.2款表中所列相应资质、类似工程业绩，并在人员、设备、资金等方面具有相应的施工能力。</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投标人应进入交通运输部“全国公路建设市场信用信息管理系统 (http：//glxy.mot.gov.cn) ”中的公路工程施工资质企业名录，且投标人名称和资质与该名录中的相应企业名称和资质完全一致。</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3.2本次招标不接受联合体投标。</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w:t>
            </w:r>
            <w:r>
              <w:rPr>
                <w:rFonts w:hint="eastAsia" w:ascii="宋体" w:hAnsi="宋体" w:cs="宋体"/>
                <w:color w:val="auto"/>
                <w:kern w:val="0"/>
                <w:sz w:val="19"/>
                <w:szCs w:val="19"/>
                <w:highlight w:val="none"/>
                <w:lang w:val="en-US" w:eastAsia="zh-CN"/>
              </w:rPr>
              <w:t>3</w:t>
            </w:r>
            <w:r>
              <w:rPr>
                <w:rFonts w:hint="eastAsia" w:ascii="宋体" w:hAnsi="宋体" w:cs="宋体"/>
                <w:color w:val="auto"/>
                <w:kern w:val="0"/>
                <w:sz w:val="19"/>
                <w:szCs w:val="19"/>
                <w:highlight w:val="none"/>
              </w:rPr>
              <w:t>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注：单位负责人是指单位的法定代表人或者法律、行政法规规定代表单位行使职权的主要负责人。</w:t>
            </w:r>
            <w:r>
              <w:rPr>
                <w:rFonts w:hint="eastAsia" w:ascii="宋体" w:hAnsi="宋体" w:cs="宋体"/>
                <w:color w:val="auto"/>
                <w:kern w:val="0"/>
                <w:sz w:val="19"/>
                <w:szCs w:val="19"/>
                <w:highlight w:val="none"/>
                <w:lang w:val="en-US" w:eastAsia="zh-CN"/>
              </w:rPr>
              <w:t xml:space="preserve">控股是指出资额占有限责任公司资本总额50%以上或者其持有的股份占股份有限公司股本总额50%以上的，以及 </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lang w:val="en-US" w:eastAsia="zh-CN"/>
              </w:rPr>
              <w:t>出资额或者持有股份的比例虽然不足50%，但依其出资额或者持有的股份所享有的表决权已足以对股东会、股东大会的决议产生重大影响的。</w:t>
            </w:r>
            <w:r>
              <w:rPr>
                <w:rFonts w:hint="eastAsia" w:ascii="宋体" w:hAnsi="宋体" w:cs="宋体"/>
                <w:color w:val="auto"/>
                <w:kern w:val="0"/>
                <w:sz w:val="19"/>
                <w:szCs w:val="19"/>
                <w:highlight w:val="none"/>
              </w:rPr>
              <w:t>管理关系是指不具有出资持股关系的其它单位之间存在的管理与被管理关系。</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rPr>
              <w:t>3.</w:t>
            </w:r>
            <w:r>
              <w:rPr>
                <w:rFonts w:hint="eastAsia" w:ascii="宋体" w:hAnsi="宋体" w:cs="宋体"/>
                <w:color w:val="auto"/>
                <w:kern w:val="0"/>
                <w:sz w:val="19"/>
                <w:szCs w:val="19"/>
                <w:highlight w:val="none"/>
                <w:lang w:val="en-US" w:eastAsia="zh-CN"/>
              </w:rPr>
              <w:t>4</w:t>
            </w:r>
            <w:r>
              <w:rPr>
                <w:rFonts w:hint="eastAsia" w:ascii="宋体" w:hAnsi="宋体" w:cs="宋体"/>
                <w:color w:val="auto"/>
                <w:kern w:val="0"/>
                <w:sz w:val="19"/>
                <w:szCs w:val="19"/>
                <w:highlight w:val="none"/>
              </w:rPr>
              <w:t>在“中国执行信息公开网”(http://zxgk.court.gov.cn/shixin/) 中被列入失信被执行人名单的投标人，在国家企业信用信息公示系统 (www.gsxt.gov.cn) 中被列入严重违法失信企业名单的投标人，均按否决投标处理。</w:t>
            </w:r>
          </w:p>
          <w:p>
            <w:pPr>
              <w:widowControl/>
              <w:jc w:val="left"/>
              <w:textAlignment w:val="center"/>
              <w:rPr>
                <w:rFonts w:hint="eastAsia" w:ascii="宋体" w:hAnsi="宋体" w:cs="宋体"/>
                <w:color w:val="auto"/>
                <w:kern w:val="0"/>
                <w:sz w:val="19"/>
                <w:szCs w:val="19"/>
                <w:highlight w:val="none"/>
              </w:rPr>
            </w:pPr>
            <w:r>
              <w:rPr>
                <w:rFonts w:hint="eastAsia" w:ascii="宋体" w:hAnsi="宋体" w:cs="宋体"/>
                <w:color w:val="auto"/>
                <w:kern w:val="0"/>
                <w:sz w:val="19"/>
                <w:szCs w:val="19"/>
                <w:highlight w:val="none"/>
                <w:lang w:val="en-US" w:eastAsia="zh-CN"/>
              </w:rPr>
              <w:t>3.5投标人提供对参与本次公路工程项目招标投标活动中提交的证明资料（包括但不限于营业执照、资质、业绩、获奖、人员、财务、社保、纳税、各类证书等）的真实性、有效性签署的承诺函（格式见招标文件中第九章投标文件格式中的投标人承诺书）。</w:t>
            </w:r>
          </w:p>
          <w:p>
            <w:pPr>
              <w:widowControl/>
              <w:jc w:val="left"/>
              <w:textAlignment w:val="center"/>
              <w:rPr>
                <w:rFonts w:hint="eastAsia" w:ascii="宋体" w:hAnsi="宋体" w:cs="宋体"/>
                <w:color w:val="auto"/>
                <w:kern w:val="0"/>
                <w:sz w:val="19"/>
                <w:szCs w:val="19"/>
                <w:highlight w:val="none"/>
              </w:rPr>
            </w:pPr>
          </w:p>
        </w:tc>
      </w:tr>
      <w:tr>
        <w:tblPrEx>
          <w:tblCellMar>
            <w:top w:w="0" w:type="dxa"/>
            <w:left w:w="108" w:type="dxa"/>
            <w:bottom w:w="0" w:type="dxa"/>
            <w:right w:w="108" w:type="dxa"/>
          </w:tblCellMar>
        </w:tblPrEx>
        <w:trPr>
          <w:trHeight w:val="775" w:hRule="atLeast"/>
          <w:jc w:val="center"/>
        </w:trPr>
        <w:tc>
          <w:tcPr>
            <w:tcW w:w="2130"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b/>
                <w:bCs/>
                <w:color w:val="auto"/>
                <w:highlight w:val="none"/>
              </w:rPr>
            </w:pPr>
          </w:p>
        </w:tc>
        <w:tc>
          <w:tcPr>
            <w:tcW w:w="1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投标人业绩要求</w:t>
            </w:r>
          </w:p>
        </w:tc>
        <w:tc>
          <w:tcPr>
            <w:tcW w:w="58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 w:val="19"/>
                <w:szCs w:val="19"/>
                <w:highlight w:val="none"/>
              </w:rPr>
            </w:pPr>
            <w:r>
              <w:rPr>
                <w:rFonts w:hint="eastAsia" w:ascii="宋体" w:hAnsi="宋体" w:eastAsia="宋体" w:cs="宋体"/>
                <w:i w:val="0"/>
                <w:iCs w:val="0"/>
                <w:caps w:val="0"/>
                <w:color w:val="auto"/>
                <w:spacing w:val="0"/>
                <w:sz w:val="19"/>
                <w:szCs w:val="19"/>
                <w:highlight w:val="none"/>
              </w:rPr>
              <w:t>近三年（2021年1月1日至投标文件递交截止日止）承接的新建、改（扩）建、路面改造公路类似 工程施工业绩。</w:t>
            </w:r>
          </w:p>
        </w:tc>
      </w:tr>
      <w:tr>
        <w:tblPrEx>
          <w:tblCellMar>
            <w:top w:w="0" w:type="dxa"/>
            <w:left w:w="108" w:type="dxa"/>
            <w:bottom w:w="0" w:type="dxa"/>
            <w:right w:w="108" w:type="dxa"/>
          </w:tblCellMar>
        </w:tblPrEx>
        <w:trPr>
          <w:trHeight w:val="468" w:hRule="atLeast"/>
          <w:jc w:val="center"/>
        </w:trPr>
        <w:tc>
          <w:tcPr>
            <w:tcW w:w="213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是否采用电子</w:t>
            </w:r>
            <w:r>
              <w:rPr>
                <w:rFonts w:hint="eastAsia" w:ascii="宋体" w:hAnsi="宋体" w:cs="宋体"/>
                <w:b/>
                <w:bCs/>
                <w:color w:val="auto"/>
                <w:kern w:val="0"/>
                <w:sz w:val="20"/>
                <w:szCs w:val="20"/>
                <w:highlight w:val="none"/>
              </w:rPr>
              <w:br w:type="textWrapping"/>
            </w:r>
            <w:r>
              <w:rPr>
                <w:rFonts w:hint="eastAsia" w:ascii="宋体" w:hAnsi="宋体" w:cs="宋体"/>
                <w:b/>
                <w:bCs/>
                <w:color w:val="auto"/>
                <w:kern w:val="0"/>
                <w:sz w:val="20"/>
                <w:szCs w:val="20"/>
                <w:highlight w:val="none"/>
              </w:rPr>
              <w:t>招标投标方式</w:t>
            </w:r>
          </w:p>
        </w:tc>
        <w:tc>
          <w:tcPr>
            <w:tcW w:w="1748"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是</w:t>
            </w:r>
          </w:p>
        </w:tc>
        <w:tc>
          <w:tcPr>
            <w:tcW w:w="143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rPr>
              <w:t>获取招标文件的方式</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下载招标文件的网络地址</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广东省招标投标监管网（网址：http://zbtb.gd.gov.cn/login）、广东省公共资源交易平台（网址https://ygp.gdzwfw.gov.cn/ggzy-portal/index.html#/445300/index）、云浮市公共资源交易服务平台（网址：https://jyzx.yunfu.gov.cn/portal/）</w:t>
            </w:r>
          </w:p>
        </w:tc>
      </w:tr>
      <w:tr>
        <w:tblPrEx>
          <w:tblCellMar>
            <w:top w:w="0" w:type="dxa"/>
            <w:left w:w="108" w:type="dxa"/>
            <w:bottom w:w="0" w:type="dxa"/>
            <w:right w:w="108" w:type="dxa"/>
          </w:tblCellMar>
        </w:tblPrEx>
        <w:trPr>
          <w:trHeight w:val="745" w:hRule="atLeast"/>
          <w:jc w:val="center"/>
        </w:trPr>
        <w:tc>
          <w:tcPr>
            <w:tcW w:w="2130" w:type="dxa"/>
            <w:vMerge w:val="continue"/>
            <w:tcBorders>
              <w:left w:val="single" w:color="000000" w:sz="4" w:space="0"/>
              <w:bottom w:val="single" w:color="000000" w:sz="4" w:space="0"/>
              <w:right w:val="single" w:color="000000" w:sz="4" w:space="0"/>
            </w:tcBorders>
            <w:noWrap/>
            <w:vAlign w:val="center"/>
          </w:tcPr>
          <w:p>
            <w:pPr>
              <w:widowControl/>
              <w:textAlignment w:val="center"/>
              <w:rPr>
                <w:b/>
                <w:bCs/>
                <w:color w:val="auto"/>
                <w:highlight w:val="none"/>
              </w:rPr>
            </w:pPr>
          </w:p>
        </w:tc>
        <w:tc>
          <w:tcPr>
            <w:tcW w:w="1748" w:type="dxa"/>
            <w:vMerge w:val="continue"/>
            <w:tcBorders>
              <w:left w:val="single" w:color="000000" w:sz="4" w:space="0"/>
              <w:bottom w:val="single" w:color="000000" w:sz="4" w:space="0"/>
              <w:right w:val="single" w:color="000000" w:sz="4" w:space="0"/>
            </w:tcBorders>
            <w:noWrap/>
            <w:vAlign w:val="center"/>
          </w:tcPr>
          <w:p>
            <w:pPr>
              <w:widowControl/>
              <w:textAlignment w:val="center"/>
              <w:rPr>
                <w:color w:val="auto"/>
                <w:highlight w:val="none"/>
              </w:rPr>
            </w:pPr>
          </w:p>
        </w:tc>
        <w:tc>
          <w:tcPr>
            <w:tcW w:w="1436" w:type="dxa"/>
            <w:vMerge w:val="continue"/>
            <w:tcBorders>
              <w:left w:val="single" w:color="000000" w:sz="4" w:space="0"/>
              <w:bottom w:val="single" w:color="000000" w:sz="4" w:space="0"/>
              <w:right w:val="single" w:color="000000" w:sz="4" w:space="0"/>
            </w:tcBorders>
            <w:noWrap/>
            <w:vAlign w:val="center"/>
          </w:tcPr>
          <w:p>
            <w:pPr>
              <w:widowControl/>
              <w:textAlignment w:val="center"/>
              <w:rPr>
                <w:color w:val="auto"/>
                <w:highlight w:val="none"/>
              </w:rPr>
            </w:pPr>
          </w:p>
        </w:tc>
        <w:tc>
          <w:tcPr>
            <w:tcW w:w="218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auto"/>
                <w:highlight w:val="none"/>
              </w:rPr>
            </w:pPr>
            <w:r>
              <w:rPr>
                <w:rFonts w:hint="eastAsia" w:ascii="宋体" w:hAnsi="宋体" w:cs="宋体"/>
                <w:color w:val="auto"/>
                <w:sz w:val="20"/>
                <w:szCs w:val="20"/>
                <w:highlight w:val="none"/>
              </w:rPr>
              <w:t>获取招标文件的方式</w:t>
            </w:r>
          </w:p>
        </w:tc>
        <w:tc>
          <w:tcPr>
            <w:tcW w:w="21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highlight w:val="none"/>
                <w:lang w:val="en-US" w:eastAsia="zh-CN"/>
              </w:rPr>
            </w:pPr>
            <w:r>
              <w:rPr>
                <w:rFonts w:hint="eastAsia"/>
                <w:color w:val="auto"/>
                <w:sz w:val="18"/>
                <w:szCs w:val="18"/>
                <w:highlight w:val="none"/>
                <w:lang w:val="en-US" w:eastAsia="zh-CN"/>
              </w:rPr>
              <w:t>自行下载</w:t>
            </w:r>
          </w:p>
        </w:tc>
      </w:tr>
      <w:tr>
        <w:tblPrEx>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获取招标文件开始时间</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2024年 03月 1</w:t>
            </w:r>
            <w:r>
              <w:rPr>
                <w:rFonts w:hint="eastAsia" w:cs="宋体"/>
                <w:i w:val="0"/>
                <w:iCs w:val="0"/>
                <w:caps w:val="0"/>
                <w:color w:val="auto"/>
                <w:spacing w:val="0"/>
                <w:sz w:val="19"/>
                <w:szCs w:val="19"/>
                <w:highlight w:val="none"/>
                <w:lang w:val="en-US" w:eastAsia="zh-CN"/>
              </w:rPr>
              <w:t>5</w:t>
            </w:r>
            <w:bookmarkStart w:id="0" w:name="_GoBack"/>
            <w:bookmarkEnd w:id="0"/>
            <w:r>
              <w:rPr>
                <w:rFonts w:hint="eastAsia" w:ascii="宋体" w:hAnsi="宋体" w:eastAsia="宋体" w:cs="宋体"/>
                <w:i w:val="0"/>
                <w:iCs w:val="0"/>
                <w:caps w:val="0"/>
                <w:color w:val="auto"/>
                <w:spacing w:val="0"/>
                <w:sz w:val="19"/>
                <w:szCs w:val="19"/>
                <w:highlight w:val="none"/>
              </w:rPr>
              <w:t xml:space="preserve">日 </w:t>
            </w:r>
            <w:r>
              <w:rPr>
                <w:rFonts w:hint="eastAsia" w:cs="宋体"/>
                <w:i w:val="0"/>
                <w:iCs w:val="0"/>
                <w:caps w:val="0"/>
                <w:color w:val="auto"/>
                <w:spacing w:val="0"/>
                <w:sz w:val="19"/>
                <w:szCs w:val="19"/>
                <w:highlight w:val="none"/>
                <w:lang w:val="en-US" w:eastAsia="zh-CN"/>
              </w:rPr>
              <w:t>00</w:t>
            </w:r>
            <w:r>
              <w:rPr>
                <w:rFonts w:hint="eastAsia" w:ascii="宋体" w:hAnsi="宋体" w:eastAsia="宋体" w:cs="宋体"/>
                <w:i w:val="0"/>
                <w:iCs w:val="0"/>
                <w:caps w:val="0"/>
                <w:color w:val="auto"/>
                <w:spacing w:val="0"/>
                <w:sz w:val="19"/>
                <w:szCs w:val="19"/>
                <w:highlight w:val="none"/>
              </w:rPr>
              <w:t xml:space="preserve">时 </w:t>
            </w:r>
            <w:r>
              <w:rPr>
                <w:rFonts w:hint="eastAsia" w:cs="宋体"/>
                <w:i w:val="0"/>
                <w:iCs w:val="0"/>
                <w:caps w:val="0"/>
                <w:color w:val="auto"/>
                <w:spacing w:val="0"/>
                <w:sz w:val="19"/>
                <w:szCs w:val="19"/>
                <w:highlight w:val="none"/>
                <w:lang w:val="en-US" w:eastAsia="zh-CN"/>
              </w:rPr>
              <w:t>00</w:t>
            </w:r>
            <w:r>
              <w:rPr>
                <w:rFonts w:hint="eastAsia" w:ascii="宋体" w:hAnsi="宋体" w:eastAsia="宋体" w:cs="宋体"/>
                <w:i w:val="0"/>
                <w:iCs w:val="0"/>
                <w:caps w:val="0"/>
                <w:color w:val="auto"/>
                <w:spacing w:val="0"/>
                <w:sz w:val="19"/>
                <w:szCs w:val="19"/>
                <w:highlight w:val="none"/>
              </w:rPr>
              <w:t>分</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rPr>
              <w:t>获取招标文件截止时间</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2024年 4月</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8日</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9时</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30分</w:t>
            </w:r>
          </w:p>
        </w:tc>
      </w:tr>
      <w:tr>
        <w:tblPrEx>
          <w:tblCellMar>
            <w:top w:w="0" w:type="dxa"/>
            <w:left w:w="108" w:type="dxa"/>
            <w:bottom w:w="0" w:type="dxa"/>
            <w:right w:w="108" w:type="dxa"/>
          </w:tblCellMar>
        </w:tblPrEx>
        <w:trPr>
          <w:trHeight w:val="104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递交投标文件截止时间</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2024年 4月</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8日</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9时</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30分</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rPr>
              <w:t>投标文件递交方式</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标人应在截止时间前通过云浮市公共资源交易服务平台（https://jyzx.yunfu.gov.cn）递交电子投标文件。投标人应在递交电子投标文件截止时间前，登录云浮市公共资源交易服务平台办理网上投标登记手续。按照云浮市公共资源交易服务平台关于全流程电子化项目的相关指南进行操作。详见广东省公共资源交易平台（https://ygp.gdzwfw.gov.cn/#/445300/index）。逾期上传的电子投标文件，云浮市公共资源交易服务平台将予以拒收。</w:t>
            </w:r>
          </w:p>
          <w:p>
            <w:pPr>
              <w:widowControl/>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14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开标时间</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2024年 4月</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8日</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9时</w:t>
            </w:r>
            <w:r>
              <w:rPr>
                <w:rFonts w:hint="eastAsia" w:cs="宋体"/>
                <w:i w:val="0"/>
                <w:iCs w:val="0"/>
                <w:caps w:val="0"/>
                <w:color w:val="auto"/>
                <w:spacing w:val="0"/>
                <w:sz w:val="19"/>
                <w:szCs w:val="19"/>
                <w:highlight w:val="none"/>
                <w:lang w:val="en-US" w:eastAsia="zh-CN"/>
              </w:rPr>
              <w:t xml:space="preserve"> </w:t>
            </w:r>
            <w:r>
              <w:rPr>
                <w:rFonts w:hint="eastAsia" w:ascii="宋体" w:hAnsi="宋体" w:eastAsia="宋体" w:cs="宋体"/>
                <w:i w:val="0"/>
                <w:iCs w:val="0"/>
                <w:caps w:val="0"/>
                <w:color w:val="auto"/>
                <w:spacing w:val="0"/>
                <w:sz w:val="19"/>
                <w:szCs w:val="19"/>
                <w:highlight w:val="none"/>
              </w:rPr>
              <w:t>30分</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rPr>
              <w:t>开标地点</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云浮市公共资源交易服务平台云开标大厅</w:t>
            </w:r>
          </w:p>
        </w:tc>
      </w:tr>
      <w:tr>
        <w:tblPrEx>
          <w:tblCellMar>
            <w:top w:w="0" w:type="dxa"/>
            <w:left w:w="108" w:type="dxa"/>
            <w:bottom w:w="0" w:type="dxa"/>
            <w:right w:w="108" w:type="dxa"/>
          </w:tblCellMar>
        </w:tblPrEx>
        <w:trPr>
          <w:trHeight w:val="794"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发布公告媒介</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广东省招标投标监管网、广东省公共资源交易平台、云浮市公共资源交易服务平台</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招标人</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郁南县交通事务中心</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联系地址</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广东省云浮市郁南县都城镇工业大道4号</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招标人联系人</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叶生</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0766-7335319</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招标代理机构</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广东宝骏工程咨询有限公司</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联系地址</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广东省广州市荔湾区周门北路26号409房</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招标代理联系人</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黄文善</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020-86537273</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招标监督机构</w:t>
            </w:r>
          </w:p>
        </w:tc>
        <w:tc>
          <w:tcPr>
            <w:tcW w:w="1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郁南县交通运输局</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eastAsia="宋体" w:cs="宋体"/>
                <w:i w:val="0"/>
                <w:iCs w:val="0"/>
                <w:caps w:val="0"/>
                <w:color w:val="auto"/>
                <w:spacing w:val="0"/>
                <w:sz w:val="19"/>
                <w:szCs w:val="19"/>
                <w:highlight w:val="none"/>
              </w:rPr>
              <w:t>0766-7335870</w:t>
            </w:r>
          </w:p>
        </w:tc>
      </w:tr>
      <w:tr>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其他依法应当载明的内容</w:t>
            </w:r>
          </w:p>
        </w:tc>
        <w:tc>
          <w:tcPr>
            <w:tcW w:w="7562" w:type="dxa"/>
            <w:gridSpan w:val="4"/>
            <w:tcBorders>
              <w:top w:val="single" w:color="000000" w:sz="4" w:space="0"/>
              <w:left w:val="single" w:color="000000" w:sz="4" w:space="0"/>
              <w:bottom w:val="single" w:color="000000" w:sz="4" w:space="0"/>
              <w:right w:val="single" w:color="000000" w:sz="4" w:space="0"/>
            </w:tcBorders>
            <w:noWrap/>
            <w:vAlign w:val="center"/>
          </w:tcPr>
          <w:p>
            <w:pPr>
              <w:pStyle w:val="4"/>
              <w:spacing w:line="240" w:lineRule="atLeast"/>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 xml:space="preserve">    本招标项目郁南县“美丽农村路”整治工程（施工）由郁南县交通运输局批准建设，建设资金上级补助资金和地方配套解决，项目已具备招标条件，招标计划已于2023年11月10日在广东省招标投标监管网发布。           </w:t>
            </w:r>
          </w:p>
          <w:p>
            <w:pPr>
              <w:pStyle w:val="4"/>
              <w:spacing w:line="240" w:lineRule="atLeast"/>
              <w:rPr>
                <w:rFonts w:ascii="宋体" w:hAnsi="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 xml:space="preserve">    </w:t>
            </w:r>
            <w:r>
              <w:rPr>
                <w:rFonts w:hint="eastAsia" w:ascii="宋体" w:hAnsi="宋体" w:cs="宋体"/>
                <w:b w:val="0"/>
                <w:bCs w:val="0"/>
                <w:color w:val="auto"/>
                <w:sz w:val="20"/>
                <w:szCs w:val="20"/>
                <w:highlight w:val="none"/>
              </w:rPr>
              <w:t>注意事项：</w:t>
            </w:r>
          </w:p>
          <w:p>
            <w:pPr>
              <w:pStyle w:val="10"/>
              <w:numPr>
                <w:ilvl w:val="0"/>
                <w:numId w:val="1"/>
              </w:numPr>
              <w:spacing w:line="240" w:lineRule="atLeast"/>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发改法规规〔2022〕1117号）、广东省发展改革委等7部门《关于加快推进招标投标全流程电子化工作的通知》（粤发改法规函〔2022〕1484号）、云浮市发展和改革局等6个部门印发的《关于深入推进招标投标全流程电子化的通知》（云发改体改函〔2023〕26号）、云浮市住房和城乡建设局《关于转发《关于严格执行招标投标法规制度进一步规范招标投标主体行为的若干意见》的通知》（云建市〔2022〕26号）、广东省发展和改革委员会等8部门《关于印发广东省工程建设项目电子招标投标交易规则的通知》（粤发改规〔2023〕1号）、《广东省工程建设项目远程异地评标管理暂行办法》（粤发改规〔2022〕9号）、《关于全面推行云浮市建设工程交易不见面开标和远程异地评标的通告》等相关文件要求，该项目实行全流程电子化交易（即线上开标、评标），投标人需于投标截止时间前在云浮市公共资源交易服务平台、广东省公共资源交易平台填写投标信息，下载招标文件，并于投标截止时间前将制作完成的电子投标文件上传到云浮市公共资源交易服务平台（无须提交纸质投标文件）。电子版投标文件制作过程中，如有技术问题请于投标截止时间前的每天8：00-11：30，14：30-17：30，联系云浮市公共资源交易中心，联系电话：0766-8819989，QQ：624175059。</w:t>
            </w:r>
          </w:p>
          <w:p>
            <w:pPr>
              <w:pStyle w:val="10"/>
              <w:numPr>
                <w:ilvl w:val="0"/>
                <w:numId w:val="1"/>
              </w:numPr>
              <w:spacing w:line="240" w:lineRule="atLeast"/>
              <w:ind w:firstLine="400" w:firstLineChars="200"/>
              <w:rPr>
                <w:rFonts w:ascii="宋体" w:hAnsi="宋体" w:eastAsia="宋体" w:cs="宋体"/>
                <w:color w:val="auto"/>
                <w:sz w:val="20"/>
                <w:szCs w:val="20"/>
                <w:highlight w:val="none"/>
              </w:rPr>
            </w:pPr>
            <w:r>
              <w:rPr>
                <w:rFonts w:hint="eastAsia" w:ascii="宋体" w:hAnsi="宋体" w:eastAsia="宋体" w:cs="Times New Roman"/>
                <w:color w:val="auto"/>
                <w:kern w:val="2"/>
                <w:sz w:val="20"/>
                <w:szCs w:val="20"/>
                <w:highlight w:val="none"/>
              </w:rPr>
              <w:t>投标保证金转入系统生成的子账号</w:t>
            </w:r>
          </w:p>
          <w:p>
            <w:pPr>
              <w:pStyle w:val="10"/>
              <w:spacing w:line="240" w:lineRule="atLeast"/>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 系统环境要求：win7以上操作系统、360极速浏览器（版本12或以上，极速模式），具体操作请查看【操作手册】云浮市公共资源建设工程交易系统操作指南（https://jyzx.yunfu.gov.cn/portal/detail?firstTab=04&amp;category=Bszngl&amp;id=467093769fc74aa3aafea7760193f2f0）；有技术问题请致电0766-8819989，QQ：624175059：</w:t>
            </w:r>
          </w:p>
          <w:p>
            <w:pPr>
              <w:pStyle w:val="10"/>
              <w:spacing w:line="240" w:lineRule="atLeast"/>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 投标人需用单位的CA锁（或粤企签）对电子投标文件进行电子签章并在投标截止时间前成功加密上传到云浮市公共资源交易服务平台；</w:t>
            </w:r>
          </w:p>
          <w:p>
            <w:pPr>
              <w:pStyle w:val="10"/>
              <w:spacing w:line="240" w:lineRule="atLeast"/>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 邀请所有人参加线上（不见面）开标会，投标截止时间前各投标人登录云浮市公共资源交易服务平台，开标时交易系统自动提取所有投标文件，由招标人/招标代理机构和各投标人对在投标截止时间前成功提交的投标文件按时在线解密【需用单位的CA锁（或粤企签）进行在线解密】。交易系统将向所有投标人公布有效解密（包括按【</w:t>
            </w:r>
            <w:r>
              <w:rPr>
                <w:rFonts w:ascii="宋体" w:hAnsi="宋体" w:eastAsia="宋体" w:cs="宋体"/>
                <w:color w:val="auto"/>
                <w:sz w:val="20"/>
                <w:szCs w:val="20"/>
                <w:highlight w:val="none"/>
              </w:rPr>
              <w:t>投标文件解密失败的补救方案</w:t>
            </w:r>
            <w:r>
              <w:rPr>
                <w:rFonts w:hint="eastAsia" w:ascii="宋体" w:hAnsi="宋体" w:eastAsia="宋体" w:cs="宋体"/>
                <w:color w:val="auto"/>
                <w:sz w:val="20"/>
                <w:szCs w:val="20"/>
                <w:highlight w:val="none"/>
              </w:rPr>
              <w:t>和约定】有效提交的投标文件）投标文件对应的投标人名称、投标价格和招标文件规定的其他内容。解密失败且未按【</w:t>
            </w:r>
            <w:r>
              <w:rPr>
                <w:rFonts w:ascii="宋体" w:hAnsi="宋体" w:eastAsia="宋体" w:cs="宋体"/>
                <w:color w:val="auto"/>
                <w:sz w:val="20"/>
                <w:szCs w:val="20"/>
                <w:highlight w:val="none"/>
              </w:rPr>
              <w:t>投标文件解密失败的补救方案</w:t>
            </w:r>
            <w:r>
              <w:rPr>
                <w:rFonts w:hint="eastAsia" w:ascii="宋体" w:hAnsi="宋体" w:eastAsia="宋体" w:cs="宋体"/>
                <w:color w:val="auto"/>
                <w:sz w:val="20"/>
                <w:szCs w:val="20"/>
                <w:highlight w:val="none"/>
              </w:rPr>
              <w:t>和约定】有效提交的投标文件的，视为投标人撤销其投标文件。</w:t>
            </w:r>
          </w:p>
          <w:p>
            <w:pPr>
              <w:pStyle w:val="10"/>
              <w:spacing w:line="240" w:lineRule="atLeast"/>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 电子开标按照招标文件确定的时间进行开标，在云浮市公共资源交易服务平台公开进行，所有投标人均应当准时参加线上开标。不参加线上开标会议的，致使其投标文件无法有效解密（包括按【</w:t>
            </w:r>
            <w:r>
              <w:rPr>
                <w:rFonts w:ascii="宋体" w:hAnsi="宋体" w:eastAsia="宋体" w:cs="宋体"/>
                <w:color w:val="auto"/>
                <w:sz w:val="20"/>
                <w:szCs w:val="20"/>
                <w:highlight w:val="none"/>
              </w:rPr>
              <w:t>投标文件解密失败的补救方案</w:t>
            </w:r>
            <w:r>
              <w:rPr>
                <w:rFonts w:hint="eastAsia" w:ascii="宋体" w:hAnsi="宋体" w:eastAsia="宋体" w:cs="宋体"/>
                <w:color w:val="auto"/>
                <w:sz w:val="20"/>
                <w:szCs w:val="20"/>
                <w:highlight w:val="none"/>
              </w:rPr>
              <w:t>和约定】有效提交的投标文件）的，视为投标人撤销其投标文件和放弃投标文件解密失败补救权利。</w:t>
            </w:r>
          </w:p>
          <w:p>
            <w:pPr>
              <w:spacing w:line="240" w:lineRule="atLeast"/>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rPr>
              <w:t>7、参与电子投标，可能会出现未知的风险，存在的一切问题由投标人自行承担。</w:t>
            </w:r>
          </w:p>
        </w:tc>
      </w:tr>
    </w:tbl>
    <w:p>
      <w:pPr>
        <w:pStyle w:val="5"/>
        <w:keepNext w:val="0"/>
        <w:keepLines w:val="0"/>
        <w:widowControl/>
        <w:suppressLineNumbers w:val="0"/>
        <w:spacing w:after="159" w:afterLines="50" w:afterAutospacing="0" w:line="360" w:lineRule="atLeast"/>
        <w:ind w:left="0" w:right="0" w:firstLine="435"/>
        <w:rPr>
          <w:rFonts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rPr>
        <w:t>附件 1：标段的划分及主要工程项目情况</w:t>
      </w:r>
    </w:p>
    <w:p>
      <w:pPr>
        <w:pStyle w:val="5"/>
        <w:keepNext w:val="0"/>
        <w:keepLines w:val="0"/>
        <w:widowControl/>
        <w:suppressLineNumbers w:val="0"/>
        <w:spacing w:beforeAutospacing="0" w:after="159" w:afterLines="50" w:afterAutospacing="0" w:line="360" w:lineRule="atLeast"/>
        <w:ind w:left="0" w:right="0" w:firstLine="435"/>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rPr>
        <w:t>附件 2：资格审查条件（附录 1 至附录</w:t>
      </w:r>
      <w:r>
        <w:rPr>
          <w:rFonts w:hint="eastAsia" w:ascii="宋体" w:hAnsi="宋体" w:eastAsia="宋体" w:cs="宋体"/>
          <w:i w:val="0"/>
          <w:iCs w:val="0"/>
          <w:caps w:val="0"/>
          <w:color w:val="auto"/>
          <w:spacing w:val="0"/>
          <w:sz w:val="22"/>
          <w:szCs w:val="22"/>
          <w:highlight w:val="none"/>
          <w:lang w:val="en-US" w:eastAsia="zh-CN"/>
        </w:rPr>
        <w:t>7</w:t>
      </w:r>
      <w:r>
        <w:rPr>
          <w:rFonts w:hint="eastAsia" w:ascii="宋体" w:hAnsi="宋体" w:eastAsia="宋体" w:cs="宋体"/>
          <w:i w:val="0"/>
          <w:iCs w:val="0"/>
          <w:caps w:val="0"/>
          <w:color w:val="auto"/>
          <w:spacing w:val="0"/>
          <w:sz w:val="22"/>
          <w:szCs w:val="22"/>
          <w:highlight w:val="none"/>
        </w:rPr>
        <w:t>）</w:t>
      </w:r>
    </w:p>
    <w:p>
      <w:pPr>
        <w:pStyle w:val="5"/>
        <w:keepNext w:val="0"/>
        <w:keepLines w:val="0"/>
        <w:widowControl/>
        <w:suppressLineNumbers w:val="0"/>
        <w:spacing w:beforeAutospacing="0" w:after="159" w:afterLines="50" w:afterAutospacing="0" w:line="360" w:lineRule="atLeast"/>
        <w:ind w:left="0" w:right="0" w:firstLine="435"/>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rPr>
        <w:t>附件 3：评标办法</w:t>
      </w:r>
    </w:p>
    <w:p>
      <w:pPr>
        <w:pStyle w:val="5"/>
        <w:keepNext w:val="0"/>
        <w:keepLines w:val="0"/>
        <w:widowControl/>
        <w:suppressLineNumbers w:val="0"/>
        <w:spacing w:beforeAutospacing="0" w:line="360" w:lineRule="atLeast"/>
        <w:ind w:left="0" w:right="0" w:firstLine="435"/>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rPr>
        <w:t>以上附件可从发布公告的网站媒介上下载。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8BB6"/>
    <w:multiLevelType w:val="singleLevel"/>
    <w:tmpl w:val="5E9C8B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GY1YjE5NTNkY2RkZTk0MDgxYTgyNzFmYjY3MWQifQ=="/>
  </w:docVars>
  <w:rsids>
    <w:rsidRoot w:val="69E70E80"/>
    <w:rsid w:val="0541605B"/>
    <w:rsid w:val="1DF2084D"/>
    <w:rsid w:val="69E7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3"/>
    <w:basedOn w:val="1"/>
    <w:next w:val="1"/>
    <w:qFormat/>
    <w:uiPriority w:val="0"/>
    <w:pPr>
      <w:keepNext/>
      <w:keepLines/>
      <w:spacing w:line="360" w:lineRule="auto"/>
      <w:outlineLvl w:val="2"/>
    </w:pPr>
    <w:rPr>
      <w:b/>
      <w:bCs/>
      <w:kern w:val="0"/>
      <w:sz w:val="24"/>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qFormat/>
    <w:uiPriority w:val="0"/>
    <w:pPr>
      <w:widowControl/>
      <w:spacing w:after="120" w:line="480" w:lineRule="auto"/>
    </w:pPr>
    <w:rPr>
      <w:rFonts w:ascii="Calibri" w:hAnsi="Calibri"/>
      <w:szCs w:val="22"/>
    </w:rPr>
  </w:style>
  <w:style w:type="paragraph" w:styleId="5">
    <w:name w:val="Normal (Web)"/>
    <w:basedOn w:val="1"/>
    <w:qFormat/>
    <w:uiPriority w:val="0"/>
    <w:pPr>
      <w:widowControl/>
      <w:spacing w:beforeAutospacing="1" w:afterAutospacing="1" w:line="320" w:lineRule="atLeast"/>
    </w:pPr>
    <w:rPr>
      <w:sz w:val="18"/>
      <w:szCs w:val="18"/>
    </w:rPr>
  </w:style>
  <w:style w:type="character" w:styleId="8">
    <w:name w:val="Strong"/>
    <w:basedOn w:val="7"/>
    <w:qFormat/>
    <w:uiPriority w:val="0"/>
    <w:rPr>
      <w:b/>
    </w:rPr>
  </w:style>
  <w:style w:type="character" w:styleId="9">
    <w:name w:val="Hyperlink"/>
    <w:basedOn w:val="7"/>
    <w:autoRedefine/>
    <w:qFormat/>
    <w:uiPriority w:val="0"/>
    <w:rPr>
      <w:color w:val="2440B3"/>
      <w:u w:val="none"/>
    </w:rPr>
  </w:style>
  <w:style w:type="paragraph" w:customStyle="1" w:styleId="10">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2024-03-12T06:24:00Z</dcterms:created>
  <dc:creator>admin11</dc:creator>
  <cp:lastModifiedBy>admin11</cp:lastModifiedBy>
  <dcterms:modified xsi:type="dcterms:W3CDTF">2024-03-14T02:11:09Z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377A46CB211A4256986FFDBD13859EE9_11</vt:lpwstr>
  </property>
</Properties>
</file>