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after="0" w:line="240" w:lineRule="auto"/>
        <w:jc w:val="center"/>
        <w:rPr>
          <w:rFonts w:ascii="宋体" w:hAnsi="宋体"/>
          <w:color w:val="auto"/>
          <w:highlight w:val="none"/>
        </w:rPr>
      </w:pPr>
      <w:bookmarkStart w:id="0" w:name="_Toc152045598"/>
      <w:bookmarkStart w:id="1" w:name="_Toc144974565"/>
      <w:bookmarkStart w:id="2" w:name="_Toc37245873"/>
      <w:bookmarkStart w:id="3" w:name="_Toc152042375"/>
      <w:bookmarkStart w:id="4" w:name="_Toc247527623"/>
      <w:bookmarkStart w:id="5" w:name="_Toc247514022"/>
      <w:r>
        <w:rPr>
          <w:rFonts w:hint="eastAsia" w:ascii="宋体" w:hAnsi="宋体"/>
          <w:color w:val="auto"/>
          <w:sz w:val="36"/>
          <w:szCs w:val="36"/>
          <w:highlight w:val="none"/>
        </w:rPr>
        <w:t>第三章 评标办法（双信封的综合评分法）</w:t>
      </w:r>
      <w:bookmarkEnd w:id="0"/>
      <w:bookmarkEnd w:id="1"/>
      <w:bookmarkEnd w:id="2"/>
      <w:bookmarkEnd w:id="3"/>
      <w:bookmarkEnd w:id="4"/>
      <w:bookmarkEnd w:id="5"/>
    </w:p>
    <w:p>
      <w:pPr>
        <w:pStyle w:val="3"/>
        <w:adjustRightInd w:val="0"/>
        <w:snapToGrid w:val="0"/>
        <w:spacing w:line="240" w:lineRule="auto"/>
        <w:rPr>
          <w:rFonts w:hint="eastAsia" w:ascii="宋体" w:hAnsi="宋体" w:eastAsia="宋体"/>
          <w:color w:val="auto"/>
          <w:sz w:val="28"/>
          <w:szCs w:val="28"/>
          <w:highlight w:val="none"/>
        </w:rPr>
      </w:pPr>
      <w:bookmarkStart w:id="6" w:name="_Toc533665602"/>
      <w:bookmarkStart w:id="7" w:name="_Toc247527624"/>
      <w:bookmarkStart w:id="8" w:name="_Toc429881588"/>
      <w:bookmarkStart w:id="9" w:name="_Toc144974566"/>
      <w:bookmarkStart w:id="10" w:name="_Toc152045599"/>
      <w:bookmarkStart w:id="11" w:name="_Toc300835009"/>
      <w:bookmarkStart w:id="12" w:name="_Toc37245874"/>
      <w:bookmarkStart w:id="13" w:name="_Toc152042376"/>
      <w:bookmarkStart w:id="14" w:name="_Toc247514023"/>
      <w:r>
        <w:rPr>
          <w:rFonts w:hint="eastAsia" w:ascii="宋体" w:hAnsi="宋体" w:eastAsia="宋体"/>
          <w:color w:val="auto"/>
          <w:sz w:val="28"/>
          <w:szCs w:val="28"/>
          <w:highlight w:val="none"/>
        </w:rPr>
        <w:t>评标办法前附表</w:t>
      </w:r>
      <w:bookmarkEnd w:id="6"/>
      <w:bookmarkEnd w:id="7"/>
      <w:bookmarkEnd w:id="8"/>
      <w:bookmarkEnd w:id="9"/>
      <w:bookmarkEnd w:id="10"/>
      <w:bookmarkEnd w:id="11"/>
      <w:bookmarkEnd w:id="12"/>
      <w:bookmarkEnd w:id="13"/>
      <w:bookmarkEnd w:id="14"/>
    </w:p>
    <w:tbl>
      <w:tblPr>
        <w:tblStyle w:val="6"/>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0"/>
        <w:gridCol w:w="1021"/>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exact"/>
          <w:tblHeader/>
        </w:trPr>
        <w:tc>
          <w:tcPr>
            <w:tcW w:w="1841" w:type="dxa"/>
            <w:gridSpan w:val="2"/>
            <w:shd w:val="clear" w:color="auto" w:fill="FFFFFF"/>
            <w:noWrap w:val="0"/>
            <w:vAlign w:val="bottom"/>
          </w:tcPr>
          <w:p>
            <w:pPr>
              <w:pStyle w:val="8"/>
              <w:shd w:val="clear" w:color="auto" w:fill="auto"/>
              <w:spacing w:before="0" w:line="400" w:lineRule="exact"/>
              <w:ind w:left="42" w:leftChars="20" w:right="42" w:rightChars="20"/>
              <w:jc w:val="center"/>
              <w:rPr>
                <w:rFonts w:ascii="宋体" w:hAnsi="宋体" w:eastAsia="宋体" w:cs="MingLiU"/>
                <w:b/>
                <w:color w:val="auto"/>
                <w:sz w:val="21"/>
                <w:szCs w:val="21"/>
                <w:highlight w:val="none"/>
                <w:lang w:val="en-US" w:eastAsia="zh-CN"/>
              </w:rPr>
            </w:pPr>
            <w:r>
              <w:rPr>
                <w:rStyle w:val="9"/>
                <w:rFonts w:hint="eastAsia" w:ascii="宋体" w:hAnsi="宋体" w:eastAsia="宋体"/>
                <w:b/>
                <w:color w:val="auto"/>
                <w:sz w:val="21"/>
                <w:szCs w:val="21"/>
                <w:highlight w:val="none"/>
                <w:lang w:val="zh-CN" w:eastAsia="zh-CN"/>
              </w:rPr>
              <w:t>条款号</w:t>
            </w:r>
          </w:p>
        </w:tc>
        <w:tc>
          <w:tcPr>
            <w:tcW w:w="6596" w:type="dxa"/>
            <w:shd w:val="clear" w:color="auto" w:fill="FFFFFF"/>
            <w:noWrap w:val="0"/>
            <w:vAlign w:val="bottom"/>
          </w:tcPr>
          <w:p>
            <w:pPr>
              <w:pStyle w:val="8"/>
              <w:shd w:val="clear" w:color="auto" w:fill="auto"/>
              <w:spacing w:before="0" w:line="400" w:lineRule="exact"/>
              <w:ind w:left="42" w:leftChars="20" w:right="42" w:rightChars="20"/>
              <w:jc w:val="center"/>
              <w:rPr>
                <w:rFonts w:ascii="宋体" w:hAnsi="宋体" w:eastAsia="宋体" w:cs="MingLiU"/>
                <w:b/>
                <w:color w:val="auto"/>
                <w:sz w:val="21"/>
                <w:szCs w:val="21"/>
                <w:highlight w:val="none"/>
                <w:lang w:val="en-US" w:eastAsia="zh-CN"/>
              </w:rPr>
            </w:pPr>
            <w:r>
              <w:rPr>
                <w:rStyle w:val="9"/>
                <w:rFonts w:hint="eastAsia" w:ascii="宋体" w:hAnsi="宋体" w:eastAsia="宋体"/>
                <w:b/>
                <w:color w:val="auto"/>
                <w:sz w:val="21"/>
                <w:szCs w:val="21"/>
                <w:highlight w:val="none"/>
                <w:lang w:val="zh-CN" w:eastAsia="zh-CN"/>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6" w:hRule="exact"/>
        </w:trPr>
        <w:tc>
          <w:tcPr>
            <w:tcW w:w="820" w:type="dxa"/>
            <w:shd w:val="clear" w:color="auto" w:fill="FFFFFF"/>
            <w:noWrap w:val="0"/>
            <w:vAlign w:val="center"/>
          </w:tcPr>
          <w:p>
            <w:pPr>
              <w:pStyle w:val="8"/>
              <w:shd w:val="clear" w:color="auto" w:fill="auto"/>
              <w:spacing w:before="0" w:line="400" w:lineRule="exact"/>
              <w:ind w:left="42" w:leftChars="20" w:right="42" w:rightChars="20"/>
              <w:jc w:val="center"/>
              <w:rPr>
                <w:rFonts w:ascii="宋体" w:hAnsi="宋体" w:eastAsia="宋体" w:cs="MingLiU"/>
                <w:color w:val="auto"/>
                <w:sz w:val="21"/>
                <w:szCs w:val="21"/>
                <w:highlight w:val="none"/>
                <w:lang w:val="en-US" w:eastAsia="zh-CN"/>
              </w:rPr>
            </w:pPr>
            <w:r>
              <w:rPr>
                <w:rStyle w:val="10"/>
                <w:rFonts w:ascii="宋体" w:hAnsi="宋体" w:eastAsia="宋体"/>
                <w:color w:val="auto"/>
                <w:sz w:val="21"/>
                <w:szCs w:val="21"/>
                <w:highlight w:val="none"/>
                <w:lang w:val="zh-CN" w:eastAsia="zh-CN"/>
              </w:rPr>
              <w:t>1</w:t>
            </w:r>
          </w:p>
        </w:tc>
        <w:tc>
          <w:tcPr>
            <w:tcW w:w="1021" w:type="dxa"/>
            <w:shd w:val="clear" w:color="auto" w:fill="FFFFFF"/>
            <w:noWrap w:val="0"/>
            <w:vAlign w:val="center"/>
          </w:tcPr>
          <w:p>
            <w:pPr>
              <w:pStyle w:val="8"/>
              <w:shd w:val="clear" w:color="auto" w:fill="auto"/>
              <w:spacing w:before="0" w:line="400" w:lineRule="exact"/>
              <w:ind w:left="42" w:leftChars="20" w:right="42" w:rightChars="20"/>
              <w:jc w:val="center"/>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评标方法</w:t>
            </w:r>
          </w:p>
        </w:tc>
        <w:tc>
          <w:tcPr>
            <w:tcW w:w="6596" w:type="dxa"/>
            <w:shd w:val="clear" w:color="auto" w:fill="FFFFFF"/>
            <w:noWrap w:val="0"/>
            <w:vAlign w:val="center"/>
          </w:tcPr>
          <w:p>
            <w:pPr>
              <w:pStyle w:val="8"/>
              <w:shd w:val="clear" w:color="auto" w:fill="auto"/>
              <w:spacing w:before="0" w:line="380" w:lineRule="exact"/>
              <w:ind w:left="42" w:leftChars="20" w:right="42" w:rightChars="20" w:firstLine="420" w:firstLineChars="200"/>
              <w:jc w:val="both"/>
              <w:rPr>
                <w:rStyle w:val="10"/>
                <w:rFonts w:ascii="宋体" w:hAnsi="宋体" w:eastAsia="宋体"/>
                <w:color w:val="auto"/>
                <w:sz w:val="21"/>
                <w:szCs w:val="21"/>
                <w:highlight w:val="none"/>
                <w:lang w:val="zh-CN" w:eastAsia="zh-CN"/>
              </w:rPr>
            </w:pPr>
            <w:r>
              <w:rPr>
                <w:rStyle w:val="10"/>
                <w:rFonts w:hint="eastAsia" w:ascii="宋体" w:hAnsi="宋体" w:eastAsia="宋体"/>
                <w:color w:val="auto"/>
                <w:sz w:val="21"/>
                <w:szCs w:val="21"/>
                <w:highlight w:val="none"/>
                <w:lang w:val="zh-CN" w:eastAsia="zh-CN"/>
              </w:rPr>
              <w:t>综合评分相等时，评标委员会依次按照以下优先顺序推荐中标候选人或确定中标人：</w:t>
            </w:r>
          </w:p>
          <w:p>
            <w:pPr>
              <w:pStyle w:val="8"/>
              <w:numPr>
                <w:ilvl w:val="0"/>
                <w:numId w:val="1"/>
              </w:numPr>
              <w:shd w:val="clear" w:color="auto" w:fill="auto"/>
              <w:tabs>
                <w:tab w:val="left" w:pos="1050"/>
              </w:tabs>
              <w:spacing w:before="0" w:line="380" w:lineRule="exact"/>
              <w:jc w:val="both"/>
              <w:rPr>
                <w:rStyle w:val="10"/>
                <w:rFonts w:hint="eastAsia" w:ascii="宋体" w:hAnsi="宋体" w:eastAsia="宋体"/>
                <w:color w:val="auto"/>
                <w:sz w:val="21"/>
                <w:szCs w:val="21"/>
                <w:highlight w:val="none"/>
                <w:lang w:val="zh-CN" w:eastAsia="zh-CN"/>
              </w:rPr>
            </w:pPr>
            <w:r>
              <w:rPr>
                <w:rStyle w:val="10"/>
                <w:rFonts w:hint="eastAsia" w:ascii="宋体" w:hAnsi="宋体" w:eastAsia="宋体"/>
                <w:color w:val="auto"/>
                <w:sz w:val="21"/>
                <w:szCs w:val="21"/>
                <w:highlight w:val="none"/>
                <w:lang w:val="zh-CN" w:eastAsia="zh-CN"/>
              </w:rPr>
              <w:t>评标价低的优先；</w:t>
            </w:r>
          </w:p>
          <w:p>
            <w:pPr>
              <w:pStyle w:val="8"/>
              <w:shd w:val="clear" w:color="auto" w:fill="auto"/>
              <w:tabs>
                <w:tab w:val="left" w:pos="1050"/>
              </w:tabs>
              <w:spacing w:before="0" w:line="380" w:lineRule="exact"/>
              <w:jc w:val="both"/>
              <w:rPr>
                <w:rStyle w:val="10"/>
                <w:rFonts w:hint="eastAsia" w:ascii="宋体" w:hAnsi="宋体" w:eastAsia="宋体"/>
                <w:color w:val="auto"/>
                <w:sz w:val="21"/>
                <w:szCs w:val="21"/>
                <w:highlight w:val="none"/>
                <w:lang w:val="zh-CN" w:eastAsia="zh-CN"/>
              </w:rPr>
            </w:pPr>
            <w:r>
              <w:rPr>
                <w:rStyle w:val="10"/>
                <w:rFonts w:hint="eastAsia" w:ascii="宋体" w:hAnsi="宋体" w:eastAsia="宋体"/>
                <w:color w:val="auto"/>
                <w:sz w:val="21"/>
                <w:szCs w:val="21"/>
                <w:highlight w:val="none"/>
                <w:lang w:val="zh-CN" w:eastAsia="zh-CN"/>
              </w:rPr>
              <w:t>（</w:t>
            </w:r>
            <w:r>
              <w:rPr>
                <w:rStyle w:val="10"/>
                <w:rFonts w:hint="eastAsia" w:ascii="宋体" w:hAnsi="宋体" w:eastAsia="宋体"/>
                <w:color w:val="auto"/>
                <w:sz w:val="21"/>
                <w:szCs w:val="21"/>
                <w:highlight w:val="none"/>
                <w:lang w:val="en-US" w:eastAsia="zh-CN"/>
              </w:rPr>
              <w:t>2</w:t>
            </w:r>
            <w:r>
              <w:rPr>
                <w:rStyle w:val="10"/>
                <w:rFonts w:hint="eastAsia" w:ascii="宋体" w:hAnsi="宋体" w:eastAsia="宋体"/>
                <w:color w:val="auto"/>
                <w:sz w:val="21"/>
                <w:szCs w:val="21"/>
                <w:highlight w:val="none"/>
                <w:lang w:val="zh-CN" w:eastAsia="zh-CN"/>
              </w:rPr>
              <w:t>）以投标人企业最新年度净资产较高的优先；</w:t>
            </w:r>
          </w:p>
          <w:p>
            <w:pPr>
              <w:pStyle w:val="8"/>
              <w:shd w:val="clear" w:color="auto" w:fill="auto"/>
              <w:tabs>
                <w:tab w:val="left" w:pos="1070"/>
              </w:tabs>
              <w:spacing w:before="0" w:line="380" w:lineRule="exact"/>
              <w:jc w:val="both"/>
              <w:rPr>
                <w:rStyle w:val="10"/>
                <w:rFonts w:ascii="宋体" w:hAnsi="宋体" w:eastAsia="宋体"/>
                <w:color w:val="auto"/>
                <w:sz w:val="21"/>
                <w:szCs w:val="21"/>
                <w:highlight w:val="none"/>
                <w:lang w:val="zh-CN" w:eastAsia="zh-CN"/>
              </w:rPr>
            </w:pPr>
            <w:r>
              <w:rPr>
                <w:rStyle w:val="10"/>
                <w:rFonts w:hint="eastAsia" w:ascii="宋体" w:hAnsi="宋体" w:eastAsia="宋体"/>
                <w:color w:val="auto"/>
                <w:sz w:val="21"/>
                <w:szCs w:val="21"/>
                <w:highlight w:val="none"/>
                <w:lang w:val="zh-CN" w:eastAsia="zh-CN"/>
              </w:rPr>
              <w:t>（</w:t>
            </w:r>
            <w:r>
              <w:rPr>
                <w:rStyle w:val="10"/>
                <w:rFonts w:hint="eastAsia" w:ascii="宋体" w:hAnsi="宋体" w:eastAsia="宋体"/>
                <w:color w:val="auto"/>
                <w:sz w:val="21"/>
                <w:szCs w:val="21"/>
                <w:highlight w:val="none"/>
                <w:lang w:val="en-US" w:eastAsia="zh-CN"/>
              </w:rPr>
              <w:t>3</w:t>
            </w:r>
            <w:r>
              <w:rPr>
                <w:rStyle w:val="10"/>
                <w:rFonts w:hint="eastAsia" w:ascii="宋体" w:hAnsi="宋体" w:eastAsia="宋体"/>
                <w:color w:val="auto"/>
                <w:sz w:val="21"/>
                <w:szCs w:val="21"/>
                <w:highlight w:val="none"/>
                <w:lang w:val="zh-CN" w:eastAsia="zh-CN"/>
              </w:rPr>
              <w:t>）评标委员会视投标人情况综合比较，投票确定其名次。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0" w:type="dxa"/>
            <w:shd w:val="clear" w:color="auto" w:fill="FFFFFF"/>
            <w:noWrap w:val="0"/>
            <w:vAlign w:val="center"/>
          </w:tcPr>
          <w:p>
            <w:pPr>
              <w:pStyle w:val="8"/>
              <w:shd w:val="clear" w:color="auto" w:fill="auto"/>
              <w:spacing w:before="0" w:line="400" w:lineRule="exact"/>
              <w:ind w:left="42" w:leftChars="20" w:right="42" w:rightChars="20"/>
              <w:jc w:val="center"/>
              <w:rPr>
                <w:rFonts w:ascii="宋体" w:hAnsi="宋体" w:eastAsia="宋体" w:cs="MingLiU"/>
                <w:color w:val="auto"/>
                <w:sz w:val="21"/>
                <w:szCs w:val="21"/>
                <w:highlight w:val="none"/>
                <w:lang w:val="en-US" w:eastAsia="zh-CN"/>
              </w:rPr>
            </w:pPr>
            <w:r>
              <w:rPr>
                <w:rStyle w:val="11"/>
                <w:rFonts w:ascii="宋体" w:hAnsi="宋体" w:eastAsia="宋体"/>
                <w:color w:val="auto"/>
                <w:sz w:val="21"/>
                <w:szCs w:val="21"/>
                <w:highlight w:val="none"/>
              </w:rPr>
              <w:t>2.1.1</w:t>
            </w:r>
          </w:p>
          <w:p>
            <w:pPr>
              <w:pStyle w:val="8"/>
              <w:shd w:val="clear" w:color="auto" w:fill="auto"/>
              <w:spacing w:before="0" w:line="400" w:lineRule="exact"/>
              <w:ind w:left="42" w:leftChars="20" w:right="42" w:rightChars="20"/>
              <w:jc w:val="center"/>
              <w:rPr>
                <w:rFonts w:ascii="宋体" w:hAnsi="宋体" w:eastAsia="宋体" w:cs="MingLiU"/>
                <w:color w:val="auto"/>
                <w:sz w:val="21"/>
                <w:szCs w:val="21"/>
                <w:highlight w:val="none"/>
                <w:lang w:val="en-US" w:eastAsia="zh-CN"/>
              </w:rPr>
            </w:pPr>
            <w:r>
              <w:rPr>
                <w:rStyle w:val="11"/>
                <w:rFonts w:ascii="宋体" w:hAnsi="宋体" w:eastAsia="宋体"/>
                <w:color w:val="auto"/>
                <w:sz w:val="21"/>
                <w:szCs w:val="21"/>
                <w:highlight w:val="none"/>
              </w:rPr>
              <w:t>2.1.3</w:t>
            </w:r>
          </w:p>
        </w:tc>
        <w:tc>
          <w:tcPr>
            <w:tcW w:w="1021" w:type="dxa"/>
            <w:shd w:val="clear" w:color="auto" w:fill="FFFFFF"/>
            <w:noWrap w:val="0"/>
            <w:vAlign w:val="center"/>
          </w:tcPr>
          <w:p>
            <w:pPr>
              <w:pStyle w:val="8"/>
              <w:shd w:val="clear" w:color="auto" w:fill="auto"/>
              <w:spacing w:before="0" w:line="400" w:lineRule="exact"/>
              <w:ind w:left="42" w:leftChars="20" w:right="42" w:rightChars="20"/>
              <w:jc w:val="center"/>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形式评审与响应性评审标准</w:t>
            </w:r>
          </w:p>
        </w:tc>
        <w:tc>
          <w:tcPr>
            <w:tcW w:w="6596" w:type="dxa"/>
            <w:shd w:val="clear" w:color="auto" w:fill="FFFFFF"/>
            <w:noWrap w:val="0"/>
            <w:vAlign w:val="center"/>
          </w:tcPr>
          <w:p>
            <w:pPr>
              <w:pStyle w:val="8"/>
              <w:shd w:val="clear" w:color="auto" w:fill="auto"/>
              <w:spacing w:before="0" w:line="380" w:lineRule="exact"/>
              <w:ind w:left="42" w:leftChars="20" w:right="42" w:rightChars="20" w:firstLine="148" w:firstLineChars="70"/>
              <w:jc w:val="both"/>
              <w:rPr>
                <w:rFonts w:ascii="宋体" w:hAnsi="宋体" w:eastAsia="宋体" w:cs="MingLiU"/>
                <w:b/>
                <w:color w:val="auto"/>
                <w:sz w:val="21"/>
                <w:szCs w:val="21"/>
                <w:highlight w:val="none"/>
                <w:lang w:val="en-US" w:eastAsia="zh-CN"/>
              </w:rPr>
            </w:pPr>
            <w:r>
              <w:rPr>
                <w:rStyle w:val="10"/>
                <w:rFonts w:hint="eastAsia" w:ascii="宋体" w:hAnsi="宋体" w:eastAsia="宋体"/>
                <w:b/>
                <w:color w:val="auto"/>
                <w:sz w:val="21"/>
                <w:szCs w:val="21"/>
                <w:highlight w:val="none"/>
                <w:lang w:val="zh-CN" w:eastAsia="zh-CN"/>
              </w:rPr>
              <w:t>第一个信封（商务及技术文件）评审标准：</w:t>
            </w:r>
          </w:p>
          <w:p>
            <w:pPr>
              <w:pStyle w:val="8"/>
              <w:shd w:val="clear" w:color="auto" w:fill="auto"/>
              <w:tabs>
                <w:tab w:val="left" w:pos="946"/>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（1）投标文件按照招标文件规定的格式、内容填写，字迹清晰可辨：</w:t>
            </w:r>
          </w:p>
          <w:p>
            <w:pPr>
              <w:pStyle w:val="8"/>
              <w:shd w:val="clear" w:color="auto" w:fill="auto"/>
              <w:tabs>
                <w:tab w:val="left" w:pos="566"/>
                <w:tab w:val="left" w:pos="805"/>
              </w:tabs>
              <w:spacing w:before="0" w:line="380" w:lineRule="exact"/>
              <w:ind w:left="42" w:leftChars="20" w:right="42" w:rightChars="20" w:firstLine="147" w:firstLineChars="70"/>
              <w:jc w:val="both"/>
              <w:rPr>
                <w:rFonts w:ascii="宋体" w:hAnsi="宋体" w:eastAsia="宋体" w:cs="MingLiU"/>
                <w:color w:val="auto"/>
                <w:spacing w:val="0"/>
                <w:sz w:val="21"/>
                <w:szCs w:val="21"/>
                <w:highlight w:val="none"/>
                <w:lang w:val="en-US" w:eastAsia="zh-CN"/>
              </w:rPr>
            </w:pPr>
            <w:r>
              <w:rPr>
                <w:rStyle w:val="10"/>
                <w:rFonts w:hint="eastAsia" w:ascii="宋体" w:hAnsi="宋体" w:eastAsia="宋体"/>
                <w:color w:val="auto"/>
                <w:sz w:val="21"/>
                <w:szCs w:val="21"/>
                <w:highlight w:val="none"/>
                <w:lang w:val="en-US" w:eastAsia="zh-CN"/>
              </w:rPr>
              <w:t>a.</w:t>
            </w:r>
            <w:r>
              <w:rPr>
                <w:rStyle w:val="10"/>
                <w:rFonts w:hint="eastAsia" w:ascii="宋体" w:hAnsi="宋体" w:eastAsia="宋体"/>
                <w:color w:val="auto"/>
                <w:sz w:val="21"/>
                <w:szCs w:val="21"/>
                <w:highlight w:val="none"/>
                <w:lang w:val="zh-CN" w:eastAsia="zh-CN"/>
              </w:rPr>
              <w:t>投标函按招标文件规定填报了项目名称、项目包号（如有）、工期、工程质量要求及安全目标；</w:t>
            </w:r>
          </w:p>
          <w:p>
            <w:pPr>
              <w:pStyle w:val="8"/>
              <w:shd w:val="clear" w:color="auto" w:fill="auto"/>
              <w:tabs>
                <w:tab w:val="left" w:pos="168"/>
                <w:tab w:val="left" w:pos="805"/>
              </w:tabs>
              <w:spacing w:before="0" w:line="380" w:lineRule="exact"/>
              <w:ind w:left="42" w:leftChars="20" w:right="42" w:rightChars="20" w:firstLine="147" w:firstLineChars="70"/>
              <w:jc w:val="both"/>
              <w:rPr>
                <w:rFonts w:ascii="宋体" w:hAnsi="宋体" w:eastAsia="宋体" w:cs="MingLiU"/>
                <w:color w:val="auto"/>
                <w:sz w:val="21"/>
                <w:szCs w:val="21"/>
                <w:highlight w:val="none"/>
                <w:lang w:val="en-US" w:eastAsia="zh-CN"/>
              </w:rPr>
            </w:pPr>
            <w:r>
              <w:rPr>
                <w:rStyle w:val="12"/>
                <w:rFonts w:hint="eastAsia" w:ascii="宋体" w:hAnsi="宋体" w:eastAsia="宋体"/>
                <w:color w:val="auto"/>
                <w:sz w:val="21"/>
                <w:szCs w:val="21"/>
                <w:highlight w:val="none"/>
                <w:lang w:eastAsia="zh-CN"/>
              </w:rPr>
              <w:t>b</w:t>
            </w:r>
            <w:r>
              <w:rPr>
                <w:rStyle w:val="9"/>
                <w:rFonts w:ascii="宋体" w:hAnsi="宋体" w:eastAsia="宋体"/>
                <w:color w:val="auto"/>
                <w:sz w:val="21"/>
                <w:szCs w:val="21"/>
                <w:highlight w:val="none"/>
                <w:lang w:val="en-US" w:eastAsia="zh-CN"/>
              </w:rPr>
              <w:t>.</w:t>
            </w:r>
            <w:r>
              <w:rPr>
                <w:rStyle w:val="10"/>
                <w:rFonts w:hint="eastAsia" w:ascii="宋体" w:hAnsi="宋体" w:eastAsia="宋体"/>
                <w:color w:val="auto"/>
                <w:sz w:val="21"/>
                <w:szCs w:val="21"/>
                <w:highlight w:val="none"/>
                <w:lang w:val="zh-CN" w:eastAsia="zh-CN"/>
              </w:rPr>
              <w:t>投标函附录的所有数据均符合招标文件规定；</w:t>
            </w:r>
          </w:p>
          <w:p>
            <w:pPr>
              <w:pStyle w:val="8"/>
              <w:shd w:val="clear" w:color="auto" w:fill="auto"/>
              <w:spacing w:before="0" w:line="380" w:lineRule="exact"/>
              <w:ind w:left="42" w:leftChars="20" w:right="42" w:rightChars="20" w:firstLine="147" w:firstLineChars="70"/>
              <w:jc w:val="both"/>
              <w:rPr>
                <w:rFonts w:ascii="宋体" w:hAnsi="宋体" w:eastAsia="宋体" w:cs="MingLiU"/>
                <w:color w:val="auto"/>
                <w:sz w:val="21"/>
                <w:szCs w:val="21"/>
                <w:highlight w:val="none"/>
                <w:lang w:val="en-US" w:eastAsia="zh-CN"/>
              </w:rPr>
            </w:pPr>
            <w:r>
              <w:rPr>
                <w:rStyle w:val="12"/>
                <w:rFonts w:hint="eastAsia" w:ascii="宋体" w:hAnsi="宋体" w:eastAsia="宋体"/>
                <w:color w:val="auto"/>
                <w:sz w:val="21"/>
                <w:szCs w:val="21"/>
                <w:highlight w:val="none"/>
                <w:lang w:eastAsia="zh-CN"/>
              </w:rPr>
              <w:t>c</w:t>
            </w:r>
            <w:r>
              <w:rPr>
                <w:rStyle w:val="9"/>
                <w:rFonts w:ascii="宋体" w:hAnsi="宋体" w:eastAsia="宋体"/>
                <w:color w:val="auto"/>
                <w:sz w:val="21"/>
                <w:szCs w:val="21"/>
                <w:highlight w:val="none"/>
                <w:lang w:val="en-US" w:eastAsia="zh-CN"/>
              </w:rPr>
              <w:t>.</w:t>
            </w:r>
            <w:r>
              <w:rPr>
                <w:rStyle w:val="10"/>
                <w:rFonts w:hint="eastAsia" w:ascii="宋体" w:hAnsi="宋体" w:eastAsia="宋体"/>
                <w:color w:val="auto"/>
                <w:sz w:val="21"/>
                <w:szCs w:val="21"/>
                <w:highlight w:val="none"/>
                <w:lang w:val="zh-CN" w:eastAsia="zh-CN"/>
              </w:rPr>
              <w:t>投标文件组成齐全完整，内容均按规定填写。</w:t>
            </w:r>
          </w:p>
          <w:p>
            <w:pPr>
              <w:pStyle w:val="8"/>
              <w:shd w:val="clear" w:color="auto" w:fill="auto"/>
              <w:tabs>
                <w:tab w:val="left" w:pos="948"/>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（2）投标文件上法定代表人或其委托代理人的签字、投标人的单位章盖章齐全，符合招标文件规定。</w:t>
            </w:r>
          </w:p>
          <w:p>
            <w:pPr>
              <w:pStyle w:val="8"/>
              <w:shd w:val="clear" w:color="auto" w:fill="auto"/>
              <w:tabs>
                <w:tab w:val="left" w:pos="1053"/>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（3）投标人按照招标文件的规定提供了投标保证金：</w:t>
            </w:r>
          </w:p>
          <w:p>
            <w:pPr>
              <w:pStyle w:val="8"/>
              <w:shd w:val="clear" w:color="auto" w:fill="auto"/>
              <w:tabs>
                <w:tab w:val="left" w:pos="948"/>
              </w:tabs>
              <w:spacing w:before="0" w:line="380" w:lineRule="exact"/>
              <w:ind w:left="42" w:leftChars="20" w:right="42" w:rightChars="20" w:firstLine="147" w:firstLineChars="70"/>
              <w:jc w:val="both"/>
              <w:rPr>
                <w:rFonts w:ascii="宋体" w:hAnsi="宋体" w:eastAsia="宋体" w:cs="MingLiU"/>
                <w:color w:val="auto"/>
                <w:sz w:val="21"/>
                <w:szCs w:val="21"/>
                <w:highlight w:val="none"/>
                <w:lang w:val="en-US" w:eastAsia="zh-CN"/>
              </w:rPr>
            </w:pPr>
            <w:r>
              <w:rPr>
                <w:rStyle w:val="13"/>
                <w:rFonts w:ascii="宋体" w:hAnsi="宋体" w:eastAsia="宋体"/>
                <w:color w:val="auto"/>
                <w:sz w:val="21"/>
                <w:szCs w:val="21"/>
                <w:highlight w:val="none"/>
                <w:lang w:eastAsia="zh-CN"/>
              </w:rPr>
              <w:t>a</w:t>
            </w:r>
            <w:r>
              <w:rPr>
                <w:rStyle w:val="10"/>
                <w:rFonts w:ascii="宋体" w:hAnsi="宋体" w:eastAsia="宋体"/>
                <w:color w:val="auto"/>
                <w:sz w:val="21"/>
                <w:szCs w:val="21"/>
                <w:highlight w:val="none"/>
                <w:lang w:val="zh-CN" w:eastAsia="zh-CN"/>
              </w:rPr>
              <w:t>.</w:t>
            </w:r>
            <w:r>
              <w:rPr>
                <w:rStyle w:val="10"/>
                <w:rFonts w:hint="eastAsia" w:ascii="宋体" w:hAnsi="宋体" w:eastAsia="宋体"/>
                <w:color w:val="auto"/>
                <w:sz w:val="21"/>
                <w:szCs w:val="21"/>
                <w:highlight w:val="none"/>
                <w:lang w:val="zh-CN" w:eastAsia="zh-CN"/>
              </w:rPr>
              <w:t>投标保证金金额符合招标文件规定的金额，且投标保证金有效期不少于投标有效期；</w:t>
            </w:r>
          </w:p>
          <w:p>
            <w:pPr>
              <w:pStyle w:val="8"/>
              <w:shd w:val="clear" w:color="auto" w:fill="auto"/>
              <w:spacing w:before="0" w:line="380" w:lineRule="exact"/>
              <w:ind w:left="42" w:leftChars="20" w:right="42" w:rightChars="20" w:firstLine="147" w:firstLineChars="70"/>
              <w:jc w:val="both"/>
              <w:rPr>
                <w:rFonts w:ascii="宋体" w:hAnsi="宋体" w:eastAsia="宋体" w:cs="MingLiU"/>
                <w:color w:val="auto"/>
                <w:sz w:val="21"/>
                <w:szCs w:val="21"/>
                <w:highlight w:val="none"/>
                <w:lang w:val="en-US" w:eastAsia="zh-CN"/>
              </w:rPr>
            </w:pPr>
            <w:r>
              <w:rPr>
                <w:rStyle w:val="13"/>
                <w:rFonts w:ascii="宋体" w:hAnsi="宋体" w:eastAsia="宋体"/>
                <w:color w:val="auto"/>
                <w:sz w:val="21"/>
                <w:szCs w:val="21"/>
                <w:highlight w:val="none"/>
                <w:lang w:eastAsia="zh-CN"/>
              </w:rPr>
              <w:t>b</w:t>
            </w:r>
            <w:r>
              <w:rPr>
                <w:rStyle w:val="10"/>
                <w:rFonts w:ascii="宋体" w:hAnsi="宋体" w:eastAsia="宋体"/>
                <w:color w:val="auto"/>
                <w:sz w:val="21"/>
                <w:szCs w:val="21"/>
                <w:highlight w:val="none"/>
                <w:lang w:val="zh-CN" w:eastAsia="zh-CN"/>
              </w:rPr>
              <w:t>.</w:t>
            </w:r>
            <w:r>
              <w:rPr>
                <w:rStyle w:val="10"/>
                <w:rFonts w:hint="eastAsia" w:ascii="宋体" w:hAnsi="宋体" w:eastAsia="宋体"/>
                <w:color w:val="auto"/>
                <w:sz w:val="21"/>
                <w:szCs w:val="21"/>
                <w:highlight w:val="none"/>
                <w:lang w:val="zh-CN" w:eastAsia="zh-CN"/>
              </w:rPr>
              <w:t>若投标保证金采用现金或支票形式提交，投标人应在投标人须知3.4.1项规定的时间，将投标保证金由投标人的基本账户转入招标人指定账户；</w:t>
            </w:r>
          </w:p>
          <w:p>
            <w:pPr>
              <w:pStyle w:val="8"/>
              <w:shd w:val="clear" w:color="auto" w:fill="auto"/>
              <w:spacing w:before="0" w:line="380" w:lineRule="exact"/>
              <w:ind w:left="42" w:leftChars="20" w:right="42" w:rightChars="20" w:firstLine="147" w:firstLineChars="70"/>
              <w:jc w:val="both"/>
              <w:rPr>
                <w:rStyle w:val="10"/>
                <w:rFonts w:hint="eastAsia" w:ascii="宋体" w:hAnsi="宋体" w:eastAsia="宋体"/>
                <w:color w:val="auto"/>
                <w:sz w:val="21"/>
                <w:szCs w:val="21"/>
                <w:highlight w:val="none"/>
                <w:lang w:val="zh-CN" w:eastAsia="zh-CN"/>
              </w:rPr>
            </w:pPr>
            <w:r>
              <w:rPr>
                <w:rStyle w:val="12"/>
                <w:rFonts w:hint="eastAsia" w:ascii="宋体" w:hAnsi="宋体" w:eastAsia="宋体"/>
                <w:color w:val="auto"/>
                <w:sz w:val="21"/>
                <w:szCs w:val="21"/>
                <w:highlight w:val="none"/>
                <w:lang w:eastAsia="zh-CN"/>
              </w:rPr>
              <w:t>c</w:t>
            </w:r>
            <w:r>
              <w:rPr>
                <w:rStyle w:val="9"/>
                <w:rFonts w:ascii="宋体" w:hAnsi="宋体" w:eastAsia="宋体"/>
                <w:color w:val="auto"/>
                <w:sz w:val="21"/>
                <w:szCs w:val="21"/>
                <w:highlight w:val="none"/>
                <w:lang w:val="en-US" w:eastAsia="zh-CN"/>
              </w:rPr>
              <w:t>.</w:t>
            </w:r>
            <w:r>
              <w:rPr>
                <w:rStyle w:val="10"/>
                <w:rFonts w:hint="eastAsia" w:ascii="宋体" w:hAnsi="宋体" w:eastAsia="宋体"/>
                <w:color w:val="auto"/>
                <w:sz w:val="21"/>
                <w:szCs w:val="21"/>
                <w:highlight w:val="none"/>
                <w:lang w:val="zh-CN" w:eastAsia="zh-CN"/>
              </w:rPr>
              <w:t>若投标保证金采用银行保函或投标人须知前附表3.4.1项规定的其他形式提交，应满足招标文件要求。</w:t>
            </w:r>
          </w:p>
          <w:p>
            <w:pPr>
              <w:pStyle w:val="8"/>
              <w:shd w:val="clear" w:color="auto" w:fill="auto"/>
              <w:tabs>
                <w:tab w:val="left" w:pos="917"/>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（4）投标人法定代表人授权委托代理人签署投标文件的，需提交授权委托书，且授权人和被授权人均在授权委托书上签名，未使用印章、签名章或其他电子制版签名代替。</w:t>
            </w:r>
          </w:p>
          <w:p>
            <w:pPr>
              <w:pStyle w:val="8"/>
              <w:shd w:val="clear" w:color="auto" w:fill="auto"/>
              <w:tabs>
                <w:tab w:val="left" w:pos="917"/>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（5）投标人法定代表人亲自签署投标文件的，提供了法定代表人</w:t>
            </w:r>
            <w:r>
              <w:rPr>
                <w:rStyle w:val="10"/>
                <w:rFonts w:ascii="宋体" w:hAnsi="宋体" w:eastAsia="宋体"/>
                <w:color w:val="auto"/>
                <w:sz w:val="21"/>
                <w:szCs w:val="21"/>
                <w:highlight w:val="none"/>
                <w:lang w:val="zh-CN" w:eastAsia="zh-CN"/>
              </w:rPr>
              <w:t xml:space="preserve"> </w:t>
            </w:r>
            <w:r>
              <w:rPr>
                <w:rStyle w:val="10"/>
                <w:rFonts w:hint="eastAsia" w:ascii="宋体" w:hAnsi="宋体" w:eastAsia="宋体"/>
                <w:color w:val="auto"/>
                <w:sz w:val="21"/>
                <w:szCs w:val="21"/>
                <w:highlight w:val="none"/>
                <w:lang w:val="zh-CN" w:eastAsia="zh-CN"/>
              </w:rPr>
              <w:t>身份证明，且法定代表人在法定代表人身份证明上签名，未使用印章、签名章或其他电子制版签名代替。</w:t>
            </w:r>
          </w:p>
          <w:p>
            <w:pPr>
              <w:pStyle w:val="8"/>
              <w:shd w:val="clear" w:color="auto" w:fill="auto"/>
              <w:tabs>
                <w:tab w:val="left" w:pos="1035"/>
              </w:tabs>
              <w:spacing w:before="0" w:line="380" w:lineRule="exact"/>
              <w:ind w:left="42" w:leftChars="20" w:right="42" w:rightChars="20"/>
              <w:jc w:val="both"/>
              <w:rPr>
                <w:rStyle w:val="10"/>
                <w:rFonts w:hint="eastAsia" w:ascii="宋体" w:hAnsi="宋体" w:eastAsia="宋体"/>
                <w:color w:val="auto"/>
                <w:sz w:val="21"/>
                <w:szCs w:val="21"/>
                <w:highlight w:val="none"/>
                <w:lang w:val="zh-CN" w:eastAsia="zh-CN"/>
              </w:rPr>
            </w:pPr>
            <w:r>
              <w:rPr>
                <w:rStyle w:val="10"/>
                <w:rFonts w:hint="eastAsia" w:ascii="宋体" w:hAnsi="宋体" w:eastAsia="宋体"/>
                <w:color w:val="auto"/>
                <w:sz w:val="21"/>
                <w:szCs w:val="21"/>
                <w:highlight w:val="none"/>
                <w:lang w:val="zh-CN" w:eastAsia="zh-CN"/>
              </w:rPr>
              <w:t>（6）投标人以联合体形式投标时，联合体满足招标文件的要求：投标人按照招标文件提供的格式签订了联合体协议书，明确各方承担连带责任，并明确了联合体牵头人。</w:t>
            </w:r>
          </w:p>
          <w:p>
            <w:pPr>
              <w:pStyle w:val="8"/>
              <w:shd w:val="clear" w:color="auto" w:fill="auto"/>
              <w:tabs>
                <w:tab w:val="left" w:pos="1035"/>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（6）投标人未以联合体形式投标。</w:t>
            </w:r>
          </w:p>
          <w:p>
            <w:pPr>
              <w:pStyle w:val="8"/>
              <w:shd w:val="clear" w:color="auto" w:fill="auto"/>
              <w:tabs>
                <w:tab w:val="left" w:pos="917"/>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（7）如投标人不具备</w:t>
            </w:r>
            <w:r>
              <w:rPr>
                <w:rStyle w:val="10"/>
                <w:rFonts w:hint="eastAsia" w:ascii="宋体" w:hAnsi="宋体" w:eastAsia="宋体"/>
                <w:color w:val="auto"/>
                <w:sz w:val="21"/>
                <w:szCs w:val="21"/>
                <w:highlight w:val="none"/>
                <w:lang w:val="en-US" w:eastAsia="zh-CN"/>
              </w:rPr>
              <w:t>拟分包工程所需的</w:t>
            </w:r>
            <w:r>
              <w:rPr>
                <w:rStyle w:val="10"/>
                <w:rFonts w:hint="eastAsia" w:ascii="宋体" w:hAnsi="宋体" w:eastAsia="宋体"/>
                <w:color w:val="auto"/>
                <w:sz w:val="21"/>
                <w:szCs w:val="21"/>
                <w:highlight w:val="none"/>
                <w:lang w:val="zh-CN" w:eastAsia="zh-CN"/>
              </w:rPr>
              <w:t>某专项工程相应资质</w:t>
            </w:r>
            <w:r>
              <w:rPr>
                <w:rStyle w:val="10"/>
                <w:rFonts w:hint="eastAsia" w:ascii="宋体" w:hAnsi="宋体" w:eastAsia="宋体"/>
                <w:color w:val="auto"/>
                <w:sz w:val="21"/>
                <w:szCs w:val="21"/>
                <w:highlight w:val="none"/>
                <w:lang w:val="en-US" w:eastAsia="zh-CN"/>
              </w:rPr>
              <w:t>或</w:t>
            </w:r>
            <w:r>
              <w:rPr>
                <w:rStyle w:val="10"/>
                <w:rFonts w:hint="eastAsia" w:ascii="宋体" w:hAnsi="宋体" w:eastAsia="宋体"/>
                <w:color w:val="auto"/>
                <w:sz w:val="21"/>
                <w:szCs w:val="21"/>
                <w:highlight w:val="none"/>
                <w:lang w:val="zh-CN" w:eastAsia="zh-CN"/>
              </w:rPr>
              <w:t>投标人如有分包计划，符合招标文件第二章“投标人须知”</w:t>
            </w:r>
            <w:r>
              <w:rPr>
                <w:rStyle w:val="10"/>
                <w:rFonts w:ascii="宋体" w:hAnsi="宋体" w:eastAsia="宋体"/>
                <w:color w:val="auto"/>
                <w:sz w:val="21"/>
                <w:szCs w:val="21"/>
                <w:highlight w:val="none"/>
                <w:lang w:val="zh-CN" w:eastAsia="zh-CN"/>
              </w:rPr>
              <w:t xml:space="preserve"> </w:t>
            </w:r>
            <w:r>
              <w:rPr>
                <w:rStyle w:val="10"/>
                <w:rFonts w:hint="eastAsia" w:ascii="宋体" w:hAnsi="宋体" w:eastAsia="宋体"/>
                <w:color w:val="auto"/>
                <w:sz w:val="21"/>
                <w:szCs w:val="21"/>
                <w:highlight w:val="none"/>
                <w:lang w:val="zh-CN" w:eastAsia="zh-CN"/>
              </w:rPr>
              <w:t>第</w:t>
            </w:r>
            <w:r>
              <w:rPr>
                <w:rStyle w:val="10"/>
                <w:rFonts w:ascii="宋体" w:hAnsi="宋体" w:eastAsia="宋体"/>
                <w:color w:val="auto"/>
                <w:sz w:val="21"/>
                <w:szCs w:val="21"/>
                <w:highlight w:val="none"/>
                <w:lang w:val="zh-CN" w:eastAsia="zh-CN"/>
              </w:rPr>
              <w:t>1.11</w:t>
            </w:r>
            <w:r>
              <w:rPr>
                <w:rStyle w:val="10"/>
                <w:rFonts w:hint="eastAsia" w:ascii="宋体" w:hAnsi="宋体" w:eastAsia="宋体"/>
                <w:color w:val="auto"/>
                <w:sz w:val="21"/>
                <w:szCs w:val="21"/>
                <w:highlight w:val="none"/>
                <w:lang w:val="zh-CN" w:eastAsia="zh-CN"/>
              </w:rPr>
              <w:t>款规定，且按招标文件第</w:t>
            </w:r>
            <w:r>
              <w:rPr>
                <w:rStyle w:val="10"/>
                <w:rFonts w:hint="eastAsia" w:ascii="宋体" w:hAnsi="宋体" w:eastAsia="宋体"/>
                <w:color w:val="auto"/>
                <w:sz w:val="21"/>
                <w:szCs w:val="21"/>
                <w:highlight w:val="none"/>
                <w:lang w:val="en-US" w:eastAsia="zh-CN"/>
              </w:rPr>
              <w:t>六</w:t>
            </w:r>
            <w:r>
              <w:rPr>
                <w:rStyle w:val="10"/>
                <w:rFonts w:hint="eastAsia" w:ascii="宋体" w:hAnsi="宋体" w:eastAsia="宋体"/>
                <w:color w:val="auto"/>
                <w:sz w:val="21"/>
                <w:szCs w:val="21"/>
                <w:highlight w:val="none"/>
                <w:lang w:val="zh-CN" w:eastAsia="zh-CN"/>
              </w:rPr>
              <w:t>章“投标文件格式”的要求填写了“拟分包项目情况表”。</w:t>
            </w:r>
          </w:p>
          <w:p>
            <w:pPr>
              <w:pStyle w:val="8"/>
              <w:shd w:val="clear" w:color="auto" w:fill="auto"/>
              <w:tabs>
                <w:tab w:val="left" w:pos="924"/>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（8）同一投标人未提交两个以上不同的投标文件，但招标文件要求提交备选投标的除外。</w:t>
            </w:r>
          </w:p>
          <w:p>
            <w:pPr>
              <w:pStyle w:val="8"/>
              <w:shd w:val="clear" w:color="auto" w:fill="auto"/>
              <w:tabs>
                <w:tab w:val="left" w:pos="1141"/>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（9）投标文件中未出现有关投标报价的内容。</w:t>
            </w:r>
          </w:p>
          <w:p>
            <w:pPr>
              <w:pStyle w:val="8"/>
              <w:shd w:val="clear" w:color="auto" w:fill="auto"/>
              <w:tabs>
                <w:tab w:val="left" w:pos="926"/>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（10）投标文件载明的招标项目完成期限未超过招标文件规定的时限。</w:t>
            </w:r>
          </w:p>
          <w:p>
            <w:pPr>
              <w:pStyle w:val="8"/>
              <w:shd w:val="clear" w:color="auto" w:fill="auto"/>
              <w:tabs>
                <w:tab w:val="left" w:pos="1143"/>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（11）投标文件对招标文件的实质性要求和条件作出响应。</w:t>
            </w:r>
          </w:p>
          <w:p>
            <w:pPr>
              <w:pStyle w:val="8"/>
              <w:shd w:val="clear" w:color="auto" w:fill="auto"/>
              <w:tabs>
                <w:tab w:val="left" w:pos="1138"/>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zh-CN" w:eastAsia="zh-CN"/>
              </w:rPr>
              <w:t>（12）权利义务符合招标文件规定：</w:t>
            </w:r>
          </w:p>
          <w:p>
            <w:pPr>
              <w:pStyle w:val="8"/>
              <w:shd w:val="clear" w:color="auto" w:fill="auto"/>
              <w:tabs>
                <w:tab w:val="left" w:pos="530"/>
              </w:tabs>
              <w:spacing w:before="0" w:line="380" w:lineRule="exact"/>
              <w:ind w:left="42" w:leftChars="20" w:right="42" w:rightChars="20" w:firstLine="157" w:firstLineChars="75"/>
              <w:jc w:val="both"/>
              <w:rPr>
                <w:rStyle w:val="10"/>
                <w:rFonts w:ascii="宋体" w:eastAsia="宋体"/>
                <w:color w:val="auto"/>
                <w:sz w:val="21"/>
                <w:szCs w:val="21"/>
                <w:highlight w:val="none"/>
                <w:lang w:val="zh-CN" w:eastAsia="zh-CN"/>
              </w:rPr>
            </w:pPr>
            <w:r>
              <w:rPr>
                <w:rStyle w:val="10"/>
                <w:rFonts w:hint="eastAsia" w:ascii="宋体" w:hAnsi="宋体" w:eastAsia="宋体"/>
                <w:color w:val="auto"/>
                <w:sz w:val="21"/>
                <w:szCs w:val="21"/>
                <w:highlight w:val="none"/>
                <w:lang w:val="en-US" w:eastAsia="zh-CN"/>
              </w:rPr>
              <w:t>a.</w:t>
            </w:r>
            <w:r>
              <w:rPr>
                <w:rStyle w:val="10"/>
                <w:rFonts w:hint="eastAsia" w:ascii="宋体" w:hAnsi="宋体" w:eastAsia="宋体"/>
                <w:color w:val="auto"/>
                <w:sz w:val="21"/>
                <w:szCs w:val="21"/>
                <w:highlight w:val="none"/>
                <w:lang w:val="zh-CN" w:eastAsia="zh-CN"/>
              </w:rPr>
              <w:t>投标人应接受招标文件规定的风险划分原则，未提出新的风险划</w:t>
            </w:r>
            <w:r>
              <w:rPr>
                <w:rStyle w:val="10"/>
                <w:rFonts w:hint="eastAsia" w:ascii="宋体" w:eastAsia="宋体"/>
                <w:color w:val="auto"/>
                <w:sz w:val="21"/>
                <w:szCs w:val="21"/>
                <w:highlight w:val="none"/>
                <w:lang w:val="en-US" w:eastAsia="zh-CN"/>
              </w:rPr>
              <w:t>分办法；</w:t>
            </w:r>
          </w:p>
          <w:p>
            <w:pPr>
              <w:pStyle w:val="8"/>
              <w:shd w:val="clear" w:color="auto" w:fill="auto"/>
              <w:tabs>
                <w:tab w:val="left" w:pos="666"/>
              </w:tabs>
              <w:spacing w:before="0" w:line="380" w:lineRule="exact"/>
              <w:ind w:left="42" w:leftChars="20" w:right="42" w:rightChars="20" w:firstLine="157" w:firstLineChars="75"/>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en-US" w:eastAsia="zh-CN"/>
              </w:rPr>
              <w:t>b.</w:t>
            </w:r>
            <w:r>
              <w:rPr>
                <w:rStyle w:val="10"/>
                <w:rFonts w:hint="eastAsia" w:ascii="宋体" w:hAnsi="宋体" w:eastAsia="宋体"/>
                <w:color w:val="auto"/>
                <w:sz w:val="21"/>
                <w:szCs w:val="21"/>
                <w:highlight w:val="none"/>
                <w:lang w:val="zh-CN" w:eastAsia="zh-CN"/>
              </w:rPr>
              <w:t>投标人未增加发包人的责任范围，或减少投标人义务；</w:t>
            </w:r>
          </w:p>
          <w:p>
            <w:pPr>
              <w:pStyle w:val="8"/>
              <w:shd w:val="clear" w:color="auto" w:fill="auto"/>
              <w:spacing w:before="0" w:line="380" w:lineRule="exact"/>
              <w:ind w:left="42" w:leftChars="20" w:right="42" w:rightChars="20" w:firstLine="157" w:firstLineChars="75"/>
              <w:jc w:val="both"/>
              <w:rPr>
                <w:rFonts w:ascii="宋体" w:hAnsi="宋体" w:eastAsia="宋体" w:cs="MingLiU"/>
                <w:color w:val="auto"/>
                <w:sz w:val="21"/>
                <w:szCs w:val="21"/>
                <w:highlight w:val="none"/>
                <w:lang w:val="en-US" w:eastAsia="zh-CN"/>
              </w:rPr>
            </w:pPr>
            <w:r>
              <w:rPr>
                <w:rStyle w:val="12"/>
                <w:rFonts w:hint="eastAsia" w:ascii="宋体" w:hAnsi="宋体" w:eastAsia="宋体"/>
                <w:color w:val="auto"/>
                <w:sz w:val="21"/>
                <w:szCs w:val="21"/>
                <w:highlight w:val="none"/>
                <w:lang w:eastAsia="zh-CN"/>
              </w:rPr>
              <w:t>c</w:t>
            </w:r>
            <w:r>
              <w:rPr>
                <w:rStyle w:val="9"/>
                <w:rFonts w:ascii="宋体" w:hAnsi="宋体" w:eastAsia="宋体"/>
                <w:color w:val="auto"/>
                <w:sz w:val="21"/>
                <w:szCs w:val="21"/>
                <w:highlight w:val="none"/>
                <w:lang w:val="en-US" w:eastAsia="zh-CN"/>
              </w:rPr>
              <w:t>.</w:t>
            </w:r>
            <w:r>
              <w:rPr>
                <w:rStyle w:val="10"/>
                <w:rFonts w:hint="eastAsia" w:ascii="宋体" w:hAnsi="宋体" w:eastAsia="宋体"/>
                <w:color w:val="auto"/>
                <w:sz w:val="21"/>
                <w:szCs w:val="21"/>
                <w:highlight w:val="none"/>
                <w:lang w:val="zh-CN" w:eastAsia="zh-CN"/>
              </w:rPr>
              <w:t>投标人未提出不同的工程验收、计量、支付办法；</w:t>
            </w:r>
          </w:p>
          <w:p>
            <w:pPr>
              <w:pStyle w:val="8"/>
              <w:shd w:val="clear" w:color="auto" w:fill="auto"/>
              <w:tabs>
                <w:tab w:val="left" w:pos="661"/>
              </w:tabs>
              <w:spacing w:before="0" w:line="380" w:lineRule="exact"/>
              <w:ind w:left="42" w:leftChars="20" w:right="42" w:rightChars="20" w:firstLine="157" w:firstLineChars="75"/>
              <w:jc w:val="both"/>
              <w:rPr>
                <w:rFonts w:ascii="宋体" w:hAnsi="宋体" w:eastAsia="宋体" w:cs="MingLiU"/>
                <w:color w:val="auto"/>
                <w:sz w:val="21"/>
                <w:szCs w:val="21"/>
                <w:highlight w:val="none"/>
                <w:lang w:val="en-US" w:eastAsia="zh-CN"/>
              </w:rPr>
            </w:pPr>
            <w:r>
              <w:rPr>
                <w:rStyle w:val="10"/>
                <w:rFonts w:hint="eastAsia" w:ascii="宋体" w:hAnsi="宋体" w:eastAsia="宋体"/>
                <w:color w:val="auto"/>
                <w:sz w:val="21"/>
                <w:szCs w:val="21"/>
                <w:highlight w:val="none"/>
                <w:lang w:val="en-US" w:eastAsia="zh-CN"/>
              </w:rPr>
              <w:t>d.</w:t>
            </w:r>
            <w:r>
              <w:rPr>
                <w:rStyle w:val="10"/>
                <w:rFonts w:hint="eastAsia" w:ascii="宋体" w:hAnsi="宋体" w:eastAsia="宋体"/>
                <w:color w:val="auto"/>
                <w:sz w:val="21"/>
                <w:szCs w:val="21"/>
                <w:highlight w:val="none"/>
                <w:lang w:val="zh-CN" w:eastAsia="zh-CN"/>
              </w:rPr>
              <w:t>投标人对合同纠纷、事故处理办法未提出异议；</w:t>
            </w:r>
          </w:p>
          <w:p>
            <w:pPr>
              <w:pStyle w:val="8"/>
              <w:shd w:val="clear" w:color="auto" w:fill="auto"/>
              <w:tabs>
                <w:tab w:val="left" w:pos="651"/>
              </w:tabs>
              <w:spacing w:before="0" w:line="380" w:lineRule="exact"/>
              <w:ind w:left="42" w:leftChars="20" w:right="42" w:rightChars="20" w:firstLine="157" w:firstLineChars="75"/>
              <w:jc w:val="both"/>
              <w:rPr>
                <w:rStyle w:val="10"/>
                <w:rFonts w:hint="eastAsia" w:ascii="宋体" w:hAnsi="宋体" w:eastAsia="宋体"/>
                <w:color w:val="auto"/>
                <w:sz w:val="21"/>
                <w:szCs w:val="21"/>
                <w:highlight w:val="none"/>
                <w:lang w:val="zh-CN" w:eastAsia="zh-CN"/>
              </w:rPr>
            </w:pPr>
            <w:r>
              <w:rPr>
                <w:rStyle w:val="10"/>
                <w:rFonts w:hint="eastAsia" w:ascii="宋体" w:hAnsi="宋体" w:eastAsia="宋体"/>
                <w:color w:val="auto"/>
                <w:sz w:val="21"/>
                <w:szCs w:val="21"/>
                <w:highlight w:val="none"/>
                <w:lang w:val="en-US" w:eastAsia="zh-CN"/>
              </w:rPr>
              <w:t>e.</w:t>
            </w:r>
            <w:r>
              <w:rPr>
                <w:rStyle w:val="10"/>
                <w:rFonts w:hint="eastAsia" w:ascii="宋体" w:hAnsi="宋体" w:eastAsia="宋体"/>
                <w:color w:val="auto"/>
                <w:sz w:val="21"/>
                <w:szCs w:val="21"/>
                <w:highlight w:val="none"/>
                <w:lang w:val="zh-CN" w:eastAsia="zh-CN"/>
              </w:rPr>
              <w:t>投标人在投标活动中无欺诈行为；</w:t>
            </w:r>
          </w:p>
          <w:p>
            <w:pPr>
              <w:pStyle w:val="8"/>
              <w:shd w:val="clear" w:color="auto" w:fill="auto"/>
              <w:tabs>
                <w:tab w:val="left" w:pos="651"/>
              </w:tabs>
              <w:spacing w:before="0" w:line="380" w:lineRule="exact"/>
              <w:ind w:left="42" w:leftChars="20" w:right="42" w:rightChars="20" w:firstLine="157" w:firstLineChars="75"/>
              <w:jc w:val="both"/>
              <w:rPr>
                <w:rFonts w:ascii="宋体" w:hAnsi="宋体" w:eastAsia="宋体" w:cs="MingLiU"/>
                <w:color w:val="auto"/>
                <w:spacing w:val="0"/>
                <w:sz w:val="21"/>
                <w:szCs w:val="21"/>
                <w:highlight w:val="none"/>
                <w:lang w:val="zh-CN" w:eastAsia="zh-CN"/>
              </w:rPr>
            </w:pPr>
            <w:r>
              <w:rPr>
                <w:rStyle w:val="10"/>
                <w:rFonts w:hint="eastAsia" w:ascii="宋体" w:hAnsi="宋体" w:eastAsia="宋体"/>
                <w:color w:val="auto"/>
                <w:sz w:val="21"/>
                <w:szCs w:val="21"/>
                <w:highlight w:val="none"/>
                <w:lang w:val="en-US" w:eastAsia="zh-CN"/>
              </w:rPr>
              <w:t>f.</w:t>
            </w:r>
            <w:r>
              <w:rPr>
                <w:rStyle w:val="10"/>
                <w:rFonts w:hint="eastAsia" w:ascii="宋体" w:hAnsi="宋体" w:eastAsia="宋体"/>
                <w:color w:val="auto"/>
                <w:sz w:val="21"/>
                <w:szCs w:val="21"/>
                <w:highlight w:val="none"/>
                <w:lang w:val="zh-CN" w:eastAsia="zh-CN"/>
              </w:rPr>
              <w:t>投标人未对合同条款有重要保留。</w:t>
            </w:r>
          </w:p>
          <w:p>
            <w:pPr>
              <w:pStyle w:val="14"/>
              <w:shd w:val="clear" w:color="auto" w:fill="auto"/>
              <w:spacing w:before="0" w:line="380" w:lineRule="exact"/>
              <w:ind w:left="42" w:leftChars="20" w:right="42" w:rightChars="20"/>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en-US" w:eastAsia="zh-CN"/>
              </w:rPr>
              <w:t>（13）</w:t>
            </w:r>
            <w:r>
              <w:rPr>
                <w:rStyle w:val="15"/>
                <w:rFonts w:hint="eastAsia" w:ascii="宋体" w:hAnsi="宋体" w:eastAsia="宋体"/>
                <w:color w:val="auto"/>
                <w:sz w:val="21"/>
                <w:szCs w:val="21"/>
                <w:highlight w:val="none"/>
                <w:lang w:val="zh-CN" w:eastAsia="zh-CN"/>
              </w:rPr>
              <w:t>投标文件正、副本份数符合招标文件第二章“投标人须知</w:t>
            </w:r>
            <w:r>
              <w:rPr>
                <w:rStyle w:val="15"/>
                <w:rFonts w:ascii="宋体" w:hAnsi="宋体" w:eastAsia="宋体"/>
                <w:color w:val="auto"/>
                <w:sz w:val="21"/>
                <w:szCs w:val="21"/>
                <w:highlight w:val="none"/>
                <w:lang w:val="zh-CN" w:eastAsia="zh-CN"/>
              </w:rPr>
              <w:t xml:space="preserve"> </w:t>
            </w:r>
            <w:r>
              <w:rPr>
                <w:rStyle w:val="15"/>
                <w:rFonts w:hint="eastAsia" w:ascii="宋体" w:hAnsi="宋体" w:eastAsia="宋体"/>
                <w:color w:val="auto"/>
                <w:sz w:val="21"/>
                <w:szCs w:val="21"/>
                <w:highlight w:val="none"/>
                <w:lang w:val="zh-CN" w:eastAsia="zh-CN"/>
              </w:rPr>
              <w:t>第</w:t>
            </w:r>
            <w:r>
              <w:rPr>
                <w:rStyle w:val="15"/>
                <w:rFonts w:ascii="宋体" w:hAnsi="宋体" w:eastAsia="宋体"/>
                <w:color w:val="auto"/>
                <w:sz w:val="21"/>
                <w:szCs w:val="21"/>
                <w:highlight w:val="none"/>
                <w:lang w:val="en-US" w:eastAsia="zh-CN"/>
              </w:rPr>
              <w:t>3.7.4</w:t>
            </w:r>
            <w:r>
              <w:rPr>
                <w:rStyle w:val="15"/>
                <w:rFonts w:hint="eastAsia" w:ascii="宋体" w:hAnsi="宋体" w:eastAsia="宋体"/>
                <w:color w:val="auto"/>
                <w:sz w:val="21"/>
                <w:szCs w:val="21"/>
                <w:highlight w:val="none"/>
                <w:lang w:val="zh-CN" w:eastAsia="zh-CN"/>
              </w:rPr>
              <w:t>项规定。</w:t>
            </w:r>
          </w:p>
          <w:p>
            <w:pPr>
              <w:spacing w:line="380" w:lineRule="exact"/>
              <w:ind w:left="42" w:leftChars="20" w:right="42" w:rightChars="20"/>
              <w:rPr>
                <w:rStyle w:val="16"/>
                <w:rFonts w:hint="eastAsia" w:ascii="宋体" w:hAnsi="宋体" w:eastAsia="宋体"/>
                <w:color w:val="auto"/>
                <w:sz w:val="21"/>
                <w:szCs w:val="21"/>
                <w:highlight w:val="none"/>
                <w:lang w:val="zh-CN"/>
              </w:rPr>
            </w:pPr>
            <w:r>
              <w:rPr>
                <w:rFonts w:hint="eastAsia" w:ascii="宋体" w:hAnsi="宋体"/>
                <w:color w:val="auto"/>
                <w:szCs w:val="21"/>
                <w:highlight w:val="none"/>
              </w:rPr>
              <w:t>（14）</w:t>
            </w:r>
            <w:r>
              <w:rPr>
                <w:rFonts w:ascii="宋体" w:hAnsi="宋体"/>
                <w:color w:val="auto"/>
                <w:szCs w:val="21"/>
                <w:highlight w:val="none"/>
              </w:rPr>
              <w:t>投标文件</w:t>
            </w:r>
            <w:r>
              <w:rPr>
                <w:rFonts w:hint="eastAsia" w:ascii="宋体" w:hAnsi="宋体"/>
                <w:color w:val="auto"/>
                <w:szCs w:val="21"/>
                <w:highlight w:val="none"/>
              </w:rPr>
              <w:t>未</w:t>
            </w:r>
            <w:r>
              <w:rPr>
                <w:rFonts w:ascii="宋体" w:hAnsi="宋体"/>
                <w:color w:val="auto"/>
                <w:szCs w:val="21"/>
                <w:highlight w:val="none"/>
              </w:rPr>
              <w:t>附有招标人不能接受的条件。</w:t>
            </w:r>
          </w:p>
          <w:p>
            <w:pPr>
              <w:pStyle w:val="17"/>
              <w:shd w:val="clear" w:color="auto" w:fill="auto"/>
              <w:spacing w:line="380" w:lineRule="exact"/>
              <w:ind w:left="42" w:leftChars="20" w:right="42" w:rightChars="20"/>
              <w:jc w:val="left"/>
              <w:rPr>
                <w:rFonts w:ascii="宋体" w:hAnsi="宋体" w:eastAsia="宋体" w:cs="MingLiU"/>
                <w:b/>
                <w:color w:val="auto"/>
                <w:sz w:val="21"/>
                <w:szCs w:val="21"/>
                <w:highlight w:val="none"/>
                <w:lang w:val="en-US" w:eastAsia="zh-CN"/>
              </w:rPr>
            </w:pPr>
            <w:r>
              <w:rPr>
                <w:rStyle w:val="16"/>
                <w:rFonts w:hint="eastAsia" w:ascii="宋体" w:hAnsi="宋体" w:eastAsia="宋体"/>
                <w:b/>
                <w:color w:val="auto"/>
                <w:sz w:val="21"/>
                <w:szCs w:val="21"/>
                <w:highlight w:val="none"/>
                <w:lang w:val="zh-CN" w:eastAsia="zh-CN"/>
              </w:rPr>
              <w:t>第二个信封（报价文件）评审标准：</w:t>
            </w:r>
          </w:p>
          <w:p>
            <w:pPr>
              <w:pStyle w:val="14"/>
              <w:shd w:val="clear" w:color="auto" w:fill="auto"/>
              <w:spacing w:before="0" w:line="380" w:lineRule="exact"/>
              <w:ind w:left="42" w:leftChars="20" w:right="42" w:rightChars="20"/>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en-US" w:eastAsia="zh-CN"/>
              </w:rPr>
              <w:t>（1）</w:t>
            </w:r>
            <w:r>
              <w:rPr>
                <w:rStyle w:val="15"/>
                <w:rFonts w:hint="eastAsia" w:ascii="宋体" w:hAnsi="宋体" w:eastAsia="宋体"/>
                <w:color w:val="auto"/>
                <w:sz w:val="21"/>
                <w:szCs w:val="21"/>
                <w:highlight w:val="none"/>
                <w:lang w:val="zh-CN" w:eastAsia="zh-CN"/>
              </w:rPr>
              <w:t>投标文件按照招标文件规定的格式、内容填写，字迹清晰可辨：</w:t>
            </w:r>
          </w:p>
          <w:p>
            <w:pPr>
              <w:pStyle w:val="14"/>
              <w:shd w:val="clear" w:color="auto" w:fill="auto"/>
              <w:tabs>
                <w:tab w:val="left" w:pos="0"/>
              </w:tabs>
              <w:spacing w:before="0" w:line="380" w:lineRule="exact"/>
              <w:ind w:left="42" w:leftChars="20" w:right="42" w:rightChars="20"/>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zh-CN" w:eastAsia="zh-CN"/>
              </w:rPr>
              <w:t>a.投标函按招标文件规定填报了项目名称、项目包号（如有）、投标总报价（包括大写金额和小写金额</w:t>
            </w:r>
            <w:r>
              <w:rPr>
                <w:rStyle w:val="15"/>
                <w:rFonts w:ascii="宋体" w:hAnsi="宋体" w:eastAsia="宋体"/>
                <w:color w:val="auto"/>
                <w:sz w:val="21"/>
                <w:szCs w:val="21"/>
                <w:highlight w:val="none"/>
                <w:lang w:val="en-US" w:eastAsia="zh-CN"/>
              </w:rPr>
              <w:t>）</w:t>
            </w:r>
            <w:r>
              <w:rPr>
                <w:rStyle w:val="15"/>
                <w:rFonts w:hint="eastAsia" w:ascii="宋体" w:hAnsi="宋体" w:eastAsia="宋体"/>
                <w:color w:val="auto"/>
                <w:sz w:val="21"/>
                <w:szCs w:val="21"/>
                <w:highlight w:val="none"/>
                <w:lang w:val="en-US" w:eastAsia="zh-CN"/>
              </w:rPr>
              <w:t>；</w:t>
            </w:r>
          </w:p>
          <w:p>
            <w:pPr>
              <w:pStyle w:val="14"/>
              <w:shd w:val="clear" w:color="auto" w:fill="auto"/>
              <w:tabs>
                <w:tab w:val="left" w:pos="0"/>
              </w:tabs>
              <w:spacing w:before="0" w:line="380" w:lineRule="exact"/>
              <w:ind w:left="42" w:leftChars="20" w:right="42" w:rightChars="20"/>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en-US" w:eastAsia="zh-CN"/>
              </w:rPr>
              <w:t>b.</w:t>
            </w:r>
            <w:r>
              <w:rPr>
                <w:rStyle w:val="15"/>
                <w:rFonts w:hint="eastAsia" w:ascii="宋体" w:hAnsi="宋体" w:eastAsia="宋体"/>
                <w:color w:val="auto"/>
                <w:sz w:val="21"/>
                <w:szCs w:val="21"/>
                <w:highlight w:val="none"/>
                <w:lang w:val="zh-CN" w:eastAsia="zh-CN"/>
              </w:rPr>
              <w:t>已标价工程量清单说明文字与招标文件规定一致，未进行实质性修改和删减；</w:t>
            </w:r>
          </w:p>
          <w:p>
            <w:pPr>
              <w:pStyle w:val="14"/>
              <w:shd w:val="clear" w:color="auto" w:fill="auto"/>
              <w:tabs>
                <w:tab w:val="left" w:pos="0"/>
              </w:tabs>
              <w:spacing w:before="0" w:line="380" w:lineRule="exact"/>
              <w:ind w:left="20" w:right="42" w:rightChars="20"/>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en-US" w:eastAsia="zh-CN"/>
              </w:rPr>
              <w:t>c.</w:t>
            </w:r>
            <w:r>
              <w:rPr>
                <w:rStyle w:val="15"/>
                <w:rFonts w:hint="eastAsia" w:ascii="宋体" w:hAnsi="宋体" w:eastAsia="宋体"/>
                <w:color w:val="auto"/>
                <w:sz w:val="21"/>
                <w:szCs w:val="21"/>
                <w:highlight w:val="none"/>
                <w:lang w:val="zh-CN" w:eastAsia="zh-CN"/>
              </w:rPr>
              <w:t>投标文件组成齐全完整，内容均按规定填写。</w:t>
            </w:r>
          </w:p>
          <w:p>
            <w:pPr>
              <w:pStyle w:val="14"/>
              <w:shd w:val="clear" w:color="auto" w:fill="auto"/>
              <w:tabs>
                <w:tab w:val="left" w:pos="946"/>
              </w:tabs>
              <w:spacing w:before="0" w:line="380" w:lineRule="exact"/>
              <w:ind w:left="42" w:leftChars="20" w:right="42" w:rightChars="20"/>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en-US" w:eastAsia="zh-CN"/>
              </w:rPr>
              <w:t>（2）</w:t>
            </w:r>
            <w:r>
              <w:rPr>
                <w:rStyle w:val="15"/>
                <w:rFonts w:hint="eastAsia" w:ascii="宋体" w:hAnsi="宋体" w:eastAsia="宋体"/>
                <w:color w:val="auto"/>
                <w:sz w:val="21"/>
                <w:szCs w:val="21"/>
                <w:highlight w:val="none"/>
                <w:lang w:val="zh-CN" w:eastAsia="zh-CN"/>
              </w:rPr>
              <w:t>投标文件上法定代表人或其委托代理人的签字、投标人的单位章盖章齐全，符合招标文件规定。</w:t>
            </w:r>
          </w:p>
          <w:p>
            <w:pPr>
              <w:pStyle w:val="14"/>
              <w:shd w:val="clear" w:color="auto" w:fill="auto"/>
              <w:tabs>
                <w:tab w:val="left" w:pos="926"/>
              </w:tabs>
              <w:spacing w:before="0" w:line="380" w:lineRule="exact"/>
              <w:ind w:left="42" w:leftChars="20" w:right="42" w:rightChars="20"/>
              <w:rPr>
                <w:rStyle w:val="15"/>
                <w:rFonts w:ascii="宋体" w:eastAsia="宋体"/>
                <w:color w:val="auto"/>
                <w:highlight w:val="none"/>
                <w:lang w:val="zh-CN" w:eastAsia="zh-CN"/>
              </w:rPr>
            </w:pPr>
            <w:r>
              <w:rPr>
                <w:rStyle w:val="15"/>
                <w:rFonts w:hint="eastAsia" w:ascii="宋体" w:hAnsi="宋体" w:eastAsia="宋体"/>
                <w:color w:val="auto"/>
                <w:sz w:val="21"/>
                <w:szCs w:val="21"/>
                <w:highlight w:val="none"/>
                <w:lang w:val="en-US" w:eastAsia="zh-CN"/>
              </w:rPr>
              <w:t>（</w:t>
            </w:r>
            <w:r>
              <w:rPr>
                <w:rStyle w:val="15"/>
                <w:rFonts w:hint="eastAsia" w:ascii="宋体" w:hAnsi="宋体" w:eastAsia="宋体"/>
                <w:color w:val="auto"/>
                <w:sz w:val="21"/>
                <w:szCs w:val="21"/>
                <w:highlight w:val="none"/>
                <w:lang w:val="zh-CN" w:eastAsia="zh-CN"/>
              </w:rPr>
              <w:t>3）投标</w:t>
            </w:r>
            <w:r>
              <w:rPr>
                <w:rStyle w:val="15"/>
                <w:rFonts w:hint="eastAsia" w:ascii="宋体" w:hAnsi="宋体" w:eastAsia="宋体"/>
                <w:color w:val="auto"/>
                <w:sz w:val="21"/>
                <w:szCs w:val="21"/>
                <w:highlight w:val="none"/>
                <w:lang w:val="en-US" w:eastAsia="zh-CN"/>
              </w:rPr>
              <w:t>总</w:t>
            </w:r>
            <w:r>
              <w:rPr>
                <w:rStyle w:val="15"/>
                <w:rFonts w:hint="eastAsia" w:ascii="宋体" w:hAnsi="宋体" w:eastAsia="宋体"/>
                <w:color w:val="auto"/>
                <w:sz w:val="21"/>
                <w:szCs w:val="21"/>
                <w:highlight w:val="none"/>
                <w:lang w:val="zh-CN" w:eastAsia="zh-CN"/>
              </w:rPr>
              <w:t>报价或调价函中的报价未超过招标文件设定的最高投标限价（如有）及最高评标限价（如有）。</w:t>
            </w:r>
          </w:p>
          <w:p>
            <w:pPr>
              <w:pStyle w:val="14"/>
              <w:shd w:val="clear" w:color="auto" w:fill="auto"/>
              <w:tabs>
                <w:tab w:val="left" w:pos="973"/>
              </w:tabs>
              <w:spacing w:before="0" w:line="380" w:lineRule="exact"/>
              <w:ind w:left="42" w:leftChars="20" w:right="42" w:rightChars="20"/>
              <w:jc w:val="both"/>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en-US" w:eastAsia="zh-CN"/>
              </w:rPr>
              <w:t>（4）</w:t>
            </w:r>
            <w:r>
              <w:rPr>
                <w:rStyle w:val="15"/>
                <w:rFonts w:hint="eastAsia" w:ascii="宋体" w:hAnsi="宋体" w:eastAsia="宋体"/>
                <w:color w:val="auto"/>
                <w:sz w:val="21"/>
                <w:szCs w:val="21"/>
                <w:highlight w:val="none"/>
                <w:lang w:val="zh-CN" w:eastAsia="zh-CN"/>
              </w:rPr>
              <w:t>投标</w:t>
            </w:r>
            <w:r>
              <w:rPr>
                <w:rStyle w:val="15"/>
                <w:rFonts w:hint="eastAsia" w:ascii="宋体" w:hAnsi="宋体" w:eastAsia="宋体"/>
                <w:color w:val="auto"/>
                <w:sz w:val="21"/>
                <w:szCs w:val="21"/>
                <w:highlight w:val="none"/>
                <w:lang w:val="en-US" w:eastAsia="zh-CN"/>
              </w:rPr>
              <w:t>总</w:t>
            </w:r>
            <w:r>
              <w:rPr>
                <w:rStyle w:val="15"/>
                <w:rFonts w:hint="eastAsia" w:ascii="宋体" w:hAnsi="宋体" w:eastAsia="宋体"/>
                <w:color w:val="auto"/>
                <w:sz w:val="21"/>
                <w:szCs w:val="21"/>
                <w:highlight w:val="none"/>
                <w:lang w:val="zh-CN" w:eastAsia="zh-CN"/>
              </w:rPr>
              <w:t>报价或调价函中报价的大写金额能够确定具体数值。</w:t>
            </w:r>
          </w:p>
          <w:p>
            <w:pPr>
              <w:pStyle w:val="14"/>
              <w:shd w:val="clear" w:color="auto" w:fill="auto"/>
              <w:tabs>
                <w:tab w:val="left" w:pos="960"/>
              </w:tabs>
              <w:spacing w:before="0" w:line="380" w:lineRule="exact"/>
              <w:ind w:left="42" w:leftChars="20" w:right="42" w:rightChars="20"/>
              <w:rPr>
                <w:rFonts w:ascii="宋体" w:hAnsi="宋体" w:eastAsia="宋体" w:cs="MingLiU"/>
                <w:color w:val="auto"/>
                <w:sz w:val="21"/>
                <w:szCs w:val="21"/>
                <w:highlight w:val="none"/>
                <w:lang w:val="en-US" w:eastAsia="zh-CN"/>
              </w:rPr>
            </w:pPr>
            <w:r>
              <w:rPr>
                <w:rStyle w:val="15"/>
                <w:rFonts w:hint="eastAsia" w:ascii="宋体" w:hAnsi="宋体" w:eastAsia="宋体"/>
                <w:color w:val="auto"/>
                <w:sz w:val="21"/>
                <w:szCs w:val="21"/>
                <w:highlight w:val="none"/>
                <w:lang w:val="en-US" w:eastAsia="zh-CN"/>
              </w:rPr>
              <w:t>（5）</w:t>
            </w:r>
            <w:r>
              <w:rPr>
                <w:rStyle w:val="15"/>
                <w:rFonts w:hint="eastAsia" w:ascii="宋体" w:hAnsi="宋体" w:eastAsia="宋体"/>
                <w:color w:val="auto"/>
                <w:sz w:val="21"/>
                <w:szCs w:val="21"/>
                <w:highlight w:val="none"/>
                <w:lang w:val="zh-CN" w:eastAsia="zh-CN"/>
              </w:rPr>
              <w:t>同一投标人未提交两个以上不同的投标报价，但招标文件要求提交备选投标的除外。</w:t>
            </w:r>
          </w:p>
          <w:p>
            <w:pPr>
              <w:pStyle w:val="14"/>
              <w:shd w:val="clear" w:color="auto" w:fill="auto"/>
              <w:tabs>
                <w:tab w:val="left" w:pos="943"/>
              </w:tabs>
              <w:spacing w:before="0" w:line="380" w:lineRule="exact"/>
              <w:ind w:left="42" w:leftChars="20" w:right="42" w:rightChars="20"/>
              <w:rPr>
                <w:rStyle w:val="15"/>
                <w:rFonts w:hint="eastAsia" w:ascii="宋体" w:hAnsi="宋体" w:eastAsia="宋体"/>
                <w:color w:val="auto"/>
                <w:sz w:val="21"/>
                <w:szCs w:val="21"/>
                <w:highlight w:val="none"/>
                <w:lang w:val="zh-CN" w:eastAsia="zh-CN"/>
              </w:rPr>
            </w:pPr>
            <w:r>
              <w:rPr>
                <w:rStyle w:val="15"/>
                <w:rFonts w:hint="eastAsia" w:ascii="宋体" w:hAnsi="宋体" w:eastAsia="宋体"/>
                <w:color w:val="auto"/>
                <w:sz w:val="21"/>
                <w:szCs w:val="21"/>
                <w:highlight w:val="none"/>
                <w:lang w:val="en-US" w:eastAsia="zh-CN"/>
              </w:rPr>
              <w:t>（6）</w:t>
            </w:r>
            <w:r>
              <w:rPr>
                <w:rStyle w:val="15"/>
                <w:rFonts w:hint="eastAsia" w:ascii="宋体" w:hAnsi="宋体" w:eastAsia="宋体"/>
                <w:color w:val="auto"/>
                <w:sz w:val="21"/>
                <w:szCs w:val="21"/>
                <w:highlight w:val="none"/>
                <w:lang w:val="zh-CN" w:eastAsia="zh-CN"/>
              </w:rPr>
              <w:t>投标人若提交调价函，调价函符合招标文件第二章“投标人须知”第</w:t>
            </w:r>
            <w:r>
              <w:rPr>
                <w:rStyle w:val="15"/>
                <w:rFonts w:ascii="宋体" w:hAnsi="宋体" w:eastAsia="宋体"/>
                <w:color w:val="auto"/>
                <w:sz w:val="21"/>
                <w:szCs w:val="21"/>
                <w:highlight w:val="none"/>
                <w:lang w:val="en-US" w:eastAsia="zh-CN"/>
              </w:rPr>
              <w:t>3.2.6</w:t>
            </w:r>
            <w:r>
              <w:rPr>
                <w:rStyle w:val="15"/>
                <w:rFonts w:hint="eastAsia" w:ascii="宋体" w:hAnsi="宋体" w:eastAsia="宋体"/>
                <w:color w:val="auto"/>
                <w:sz w:val="21"/>
                <w:szCs w:val="21"/>
                <w:highlight w:val="none"/>
                <w:lang w:val="zh-CN" w:eastAsia="zh-CN"/>
              </w:rPr>
              <w:t>项要求。</w:t>
            </w:r>
          </w:p>
          <w:p>
            <w:pPr>
              <w:pStyle w:val="14"/>
              <w:shd w:val="clear" w:color="auto" w:fill="auto"/>
              <w:tabs>
                <w:tab w:val="left" w:pos="943"/>
              </w:tabs>
              <w:spacing w:before="0" w:line="380" w:lineRule="exact"/>
              <w:ind w:left="42" w:leftChars="20" w:right="42" w:rightChars="20"/>
              <w:rPr>
                <w:rStyle w:val="18"/>
                <w:rFonts w:ascii="宋体" w:eastAsia="宋体"/>
                <w:color w:val="auto"/>
                <w:sz w:val="21"/>
                <w:szCs w:val="21"/>
                <w:highlight w:val="none"/>
                <w:lang w:val="en-US" w:eastAsia="zh-CN"/>
              </w:rPr>
            </w:pPr>
            <w:r>
              <w:rPr>
                <w:rStyle w:val="18"/>
                <w:rFonts w:hint="eastAsia" w:ascii="宋体" w:eastAsia="宋体"/>
                <w:color w:val="auto"/>
                <w:sz w:val="21"/>
                <w:szCs w:val="21"/>
                <w:highlight w:val="none"/>
                <w:lang w:val="en-US" w:eastAsia="zh-CN"/>
              </w:rPr>
              <w:t>（7）投标人若填写固化清单，填写完毕的固化清单未对固化清单电子文件中的数据、格式和运算定义进行修改；固化清单中的投标</w:t>
            </w:r>
            <w:r>
              <w:rPr>
                <w:rStyle w:val="15"/>
                <w:rFonts w:hint="eastAsia" w:ascii="宋体" w:hAnsi="宋体" w:eastAsia="宋体"/>
                <w:color w:val="auto"/>
                <w:sz w:val="21"/>
                <w:szCs w:val="21"/>
                <w:highlight w:val="none"/>
                <w:lang w:val="en-US" w:eastAsia="zh-CN"/>
              </w:rPr>
              <w:t>总</w:t>
            </w:r>
            <w:r>
              <w:rPr>
                <w:rStyle w:val="18"/>
                <w:rFonts w:hint="eastAsia" w:ascii="宋体" w:eastAsia="宋体"/>
                <w:color w:val="auto"/>
                <w:sz w:val="21"/>
                <w:szCs w:val="21"/>
                <w:highlight w:val="none"/>
                <w:lang w:val="en-US" w:eastAsia="zh-CN"/>
              </w:rPr>
              <w:t>报价和投标函大写金额报价一致。</w:t>
            </w:r>
          </w:p>
          <w:p>
            <w:pPr>
              <w:pStyle w:val="14"/>
              <w:shd w:val="clear" w:color="auto" w:fill="auto"/>
              <w:tabs>
                <w:tab w:val="left" w:pos="943"/>
              </w:tabs>
              <w:spacing w:before="0" w:line="380" w:lineRule="exact"/>
              <w:ind w:left="42" w:leftChars="20" w:right="42" w:rightChars="20"/>
              <w:rPr>
                <w:rStyle w:val="18"/>
                <w:rFonts w:hint="eastAsia" w:ascii="宋体" w:eastAsia="宋体"/>
                <w:color w:val="auto"/>
                <w:sz w:val="21"/>
                <w:szCs w:val="21"/>
                <w:highlight w:val="none"/>
                <w:lang w:val="en-US" w:eastAsia="zh-CN"/>
              </w:rPr>
            </w:pPr>
            <w:r>
              <w:rPr>
                <w:rStyle w:val="18"/>
                <w:rFonts w:hint="eastAsia" w:ascii="宋体" w:eastAsia="宋体"/>
                <w:color w:val="auto"/>
                <w:sz w:val="21"/>
                <w:szCs w:val="21"/>
                <w:highlight w:val="none"/>
                <w:lang w:val="en-US" w:eastAsia="zh-CN"/>
              </w:rPr>
              <w:t>（8）投标文件正、副本份数符合招标文件第二章“投标人须知”第</w:t>
            </w:r>
            <w:r>
              <w:rPr>
                <w:rStyle w:val="18"/>
                <w:rFonts w:ascii="宋体" w:eastAsia="宋体"/>
                <w:color w:val="auto"/>
                <w:sz w:val="21"/>
                <w:szCs w:val="21"/>
                <w:highlight w:val="none"/>
                <w:lang w:val="en-US" w:eastAsia="zh-CN"/>
              </w:rPr>
              <w:t xml:space="preserve"> 3.7.4</w:t>
            </w:r>
            <w:r>
              <w:rPr>
                <w:rStyle w:val="18"/>
                <w:rFonts w:hint="eastAsia" w:ascii="宋体" w:eastAsia="宋体"/>
                <w:color w:val="auto"/>
                <w:sz w:val="21"/>
                <w:szCs w:val="21"/>
                <w:highlight w:val="none"/>
                <w:lang w:val="en-US" w:eastAsia="zh-CN"/>
              </w:rPr>
              <w:t>项规定。</w:t>
            </w:r>
          </w:p>
          <w:p>
            <w:pPr>
              <w:pStyle w:val="14"/>
              <w:shd w:val="clear" w:color="auto" w:fill="auto"/>
              <w:tabs>
                <w:tab w:val="left" w:pos="943"/>
              </w:tabs>
              <w:spacing w:before="0" w:line="380" w:lineRule="exact"/>
              <w:ind w:left="42" w:leftChars="20" w:right="42" w:rightChars="20"/>
              <w:rPr>
                <w:rFonts w:ascii="宋体" w:hAnsi="宋体" w:eastAsia="宋体" w:cs="MingLiU"/>
                <w:color w:val="auto"/>
                <w:sz w:val="21"/>
                <w:szCs w:val="21"/>
                <w:highlight w:val="none"/>
                <w:lang w:val="en-US" w:eastAsia="zh-CN"/>
              </w:rPr>
            </w:pPr>
            <w:r>
              <w:rPr>
                <w:rStyle w:val="18"/>
                <w:rFonts w:hint="eastAsia" w:ascii="宋体" w:eastAsia="宋体"/>
                <w:color w:val="auto"/>
                <w:sz w:val="21"/>
                <w:szCs w:val="21"/>
                <w:highlight w:val="none"/>
                <w:lang w:val="en-US" w:eastAsia="zh-CN"/>
              </w:rPr>
              <w:t>（9）</w:t>
            </w:r>
            <w:r>
              <w:rPr>
                <w:rStyle w:val="18"/>
                <w:rFonts w:ascii="宋体" w:eastAsia="宋体"/>
                <w:color w:val="auto"/>
                <w:sz w:val="21"/>
                <w:szCs w:val="21"/>
                <w:highlight w:val="none"/>
                <w:lang w:val="en-US" w:eastAsia="zh-CN"/>
              </w:rPr>
              <w:t>投标文件</w:t>
            </w:r>
            <w:r>
              <w:rPr>
                <w:rStyle w:val="18"/>
                <w:rFonts w:hint="eastAsia" w:ascii="宋体" w:eastAsia="宋体"/>
                <w:color w:val="auto"/>
                <w:sz w:val="21"/>
                <w:szCs w:val="21"/>
                <w:highlight w:val="none"/>
                <w:lang w:val="en-US" w:eastAsia="zh-CN"/>
              </w:rPr>
              <w:t>未</w:t>
            </w:r>
            <w:r>
              <w:rPr>
                <w:rStyle w:val="18"/>
                <w:rFonts w:ascii="宋体" w:eastAsia="宋体"/>
                <w:color w:val="auto"/>
                <w:sz w:val="21"/>
                <w:szCs w:val="21"/>
                <w:highlight w:val="none"/>
                <w:lang w:val="en-US" w:eastAsia="zh-CN"/>
              </w:rPr>
              <w:t>附有招标人不能接受的条件</w:t>
            </w:r>
            <w:r>
              <w:rPr>
                <w:rStyle w:val="18"/>
                <w:rFonts w:hint="eastAsia" w:ascii="宋体" w:eastAsia="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spacing w:before="0" w:line="400" w:lineRule="exact"/>
              <w:ind w:left="42" w:leftChars="20" w:right="42" w:rightChars="20"/>
              <w:jc w:val="center"/>
              <w:rPr>
                <w:rStyle w:val="19"/>
                <w:rFonts w:hint="eastAsia" w:ascii="宋体" w:hAnsi="宋体" w:eastAsia="宋体"/>
                <w:color w:val="auto"/>
                <w:spacing w:val="-20"/>
                <w:sz w:val="21"/>
                <w:szCs w:val="21"/>
                <w:highlight w:val="none"/>
                <w:u w:val="none"/>
                <w:lang w:val="en-US" w:eastAsia="en-US"/>
              </w:rPr>
            </w:pPr>
            <w:r>
              <w:rPr>
                <w:rStyle w:val="19"/>
                <w:rFonts w:hint="eastAsia" w:ascii="宋体" w:hAnsi="宋体" w:eastAsia="宋体"/>
                <w:color w:val="auto"/>
                <w:spacing w:val="-20"/>
                <w:sz w:val="21"/>
                <w:szCs w:val="21"/>
                <w:highlight w:val="none"/>
                <w:u w:val="none"/>
                <w:lang w:val="en-US" w:eastAsia="en-US"/>
              </w:rPr>
              <w:t>2.1.2</w:t>
            </w:r>
          </w:p>
        </w:tc>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spacing w:before="0" w:line="400" w:lineRule="exact"/>
              <w:ind w:left="42" w:leftChars="20" w:right="42" w:rightChars="20"/>
              <w:jc w:val="center"/>
              <w:rPr>
                <w:rStyle w:val="19"/>
                <w:rFonts w:hint="eastAsia" w:ascii="宋体" w:hAnsi="宋体" w:eastAsia="宋体"/>
                <w:color w:val="auto"/>
                <w:sz w:val="21"/>
                <w:szCs w:val="21"/>
                <w:highlight w:val="none"/>
                <w:u w:val="none"/>
                <w:lang w:val="zh-CN" w:eastAsia="zh-CN"/>
              </w:rPr>
            </w:pPr>
            <w:r>
              <w:rPr>
                <w:rStyle w:val="19"/>
                <w:rFonts w:hint="eastAsia" w:ascii="宋体" w:hAnsi="宋体" w:eastAsia="宋体"/>
                <w:color w:val="auto"/>
                <w:sz w:val="21"/>
                <w:szCs w:val="21"/>
                <w:highlight w:val="none"/>
                <w:u w:val="none"/>
                <w:lang w:val="zh-CN" w:eastAsia="zh-CN"/>
              </w:rPr>
              <w:t>资格评审标准</w:t>
            </w:r>
          </w:p>
        </w:tc>
        <w:tc>
          <w:tcPr>
            <w:tcW w:w="65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spacing w:before="0" w:line="380" w:lineRule="exact"/>
              <w:ind w:left="42" w:leftChars="20" w:right="42" w:rightChars="20"/>
              <w:jc w:val="left"/>
              <w:rPr>
                <w:rStyle w:val="15"/>
                <w:rFonts w:hint="eastAsia" w:ascii="宋体" w:hAnsi="宋体" w:eastAsia="宋体"/>
                <w:color w:val="auto"/>
                <w:spacing w:val="0"/>
                <w:sz w:val="21"/>
                <w:szCs w:val="21"/>
                <w:highlight w:val="none"/>
                <w:lang w:val="zh-CN" w:eastAsia="zh-CN"/>
              </w:rPr>
            </w:pPr>
            <w:r>
              <w:rPr>
                <w:rStyle w:val="15"/>
                <w:rFonts w:hint="eastAsia" w:ascii="宋体" w:hAnsi="宋体" w:eastAsia="宋体"/>
                <w:color w:val="auto"/>
                <w:spacing w:val="0"/>
                <w:sz w:val="21"/>
                <w:szCs w:val="21"/>
                <w:highlight w:val="none"/>
                <w:lang w:val="zh-CN" w:eastAsia="zh-CN"/>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r>
              <w:rPr>
                <w:rStyle w:val="15"/>
                <w:rFonts w:hint="eastAsia" w:ascii="宋体" w:eastAsia="宋体"/>
                <w:color w:val="auto"/>
                <w:spacing w:val="0"/>
                <w:sz w:val="21"/>
                <w:szCs w:val="21"/>
                <w:highlight w:val="none"/>
                <w:lang w:val="zh-CN" w:eastAsia="zh-CN"/>
              </w:rPr>
              <w:t>）</w:t>
            </w:r>
            <w:r>
              <w:rPr>
                <w:rStyle w:val="15"/>
                <w:rFonts w:hint="eastAsia" w:ascii="宋体" w:hAnsi="宋体" w:eastAsia="宋体"/>
                <w:color w:val="auto"/>
                <w:spacing w:val="0"/>
                <w:sz w:val="21"/>
                <w:szCs w:val="21"/>
                <w:highlight w:val="none"/>
                <w:lang w:val="zh-CN" w:eastAsia="zh-CN"/>
              </w:rPr>
              <w:t>。</w:t>
            </w:r>
          </w:p>
          <w:p>
            <w:pPr>
              <w:pStyle w:val="8"/>
              <w:spacing w:before="0" w:line="380" w:lineRule="exact"/>
              <w:ind w:left="42" w:leftChars="20" w:right="42" w:rightChars="20"/>
              <w:jc w:val="left"/>
              <w:rPr>
                <w:rStyle w:val="15"/>
                <w:rFonts w:ascii="宋体" w:hAnsi="宋体" w:eastAsia="宋体"/>
                <w:color w:val="auto"/>
                <w:spacing w:val="0"/>
                <w:sz w:val="21"/>
                <w:szCs w:val="21"/>
                <w:highlight w:val="none"/>
                <w:lang w:val="zh-CN" w:eastAsia="zh-CN"/>
              </w:rPr>
            </w:pPr>
            <w:r>
              <w:rPr>
                <w:rStyle w:val="15"/>
                <w:rFonts w:hint="eastAsia" w:ascii="宋体" w:hAnsi="宋体" w:eastAsia="宋体"/>
                <w:color w:val="auto"/>
                <w:spacing w:val="0"/>
                <w:sz w:val="21"/>
                <w:szCs w:val="21"/>
                <w:highlight w:val="none"/>
                <w:lang w:val="zh-CN" w:eastAsia="zh-CN"/>
              </w:rPr>
              <w:t>（2）投标人的资质等级符合招标文件规定。</w:t>
            </w:r>
          </w:p>
          <w:p>
            <w:pPr>
              <w:pStyle w:val="8"/>
              <w:spacing w:before="0" w:line="380" w:lineRule="exact"/>
              <w:ind w:left="42" w:leftChars="20" w:right="42" w:rightChars="20"/>
              <w:jc w:val="left"/>
              <w:rPr>
                <w:rStyle w:val="15"/>
                <w:rFonts w:ascii="宋体" w:hAnsi="宋体" w:eastAsia="宋体"/>
                <w:color w:val="auto"/>
                <w:spacing w:val="0"/>
                <w:sz w:val="21"/>
                <w:szCs w:val="21"/>
                <w:highlight w:val="none"/>
                <w:lang w:val="zh-CN" w:eastAsia="zh-CN"/>
              </w:rPr>
            </w:pPr>
            <w:r>
              <w:rPr>
                <w:rStyle w:val="15"/>
                <w:rFonts w:hint="eastAsia" w:ascii="宋体" w:hAnsi="宋体" w:eastAsia="宋体"/>
                <w:color w:val="auto"/>
                <w:spacing w:val="0"/>
                <w:sz w:val="21"/>
                <w:szCs w:val="21"/>
                <w:highlight w:val="none"/>
                <w:lang w:val="zh-CN" w:eastAsia="zh-CN"/>
              </w:rPr>
              <w:t>（3）投标人的财务状况符合招标文件规定。</w:t>
            </w:r>
          </w:p>
          <w:p>
            <w:pPr>
              <w:pStyle w:val="8"/>
              <w:spacing w:before="0" w:line="380" w:lineRule="exact"/>
              <w:ind w:left="42" w:leftChars="20" w:right="42" w:rightChars="20"/>
              <w:jc w:val="left"/>
              <w:rPr>
                <w:rStyle w:val="15"/>
                <w:rFonts w:hint="eastAsia" w:ascii="宋体" w:hAnsi="宋体" w:eastAsia="宋体"/>
                <w:color w:val="auto"/>
                <w:spacing w:val="0"/>
                <w:sz w:val="21"/>
                <w:szCs w:val="21"/>
                <w:highlight w:val="none"/>
                <w:lang w:val="zh-CN" w:eastAsia="zh-CN"/>
              </w:rPr>
            </w:pPr>
            <w:r>
              <w:rPr>
                <w:rStyle w:val="15"/>
                <w:rFonts w:hint="eastAsia" w:ascii="宋体" w:hAnsi="宋体" w:eastAsia="宋体"/>
                <w:color w:val="auto"/>
                <w:spacing w:val="0"/>
                <w:sz w:val="21"/>
                <w:szCs w:val="21"/>
                <w:highlight w:val="none"/>
                <w:lang w:val="zh-CN" w:eastAsia="zh-CN"/>
              </w:rPr>
              <w:t>（4）投标人的类似项目业绩符合招标文件规定。</w:t>
            </w:r>
          </w:p>
          <w:p>
            <w:pPr>
              <w:pStyle w:val="8"/>
              <w:spacing w:before="0" w:line="380" w:lineRule="exact"/>
              <w:ind w:left="42" w:leftChars="20" w:right="42" w:rightChars="20"/>
              <w:jc w:val="left"/>
              <w:rPr>
                <w:rStyle w:val="15"/>
                <w:rFonts w:ascii="宋体" w:hAnsi="宋体" w:eastAsia="宋体"/>
                <w:color w:val="auto"/>
                <w:spacing w:val="0"/>
                <w:sz w:val="21"/>
                <w:szCs w:val="21"/>
                <w:highlight w:val="none"/>
                <w:lang w:val="en-US" w:eastAsia="zh-CN"/>
              </w:rPr>
            </w:pPr>
            <w:r>
              <w:rPr>
                <w:rStyle w:val="15"/>
                <w:rFonts w:hint="eastAsia" w:ascii="宋体" w:hAnsi="宋体" w:eastAsia="宋体"/>
                <w:color w:val="auto"/>
                <w:spacing w:val="0"/>
                <w:sz w:val="21"/>
                <w:szCs w:val="21"/>
                <w:highlight w:val="none"/>
                <w:lang w:val="zh-CN" w:eastAsia="zh-CN"/>
              </w:rPr>
              <w:t>（5）投标人的</w:t>
            </w:r>
            <w:r>
              <w:rPr>
                <w:rStyle w:val="15"/>
                <w:rFonts w:hint="eastAsia" w:ascii="宋体" w:eastAsia="宋体"/>
                <w:color w:val="auto"/>
                <w:spacing w:val="0"/>
                <w:sz w:val="21"/>
                <w:szCs w:val="21"/>
                <w:highlight w:val="none"/>
                <w:lang w:val="zh-CN" w:eastAsia="zh-CN"/>
              </w:rPr>
              <w:t>项目总负责人、</w:t>
            </w:r>
            <w:r>
              <w:rPr>
                <w:rStyle w:val="15"/>
                <w:rFonts w:hint="eastAsia" w:ascii="宋体" w:hAnsi="宋体" w:eastAsia="宋体"/>
                <w:color w:val="auto"/>
                <w:spacing w:val="0"/>
                <w:sz w:val="21"/>
                <w:szCs w:val="21"/>
                <w:highlight w:val="none"/>
                <w:lang w:val="zh-CN" w:eastAsia="zh-CN"/>
              </w:rPr>
              <w:t>项目经理、项目总工、监理负责人资格，</w:t>
            </w:r>
            <w:r>
              <w:rPr>
                <w:rStyle w:val="10"/>
                <w:rFonts w:hint="eastAsia" w:ascii="宋体" w:hAnsi="宋体" w:eastAsia="宋体"/>
                <w:color w:val="auto"/>
                <w:sz w:val="21"/>
                <w:szCs w:val="21"/>
                <w:highlight w:val="none"/>
                <w:lang w:val="zh-CN" w:eastAsia="zh-CN"/>
              </w:rPr>
              <w:t>项目经理、项目总工及监理负责人的签字、</w:t>
            </w:r>
            <w:r>
              <w:rPr>
                <w:rStyle w:val="15"/>
                <w:rFonts w:hint="eastAsia" w:ascii="宋体" w:hAnsi="宋体" w:eastAsia="宋体"/>
                <w:color w:val="auto"/>
                <w:spacing w:val="0"/>
                <w:sz w:val="21"/>
                <w:szCs w:val="21"/>
                <w:highlight w:val="none"/>
                <w:lang w:val="zh-CN" w:eastAsia="zh-CN"/>
              </w:rPr>
              <w:t>在岗情况符合招标文件规定。</w:t>
            </w:r>
          </w:p>
          <w:p>
            <w:pPr>
              <w:pStyle w:val="8"/>
              <w:spacing w:before="0" w:line="380" w:lineRule="exact"/>
              <w:ind w:left="42" w:leftChars="20" w:right="42" w:rightChars="20"/>
              <w:jc w:val="left"/>
              <w:rPr>
                <w:rStyle w:val="15"/>
                <w:rFonts w:ascii="宋体" w:hAnsi="宋体" w:eastAsia="宋体"/>
                <w:color w:val="auto"/>
                <w:spacing w:val="0"/>
                <w:sz w:val="21"/>
                <w:szCs w:val="21"/>
                <w:highlight w:val="none"/>
                <w:lang w:val="zh-CN" w:eastAsia="zh-CN"/>
              </w:rPr>
            </w:pPr>
            <w:r>
              <w:rPr>
                <w:rStyle w:val="15"/>
                <w:rFonts w:hint="eastAsia" w:ascii="宋体" w:hAnsi="宋体" w:eastAsia="宋体"/>
                <w:color w:val="auto"/>
                <w:spacing w:val="0"/>
                <w:sz w:val="21"/>
                <w:szCs w:val="21"/>
                <w:highlight w:val="none"/>
                <w:lang w:val="zh-CN" w:eastAsia="zh-CN"/>
              </w:rPr>
              <w:t>（</w:t>
            </w:r>
            <w:r>
              <w:rPr>
                <w:rStyle w:val="15"/>
                <w:rFonts w:hint="eastAsia" w:ascii="宋体" w:hAnsi="宋体" w:eastAsia="宋体"/>
                <w:color w:val="auto"/>
                <w:spacing w:val="0"/>
                <w:sz w:val="21"/>
                <w:szCs w:val="21"/>
                <w:highlight w:val="none"/>
                <w:lang w:val="en-US" w:eastAsia="zh-CN"/>
              </w:rPr>
              <w:t>6</w:t>
            </w:r>
            <w:r>
              <w:rPr>
                <w:rStyle w:val="15"/>
                <w:rFonts w:hint="eastAsia" w:ascii="宋体" w:hAnsi="宋体" w:eastAsia="宋体"/>
                <w:color w:val="auto"/>
                <w:spacing w:val="0"/>
                <w:sz w:val="21"/>
                <w:szCs w:val="21"/>
                <w:highlight w:val="none"/>
                <w:lang w:val="zh-CN" w:eastAsia="zh-CN"/>
              </w:rPr>
              <w:t>）投标人不存在第二章“投标人须知”第</w:t>
            </w:r>
            <w:r>
              <w:rPr>
                <w:rStyle w:val="15"/>
                <w:rFonts w:ascii="宋体" w:hAnsi="宋体" w:eastAsia="宋体"/>
                <w:color w:val="auto"/>
                <w:spacing w:val="0"/>
                <w:sz w:val="21"/>
                <w:szCs w:val="21"/>
                <w:highlight w:val="none"/>
                <w:lang w:val="zh-CN" w:eastAsia="zh-CN"/>
              </w:rPr>
              <w:t>1.4.3</w:t>
            </w:r>
            <w:r>
              <w:rPr>
                <w:rStyle w:val="15"/>
                <w:rFonts w:hint="eastAsia" w:ascii="宋体" w:hAnsi="宋体" w:eastAsia="宋体"/>
                <w:color w:val="auto"/>
                <w:spacing w:val="0"/>
                <w:sz w:val="21"/>
                <w:szCs w:val="21"/>
                <w:highlight w:val="none"/>
                <w:lang w:val="zh-CN" w:eastAsia="zh-CN"/>
              </w:rPr>
              <w:t>项或第</w:t>
            </w:r>
            <w:r>
              <w:rPr>
                <w:rStyle w:val="15"/>
                <w:rFonts w:ascii="宋体" w:hAnsi="宋体" w:eastAsia="宋体"/>
                <w:color w:val="auto"/>
                <w:spacing w:val="0"/>
                <w:sz w:val="21"/>
                <w:szCs w:val="21"/>
                <w:highlight w:val="none"/>
                <w:lang w:val="zh-CN" w:eastAsia="zh-CN"/>
              </w:rPr>
              <w:t>1.4.4</w:t>
            </w:r>
            <w:r>
              <w:rPr>
                <w:rStyle w:val="15"/>
                <w:rFonts w:hint="eastAsia" w:ascii="宋体" w:hAnsi="宋体" w:eastAsia="宋体"/>
                <w:color w:val="auto"/>
                <w:spacing w:val="0"/>
                <w:sz w:val="21"/>
                <w:szCs w:val="21"/>
                <w:highlight w:val="none"/>
                <w:lang w:val="zh-CN" w:eastAsia="zh-CN"/>
              </w:rPr>
              <w:t>项规定的任何一种情形。</w:t>
            </w:r>
          </w:p>
          <w:p>
            <w:pPr>
              <w:pStyle w:val="8"/>
              <w:shd w:val="clear" w:color="auto" w:fill="auto"/>
              <w:spacing w:before="0" w:line="380" w:lineRule="exact"/>
              <w:ind w:left="42" w:leftChars="20" w:right="42" w:rightChars="20"/>
              <w:jc w:val="left"/>
              <w:rPr>
                <w:rStyle w:val="15"/>
                <w:rFonts w:ascii="宋体" w:hAnsi="宋体" w:eastAsia="宋体"/>
                <w:color w:val="auto"/>
                <w:spacing w:val="0"/>
                <w:sz w:val="21"/>
                <w:szCs w:val="21"/>
                <w:highlight w:val="none"/>
                <w:lang w:val="zh-CN" w:eastAsia="zh-CN"/>
              </w:rPr>
            </w:pPr>
            <w:r>
              <w:rPr>
                <w:rStyle w:val="15"/>
                <w:rFonts w:hint="eastAsia" w:ascii="宋体" w:hAnsi="宋体" w:eastAsia="宋体"/>
                <w:color w:val="auto"/>
                <w:spacing w:val="0"/>
                <w:sz w:val="21"/>
                <w:szCs w:val="21"/>
                <w:highlight w:val="none"/>
                <w:lang w:val="zh-CN" w:eastAsia="zh-CN"/>
              </w:rPr>
              <w:t>（</w:t>
            </w:r>
            <w:r>
              <w:rPr>
                <w:rStyle w:val="15"/>
                <w:rFonts w:hint="eastAsia" w:ascii="宋体" w:hAnsi="宋体" w:eastAsia="宋体"/>
                <w:color w:val="auto"/>
                <w:spacing w:val="0"/>
                <w:sz w:val="21"/>
                <w:szCs w:val="21"/>
                <w:highlight w:val="none"/>
                <w:lang w:val="en-US" w:eastAsia="zh-CN"/>
              </w:rPr>
              <w:t>7</w:t>
            </w:r>
            <w:r>
              <w:rPr>
                <w:rStyle w:val="15"/>
                <w:rFonts w:hint="eastAsia" w:ascii="宋体" w:hAnsi="宋体" w:eastAsia="宋体"/>
                <w:color w:val="auto"/>
                <w:spacing w:val="0"/>
                <w:sz w:val="21"/>
                <w:szCs w:val="21"/>
                <w:highlight w:val="none"/>
                <w:lang w:val="zh-CN" w:eastAsia="zh-CN"/>
              </w:rPr>
              <w:t>）投标人符合第二章“投标人须知”第</w:t>
            </w:r>
            <w:r>
              <w:rPr>
                <w:rStyle w:val="15"/>
                <w:rFonts w:ascii="宋体" w:hAnsi="宋体" w:eastAsia="宋体"/>
                <w:color w:val="auto"/>
                <w:spacing w:val="0"/>
                <w:sz w:val="21"/>
                <w:szCs w:val="21"/>
                <w:highlight w:val="none"/>
                <w:lang w:val="zh-CN" w:eastAsia="zh-CN"/>
              </w:rPr>
              <w:t>1.4.5</w:t>
            </w:r>
            <w:r>
              <w:rPr>
                <w:rStyle w:val="15"/>
                <w:rFonts w:hint="eastAsia" w:ascii="宋体" w:hAnsi="宋体" w:eastAsia="宋体"/>
                <w:color w:val="auto"/>
                <w:spacing w:val="0"/>
                <w:sz w:val="21"/>
                <w:szCs w:val="21"/>
                <w:highlight w:val="none"/>
                <w:lang w:val="zh-CN" w:eastAsia="zh-CN"/>
              </w:rPr>
              <w:t>项规定。</w:t>
            </w:r>
          </w:p>
          <w:p>
            <w:pPr>
              <w:pStyle w:val="8"/>
              <w:shd w:val="clear" w:color="auto" w:fill="auto"/>
              <w:spacing w:before="0" w:line="380" w:lineRule="exact"/>
              <w:ind w:left="42" w:leftChars="20" w:right="42" w:rightChars="20"/>
              <w:jc w:val="left"/>
              <w:rPr>
                <w:rStyle w:val="15"/>
                <w:rFonts w:hint="eastAsia" w:ascii="宋体" w:hAnsi="宋体" w:eastAsia="宋体"/>
                <w:color w:val="auto"/>
                <w:spacing w:val="0"/>
                <w:sz w:val="21"/>
                <w:szCs w:val="21"/>
                <w:highlight w:val="none"/>
                <w:lang w:val="zh-CN" w:eastAsia="zh-CN"/>
              </w:rPr>
            </w:pPr>
            <w:r>
              <w:rPr>
                <w:rStyle w:val="15"/>
                <w:rFonts w:hint="eastAsia" w:ascii="宋体" w:hAnsi="宋体" w:eastAsia="宋体"/>
                <w:color w:val="auto"/>
                <w:spacing w:val="0"/>
                <w:sz w:val="21"/>
                <w:szCs w:val="21"/>
                <w:highlight w:val="none"/>
                <w:lang w:val="zh-CN" w:eastAsia="zh-CN"/>
              </w:rPr>
              <w:t>（</w:t>
            </w:r>
            <w:r>
              <w:rPr>
                <w:rStyle w:val="15"/>
                <w:rFonts w:hint="eastAsia" w:ascii="宋体" w:hAnsi="宋体" w:eastAsia="宋体"/>
                <w:color w:val="auto"/>
                <w:spacing w:val="0"/>
                <w:sz w:val="21"/>
                <w:szCs w:val="21"/>
                <w:highlight w:val="none"/>
                <w:lang w:val="en-US" w:eastAsia="zh-CN"/>
              </w:rPr>
              <w:t>8</w:t>
            </w:r>
            <w:r>
              <w:rPr>
                <w:rStyle w:val="15"/>
                <w:rFonts w:hint="eastAsia" w:ascii="宋体" w:hAnsi="宋体" w:eastAsia="宋体"/>
                <w:color w:val="auto"/>
                <w:spacing w:val="0"/>
                <w:sz w:val="21"/>
                <w:szCs w:val="21"/>
                <w:highlight w:val="none"/>
                <w:lang w:val="zh-CN" w:eastAsia="zh-CN"/>
              </w:rPr>
              <w:t>）以联合体形式参与投标的，联合体各方均未再以自己名义单独或参加其他联合体在同一项目包中投标；独立参与投标的，投标人未同时参加联合体在同一项目包中投标。</w:t>
            </w:r>
          </w:p>
        </w:tc>
      </w:tr>
    </w:tbl>
    <w:p>
      <w:pPr>
        <w:pStyle w:val="20"/>
        <w:shd w:val="clear" w:color="auto" w:fill="auto"/>
        <w:spacing w:line="400" w:lineRule="exact"/>
        <w:jc w:val="right"/>
        <w:rPr>
          <w:rStyle w:val="21"/>
          <w:rFonts w:hint="eastAsia" w:ascii="宋体" w:hAnsi="宋体" w:eastAsia="宋体"/>
          <w:color w:val="auto"/>
          <w:highlight w:val="none"/>
        </w:rPr>
      </w:pPr>
      <w:r>
        <w:rPr>
          <w:rFonts w:ascii="宋体" w:hAnsi="宋体" w:eastAsia="宋体"/>
          <w:color w:val="auto"/>
          <w:highlight w:val="none"/>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2"/>
        <w:gridCol w:w="1457"/>
        <w:gridCol w:w="7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blHeader/>
        </w:trPr>
        <w:tc>
          <w:tcPr>
            <w:tcW w:w="922" w:type="dxa"/>
            <w:tcBorders>
              <w:top w:val="single" w:color="auto" w:sz="4" w:space="0"/>
              <w:bottom w:val="single" w:color="auto" w:sz="4" w:space="0"/>
              <w:right w:val="single" w:color="auto" w:sz="4" w:space="0"/>
            </w:tcBorders>
            <w:noWrap w:val="0"/>
            <w:vAlign w:val="center"/>
          </w:tcPr>
          <w:p>
            <w:pPr>
              <w:spacing w:line="33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条款内容</w:t>
            </w:r>
          </w:p>
        </w:tc>
        <w:tc>
          <w:tcPr>
            <w:tcW w:w="7238"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3" w:hRule="atLeast"/>
        </w:trPr>
        <w:tc>
          <w:tcPr>
            <w:tcW w:w="922" w:type="dxa"/>
            <w:tcBorders>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Style w:val="19"/>
                <w:rFonts w:hint="eastAsia" w:ascii="宋体" w:hAnsi="宋体" w:eastAsia="宋体"/>
                <w:color w:val="auto"/>
                <w:spacing w:val="-20"/>
                <w:kern w:val="0"/>
                <w:sz w:val="21"/>
                <w:szCs w:val="21"/>
                <w:highlight w:val="none"/>
                <w:u w:val="none"/>
                <w:lang w:eastAsia="en-US"/>
              </w:rPr>
              <w:t>2.2.1</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7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（1）总承包方案：</w:t>
            </w:r>
            <w:r>
              <w:rPr>
                <w:rFonts w:hint="eastAsia" w:ascii="宋体" w:hAnsi="宋体" w:cs="宋体"/>
                <w:color w:val="auto"/>
                <w:szCs w:val="21"/>
                <w:highlight w:val="none"/>
                <w:u w:val="single"/>
              </w:rPr>
              <w:t>20</w:t>
            </w:r>
            <w:r>
              <w:rPr>
                <w:rFonts w:hint="eastAsia" w:ascii="宋体" w:hAnsi="宋体" w:cs="宋体"/>
                <w:color w:val="auto"/>
                <w:szCs w:val="21"/>
                <w:highlight w:val="none"/>
              </w:rPr>
              <w:t>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（2）项目管理机构：</w:t>
            </w:r>
            <w:r>
              <w:rPr>
                <w:rFonts w:hint="eastAsia" w:ascii="宋体" w:hAnsi="宋体" w:cs="宋体"/>
                <w:color w:val="auto"/>
                <w:szCs w:val="21"/>
                <w:highlight w:val="none"/>
                <w:u w:val="single"/>
              </w:rPr>
              <w:t>5</w:t>
            </w:r>
            <w:r>
              <w:rPr>
                <w:rFonts w:hint="eastAsia" w:ascii="宋体" w:hAnsi="宋体" w:cs="宋体"/>
                <w:color w:val="auto"/>
                <w:szCs w:val="21"/>
                <w:highlight w:val="none"/>
              </w:rPr>
              <w:t>分</w:t>
            </w:r>
          </w:p>
          <w:p>
            <w:pPr>
              <w:spacing w:line="360" w:lineRule="auto"/>
              <w:rPr>
                <w:rFonts w:hint="eastAsia" w:ascii="宋体" w:hAnsi="宋体"/>
                <w:color w:val="auto"/>
                <w:sz w:val="24"/>
                <w:highlight w:val="none"/>
              </w:rPr>
            </w:pPr>
            <w:r>
              <w:rPr>
                <w:rFonts w:hint="eastAsia" w:ascii="宋体" w:hAnsi="宋体" w:cs="宋体"/>
                <w:bCs/>
                <w:color w:val="auto"/>
                <w:szCs w:val="21"/>
                <w:highlight w:val="none"/>
              </w:rPr>
              <w:t>（3）投标报价：</w:t>
            </w:r>
            <w:r>
              <w:rPr>
                <w:rFonts w:hint="eastAsia" w:ascii="宋体" w:hAnsi="宋体" w:cs="宋体"/>
                <w:bCs/>
                <w:color w:val="auto"/>
                <w:szCs w:val="21"/>
                <w:highlight w:val="none"/>
                <w:u w:val="single"/>
              </w:rPr>
              <w:t>50</w:t>
            </w:r>
            <w:r>
              <w:rPr>
                <w:rFonts w:hint="eastAsia" w:ascii="宋体" w:hAnsi="宋体" w:cs="宋体"/>
                <w:bCs/>
                <w:color w:val="auto"/>
                <w:szCs w:val="21"/>
                <w:highlight w:val="none"/>
              </w:rPr>
              <w:t>分</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（4）其他评分因素：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技术能力</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履约信誉：</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1" w:hRule="atLeast"/>
        </w:trPr>
        <w:tc>
          <w:tcPr>
            <w:tcW w:w="922" w:type="dxa"/>
            <w:tcBorders>
              <w:top w:val="single" w:color="auto" w:sz="4" w:space="0"/>
              <w:right w:val="single" w:color="auto" w:sz="4" w:space="0"/>
            </w:tcBorders>
            <w:noWrap w:val="0"/>
            <w:vAlign w:val="center"/>
          </w:tcPr>
          <w:p>
            <w:pPr>
              <w:spacing w:line="336" w:lineRule="auto"/>
              <w:jc w:val="center"/>
              <w:rPr>
                <w:rFonts w:hint="eastAsia" w:ascii="宋体" w:hAnsi="宋体" w:cs="宋体"/>
                <w:color w:val="auto"/>
                <w:szCs w:val="21"/>
                <w:highlight w:val="none"/>
              </w:rPr>
            </w:pPr>
            <w:r>
              <w:rPr>
                <w:rStyle w:val="19"/>
                <w:rFonts w:hint="eastAsia" w:ascii="宋体" w:hAnsi="宋体" w:eastAsia="宋体"/>
                <w:color w:val="auto"/>
                <w:spacing w:val="-20"/>
                <w:kern w:val="0"/>
                <w:sz w:val="21"/>
                <w:szCs w:val="21"/>
                <w:highlight w:val="none"/>
                <w:u w:val="none"/>
                <w:lang w:eastAsia="en-US"/>
              </w:rPr>
              <w:t>2.2.2</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7238" w:type="dxa"/>
            <w:tcBorders>
              <w:top w:val="single" w:color="auto" w:sz="4" w:space="0"/>
              <w:left w:val="single" w:color="auto" w:sz="4" w:space="0"/>
              <w:right w:val="single" w:color="auto" w:sz="4" w:space="0"/>
            </w:tcBorders>
            <w:noWrap w:val="0"/>
            <w:vAlign w:val="center"/>
          </w:tcPr>
          <w:p>
            <w:pPr>
              <w:spacing w:line="400" w:lineRule="exact"/>
              <w:rPr>
                <w:color w:val="auto"/>
                <w:szCs w:val="21"/>
                <w:highlight w:val="none"/>
              </w:rPr>
            </w:pPr>
            <w:r>
              <w:rPr>
                <w:color w:val="auto"/>
                <w:szCs w:val="21"/>
                <w:highlight w:val="none"/>
              </w:rPr>
              <w:t>评标基准价的计算：</w:t>
            </w:r>
          </w:p>
          <w:p>
            <w:pPr>
              <w:spacing w:line="400" w:lineRule="exact"/>
              <w:rPr>
                <w:color w:val="auto"/>
                <w:szCs w:val="21"/>
                <w:highlight w:val="none"/>
              </w:rPr>
            </w:pPr>
            <w:r>
              <w:rPr>
                <w:color w:val="auto"/>
                <w:szCs w:val="21"/>
                <w:highlight w:val="none"/>
              </w:rPr>
              <w:t>在开标现场，招标人将当场计算并宣布评标基准价。</w:t>
            </w:r>
          </w:p>
          <w:p>
            <w:pPr>
              <w:spacing w:line="400" w:lineRule="exact"/>
              <w:rPr>
                <w:color w:val="auto"/>
                <w:szCs w:val="21"/>
                <w:highlight w:val="none"/>
              </w:rPr>
            </w:pPr>
            <w:r>
              <w:rPr>
                <w:color w:val="auto"/>
                <w:szCs w:val="21"/>
                <w:highlight w:val="none"/>
              </w:rPr>
              <w:t>（1</w:t>
            </w:r>
            <w:r>
              <w:rPr>
                <w:rFonts w:ascii="宋体" w:hAnsi="宋体"/>
                <w:color w:val="auto"/>
                <w:szCs w:val="21"/>
                <w:highlight w:val="none"/>
              </w:rPr>
              <w:t>）评标价的确定：</w:t>
            </w:r>
          </w:p>
          <w:p>
            <w:pPr>
              <w:spacing w:line="400" w:lineRule="exact"/>
              <w:rPr>
                <w:color w:val="auto"/>
                <w:szCs w:val="21"/>
                <w:highlight w:val="none"/>
              </w:rPr>
            </w:pPr>
            <w:r>
              <w:rPr>
                <w:color w:val="auto"/>
                <w:szCs w:val="21"/>
                <w:highlight w:val="none"/>
              </w:rPr>
              <w:t>评标价＝投标函文字报价</w:t>
            </w:r>
          </w:p>
          <w:p>
            <w:pPr>
              <w:spacing w:line="400" w:lineRule="exact"/>
              <w:rPr>
                <w:color w:val="auto"/>
                <w:szCs w:val="21"/>
                <w:highlight w:val="none"/>
              </w:rPr>
            </w:pPr>
            <w:r>
              <w:rPr>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评标价平均值的计算</w:t>
            </w:r>
            <w:r>
              <w:rPr>
                <w:color w:val="auto"/>
                <w:szCs w:val="21"/>
                <w:highlight w:val="none"/>
              </w:rPr>
              <w:t>：</w:t>
            </w:r>
            <w:r>
              <w:rPr>
                <w:rFonts w:hint="eastAsia"/>
                <w:color w:val="auto"/>
                <w:szCs w:val="21"/>
                <w:highlight w:val="none"/>
              </w:rPr>
              <w:t>（方案一）</w:t>
            </w:r>
          </w:p>
          <w:p>
            <w:pPr>
              <w:spacing w:line="400" w:lineRule="exact"/>
              <w:ind w:firstLine="420" w:firstLineChars="200"/>
              <w:rPr>
                <w:color w:val="auto"/>
                <w:szCs w:val="21"/>
                <w:highlight w:val="none"/>
              </w:rPr>
            </w:pPr>
            <w:r>
              <w:rPr>
                <w:rFonts w:hint="eastAsia"/>
                <w:color w:val="auto"/>
                <w:szCs w:val="21"/>
                <w:highlight w:val="none"/>
              </w:rPr>
              <w:t>①按</w:t>
            </w:r>
            <w:r>
              <w:rPr>
                <w:color w:val="auto"/>
                <w:szCs w:val="21"/>
                <w:highlight w:val="none"/>
              </w:rPr>
              <w:t>第一</w:t>
            </w:r>
            <w:r>
              <w:rPr>
                <w:rFonts w:hint="eastAsia"/>
                <w:color w:val="auto"/>
                <w:szCs w:val="21"/>
                <w:highlight w:val="none"/>
              </w:rPr>
              <w:t>个</w:t>
            </w:r>
            <w:r>
              <w:rPr>
                <w:color w:val="auto"/>
                <w:szCs w:val="21"/>
                <w:highlight w:val="none"/>
              </w:rPr>
              <w:t>信封（商务及技术文件）评审</w:t>
            </w:r>
            <w:r>
              <w:rPr>
                <w:rFonts w:hint="eastAsia"/>
                <w:color w:val="auto"/>
                <w:szCs w:val="21"/>
                <w:highlight w:val="none"/>
              </w:rPr>
              <w:t>得分由高到低的顺序选取</w:t>
            </w:r>
            <w:r>
              <w:rPr>
                <w:color w:val="auto"/>
                <w:szCs w:val="21"/>
                <w:highlight w:val="none"/>
              </w:rPr>
              <w:t>前三名</w:t>
            </w:r>
            <w:r>
              <w:rPr>
                <w:rFonts w:hint="eastAsia"/>
                <w:color w:val="auto"/>
                <w:szCs w:val="21"/>
                <w:highlight w:val="none"/>
              </w:rPr>
              <w:t>（若不足三名，则选取相应数量），对其第二个信封（报价</w:t>
            </w:r>
            <w:r>
              <w:rPr>
                <w:color w:val="auto"/>
                <w:szCs w:val="21"/>
                <w:highlight w:val="none"/>
              </w:rPr>
              <w:t>文件</w:t>
            </w:r>
            <w:r>
              <w:rPr>
                <w:rFonts w:hint="eastAsia"/>
                <w:color w:val="auto"/>
                <w:szCs w:val="21"/>
                <w:highlight w:val="none"/>
              </w:rPr>
              <w:t>）的评标价作算术平均（根据第二章“</w:t>
            </w:r>
            <w:r>
              <w:rPr>
                <w:color w:val="auto"/>
                <w:szCs w:val="21"/>
                <w:highlight w:val="none"/>
              </w:rPr>
              <w:t>投标人须知</w:t>
            </w:r>
            <w:r>
              <w:rPr>
                <w:rFonts w:hint="eastAsia"/>
                <w:color w:val="auto"/>
                <w:szCs w:val="21"/>
                <w:highlight w:val="none"/>
              </w:rPr>
              <w:t>”</w:t>
            </w:r>
            <w:r>
              <w:rPr>
                <w:color w:val="auto"/>
                <w:szCs w:val="21"/>
                <w:highlight w:val="none"/>
              </w:rPr>
              <w:t>第5.2.</w:t>
            </w:r>
            <w:r>
              <w:rPr>
                <w:rFonts w:hint="eastAsia"/>
                <w:color w:val="auto"/>
                <w:szCs w:val="21"/>
                <w:highlight w:val="none"/>
              </w:rPr>
              <w:t>4</w:t>
            </w:r>
            <w:r>
              <w:rPr>
                <w:color w:val="auto"/>
                <w:szCs w:val="21"/>
                <w:highlight w:val="none"/>
              </w:rPr>
              <w:t>项规定在开标现场被宣布为</w:t>
            </w:r>
            <w:r>
              <w:rPr>
                <w:rFonts w:hint="eastAsia"/>
                <w:color w:val="auto"/>
                <w:szCs w:val="21"/>
                <w:highlight w:val="none"/>
              </w:rPr>
              <w:t>不应进入评标基准价计算</w:t>
            </w:r>
            <w:r>
              <w:rPr>
                <w:color w:val="auto"/>
                <w:szCs w:val="21"/>
                <w:highlight w:val="none"/>
              </w:rPr>
              <w:t>的</w:t>
            </w:r>
            <w:r>
              <w:rPr>
                <w:rFonts w:hint="eastAsia"/>
                <w:color w:val="auto"/>
                <w:szCs w:val="21"/>
                <w:highlight w:val="none"/>
              </w:rPr>
              <w:t>评标价除外）</w:t>
            </w:r>
            <w:r>
              <w:rPr>
                <w:color w:val="auto"/>
                <w:szCs w:val="21"/>
                <w:highlight w:val="none"/>
              </w:rPr>
              <w:t>，将该平均值作为评标</w:t>
            </w:r>
            <w:r>
              <w:rPr>
                <w:rFonts w:hint="eastAsia"/>
                <w:color w:val="auto"/>
                <w:szCs w:val="21"/>
                <w:highlight w:val="none"/>
              </w:rPr>
              <w:t>价平均值。</w:t>
            </w:r>
          </w:p>
          <w:p>
            <w:pPr>
              <w:spacing w:line="400" w:lineRule="exact"/>
              <w:ind w:firstLine="420" w:firstLineChars="200"/>
              <w:rPr>
                <w:rFonts w:ascii="宋体" w:hAnsi="宋体"/>
                <w:snapToGrid w:val="0"/>
                <w:color w:val="auto"/>
                <w:szCs w:val="21"/>
                <w:highlight w:val="none"/>
              </w:rPr>
            </w:pPr>
            <w:r>
              <w:rPr>
                <w:rFonts w:hint="eastAsia"/>
                <w:color w:val="auto"/>
                <w:szCs w:val="21"/>
                <w:highlight w:val="none"/>
              </w:rPr>
              <w:t>②</w:t>
            </w:r>
            <w:r>
              <w:rPr>
                <w:rFonts w:hint="eastAsia" w:ascii="宋体" w:hAnsi="宋体"/>
                <w:snapToGrid w:val="0"/>
                <w:color w:val="auto"/>
                <w:szCs w:val="21"/>
                <w:highlight w:val="none"/>
              </w:rPr>
              <w:t>参与</w:t>
            </w:r>
            <w:r>
              <w:rPr>
                <w:rFonts w:hint="eastAsia"/>
                <w:color w:val="auto"/>
                <w:szCs w:val="21"/>
                <w:highlight w:val="none"/>
              </w:rPr>
              <w:t>评标价平均值</w:t>
            </w:r>
            <w:r>
              <w:rPr>
                <w:rFonts w:hint="eastAsia" w:ascii="宋体" w:hAnsi="宋体"/>
                <w:snapToGrid w:val="0"/>
                <w:color w:val="auto"/>
                <w:szCs w:val="21"/>
                <w:highlight w:val="none"/>
              </w:rPr>
              <w:t>计算的评标价的范围：</w:t>
            </w:r>
            <w:r>
              <w:rPr>
                <w:rFonts w:hint="eastAsia" w:hAnsi="宋体" w:cs="宋体"/>
                <w:color w:val="auto"/>
                <w:szCs w:val="21"/>
                <w:highlight w:val="none"/>
              </w:rPr>
              <w:t>最高投标限价</w:t>
            </w:r>
            <w:r>
              <w:rPr>
                <w:rFonts w:hint="eastAsia" w:ascii="宋体" w:hAnsi="宋体"/>
                <w:snapToGrid w:val="0"/>
                <w:color w:val="auto"/>
                <w:szCs w:val="21"/>
                <w:highlight w:val="none"/>
              </w:rPr>
              <w:t>的85%≤参与</w:t>
            </w:r>
            <w:r>
              <w:rPr>
                <w:rFonts w:hint="eastAsia"/>
                <w:color w:val="auto"/>
                <w:szCs w:val="21"/>
                <w:highlight w:val="none"/>
              </w:rPr>
              <w:t>评标价平均值</w:t>
            </w:r>
            <w:r>
              <w:rPr>
                <w:rFonts w:hint="eastAsia" w:ascii="宋体" w:hAnsi="宋体"/>
                <w:snapToGrid w:val="0"/>
                <w:color w:val="auto"/>
                <w:szCs w:val="21"/>
                <w:highlight w:val="none"/>
              </w:rPr>
              <w:t>计算的评标价≤</w:t>
            </w:r>
            <w:r>
              <w:rPr>
                <w:rFonts w:hint="eastAsia" w:hAnsi="宋体" w:cs="宋体"/>
                <w:color w:val="auto"/>
                <w:szCs w:val="21"/>
                <w:highlight w:val="none"/>
              </w:rPr>
              <w:t>最高投标限价</w:t>
            </w:r>
            <w:r>
              <w:rPr>
                <w:rFonts w:hint="eastAsia" w:ascii="宋体" w:hAnsi="宋体"/>
                <w:snapToGrid w:val="0"/>
                <w:color w:val="auto"/>
                <w:szCs w:val="21"/>
                <w:highlight w:val="none"/>
              </w:rPr>
              <w:t>的100%；（注：小于</w:t>
            </w:r>
            <w:r>
              <w:rPr>
                <w:rFonts w:hint="eastAsia" w:hAnsi="宋体" w:cs="宋体"/>
                <w:color w:val="auto"/>
                <w:szCs w:val="21"/>
                <w:highlight w:val="none"/>
              </w:rPr>
              <w:t>最高投标限价</w:t>
            </w:r>
            <w:r>
              <w:rPr>
                <w:rFonts w:hint="eastAsia" w:ascii="宋体" w:hAnsi="宋体"/>
                <w:snapToGrid w:val="0"/>
                <w:color w:val="auto"/>
                <w:szCs w:val="21"/>
                <w:highlight w:val="none"/>
              </w:rPr>
              <w:t>的85%的评标价不参与</w:t>
            </w:r>
            <w:r>
              <w:rPr>
                <w:rFonts w:hint="eastAsia"/>
                <w:color w:val="auto"/>
                <w:szCs w:val="21"/>
                <w:highlight w:val="none"/>
              </w:rPr>
              <w:t>评标价平均值</w:t>
            </w:r>
            <w:r>
              <w:rPr>
                <w:rFonts w:hint="eastAsia" w:ascii="宋体" w:hAnsi="宋体"/>
                <w:snapToGrid w:val="0"/>
                <w:color w:val="auto"/>
                <w:szCs w:val="21"/>
                <w:highlight w:val="none"/>
              </w:rPr>
              <w:t>的计算，但仍参与评标价的得分计算。）</w:t>
            </w:r>
          </w:p>
          <w:p>
            <w:pPr>
              <w:spacing w:line="400" w:lineRule="exact"/>
              <w:ind w:firstLine="420" w:firstLineChars="200"/>
              <w:rPr>
                <w:rFonts w:hint="eastAsia"/>
                <w:color w:val="auto"/>
                <w:szCs w:val="21"/>
                <w:highlight w:val="none"/>
              </w:rPr>
            </w:pPr>
            <w:r>
              <w:rPr>
                <w:rFonts w:hint="eastAsia"/>
                <w:color w:val="auto"/>
                <w:szCs w:val="21"/>
                <w:highlight w:val="none"/>
              </w:rPr>
              <w:t>③若投标人的评标价均小于最高投标限价的85%时，则以最高投标限价的85%为评标价平均值。</w:t>
            </w:r>
            <w:r>
              <w:rPr>
                <w:rFonts w:hint="eastAsia" w:ascii="宋体" w:hAnsi="宋体"/>
                <w:color w:val="auto"/>
                <w:szCs w:val="21"/>
                <w:highlight w:val="none"/>
              </w:rPr>
              <w:t>评标委员会可对</w:t>
            </w:r>
            <w:r>
              <w:rPr>
                <w:rFonts w:hint="eastAsia"/>
                <w:color w:val="auto"/>
                <w:szCs w:val="21"/>
                <w:highlight w:val="none"/>
              </w:rPr>
              <w:t>评标价小于85％的启动澄清程序，要求投标人作出书面说明并提供相关证明材料，</w:t>
            </w:r>
            <w:r>
              <w:rPr>
                <w:rFonts w:hint="eastAsia" w:ascii="宋体" w:hAnsi="宋体"/>
                <w:color w:val="auto"/>
                <w:szCs w:val="21"/>
                <w:highlight w:val="none"/>
              </w:rPr>
              <w:t>若</w:t>
            </w:r>
            <w:r>
              <w:rPr>
                <w:rFonts w:hint="eastAsia"/>
                <w:color w:val="auto"/>
                <w:szCs w:val="21"/>
                <w:highlight w:val="none"/>
              </w:rPr>
              <w:t>投标人不能合理说明或者不能提供相关证明资料的，评标委员会认定该投标人以低于成本报价竞标，否决其投标。</w:t>
            </w:r>
            <w:r>
              <w:rPr>
                <w:rFonts w:hint="eastAsia" w:ascii="宋体" w:hAnsi="宋体"/>
                <w:color w:val="auto"/>
                <w:szCs w:val="21"/>
                <w:highlight w:val="none"/>
              </w:rPr>
              <w:t>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spacing w:line="400" w:lineRule="exact"/>
              <w:ind w:firstLine="420" w:firstLineChars="200"/>
              <w:rPr>
                <w:rFonts w:hint="eastAsia" w:ascii="宋体" w:hAnsi="宋体"/>
                <w:snapToGrid w:val="0"/>
                <w:color w:val="auto"/>
                <w:szCs w:val="21"/>
                <w:highlight w:val="none"/>
              </w:rPr>
            </w:pPr>
            <w:r>
              <w:rPr>
                <w:rFonts w:hint="eastAsia" w:ascii="宋体" w:hAnsi="宋体"/>
                <w:color w:val="auto"/>
                <w:szCs w:val="21"/>
                <w:highlight w:val="none"/>
              </w:rPr>
              <w:t>即使某投标文件第二个信封未通过形式评审与响应性评审，如其评标价处于</w:t>
            </w:r>
            <w:r>
              <w:rPr>
                <w:rFonts w:hint="eastAsia" w:ascii="宋体" w:hAnsi="宋体"/>
                <w:snapToGrid w:val="0"/>
                <w:color w:val="auto"/>
                <w:szCs w:val="21"/>
                <w:highlight w:val="none"/>
              </w:rPr>
              <w:t>参与</w:t>
            </w:r>
            <w:r>
              <w:rPr>
                <w:rFonts w:hint="eastAsia"/>
                <w:color w:val="auto"/>
                <w:szCs w:val="21"/>
                <w:highlight w:val="none"/>
              </w:rPr>
              <w:t>评标价平均值</w:t>
            </w:r>
            <w:r>
              <w:rPr>
                <w:rFonts w:hint="eastAsia" w:ascii="宋体" w:hAnsi="宋体"/>
                <w:snapToGrid w:val="0"/>
                <w:color w:val="auto"/>
                <w:szCs w:val="21"/>
                <w:highlight w:val="none"/>
              </w:rPr>
              <w:t>计算的评标价的范围</w:t>
            </w:r>
            <w:r>
              <w:rPr>
                <w:rFonts w:hint="eastAsia" w:ascii="宋体" w:hAnsi="宋体"/>
                <w:color w:val="auto"/>
                <w:szCs w:val="21"/>
                <w:highlight w:val="none"/>
              </w:rPr>
              <w:t>内，其评标价仍应参与有效评标价平均值的计算</w:t>
            </w:r>
            <w:r>
              <w:rPr>
                <w:rFonts w:hint="eastAsia" w:ascii="宋体" w:hAnsi="宋体"/>
                <w:snapToGrid w:val="0"/>
                <w:color w:val="auto"/>
                <w:szCs w:val="21"/>
                <w:highlight w:val="none"/>
              </w:rPr>
              <w:t>。</w:t>
            </w:r>
          </w:p>
          <w:p>
            <w:pPr>
              <w:spacing w:line="400" w:lineRule="exact"/>
              <w:ind w:firstLine="420" w:firstLineChars="200"/>
              <w:rPr>
                <w:rFonts w:hint="default" w:ascii="宋体" w:hAnsi="宋体" w:eastAsia="宋体"/>
                <w:snapToGrid w:val="0"/>
                <w:color w:val="auto"/>
                <w:szCs w:val="21"/>
                <w:highlight w:val="none"/>
                <w:lang w:val="en-US" w:eastAsia="zh-CN"/>
              </w:rPr>
            </w:pPr>
            <w:r>
              <w:rPr>
                <w:rFonts w:hint="eastAsia" w:ascii="宋体" w:hAnsi="宋体"/>
                <w:snapToGrid w:val="0"/>
                <w:color w:val="auto"/>
                <w:szCs w:val="21"/>
                <w:highlight w:val="none"/>
                <w:lang w:eastAsia="zh-CN"/>
              </w:rPr>
              <w:t>（</w:t>
            </w:r>
            <w:r>
              <w:rPr>
                <w:rFonts w:hint="eastAsia" w:ascii="宋体" w:hAnsi="宋体"/>
                <w:snapToGrid w:val="0"/>
                <w:color w:val="auto"/>
                <w:szCs w:val="21"/>
                <w:highlight w:val="none"/>
                <w:lang w:val="en-US" w:eastAsia="zh-CN"/>
              </w:rPr>
              <w:t>3</w:t>
            </w:r>
            <w:r>
              <w:rPr>
                <w:rFonts w:hint="eastAsia" w:ascii="宋体" w:hAnsi="宋体"/>
                <w:snapToGrid w:val="0"/>
                <w:color w:val="auto"/>
                <w:szCs w:val="21"/>
                <w:highlight w:val="none"/>
                <w:lang w:eastAsia="zh-CN"/>
              </w:rPr>
              <w:t>）</w:t>
            </w:r>
            <w:r>
              <w:rPr>
                <w:rFonts w:hint="eastAsia" w:ascii="宋体" w:hAnsi="宋体"/>
                <w:snapToGrid w:val="0"/>
                <w:color w:val="auto"/>
                <w:szCs w:val="21"/>
                <w:highlight w:val="none"/>
                <w:lang w:val="en-US" w:eastAsia="zh-CN"/>
              </w:rPr>
              <w:t>方法一：将评标价平均值直接作为评标基准价。</w:t>
            </w:r>
          </w:p>
          <w:p>
            <w:pPr>
              <w:spacing w:line="336" w:lineRule="auto"/>
              <w:ind w:firstLine="420" w:firstLineChars="200"/>
              <w:rPr>
                <w:color w:val="auto"/>
                <w:szCs w:val="21"/>
                <w:highlight w:val="none"/>
              </w:rPr>
            </w:pPr>
            <w:r>
              <w:rPr>
                <w:rFonts w:hint="eastAsia"/>
                <w:color w:val="auto"/>
                <w:szCs w:val="21"/>
                <w:highlight w:val="none"/>
              </w:rPr>
              <w:t>在评标过程中，评标委员会应对招标人计算的</w:t>
            </w:r>
            <w:r>
              <w:rPr>
                <w:color w:val="auto"/>
                <w:szCs w:val="21"/>
                <w:highlight w:val="none"/>
              </w:rPr>
              <w:t>评标基准价进行复核</w:t>
            </w:r>
            <w:r>
              <w:rPr>
                <w:rFonts w:hint="eastAsia"/>
                <w:color w:val="auto"/>
                <w:szCs w:val="21"/>
                <w:highlight w:val="none"/>
              </w:rPr>
              <w:t>，</w:t>
            </w:r>
            <w:r>
              <w:rPr>
                <w:color w:val="auto"/>
                <w:szCs w:val="21"/>
                <w:highlight w:val="none"/>
              </w:rPr>
              <w:t>存在计算错误的应予以修正并在评标报告中作出说明</w:t>
            </w:r>
            <w:r>
              <w:rPr>
                <w:rFonts w:hint="eastAsia"/>
                <w:color w:val="auto"/>
                <w:szCs w:val="21"/>
                <w:highlight w:val="none"/>
              </w:rPr>
              <w:t>。除此之外，</w:t>
            </w:r>
            <w:r>
              <w:rPr>
                <w:color w:val="auto"/>
                <w:szCs w:val="21"/>
                <w:highlight w:val="none"/>
              </w:rPr>
              <w:t>评标基准价在整个评标期间保持不变，不随</w:t>
            </w:r>
            <w:r>
              <w:rPr>
                <w:rFonts w:hint="eastAsia"/>
                <w:color w:val="auto"/>
                <w:szCs w:val="21"/>
                <w:highlight w:val="none"/>
              </w:rPr>
              <w:t>任何</w:t>
            </w:r>
            <w:r>
              <w:rPr>
                <w:color w:val="auto"/>
                <w:szCs w:val="21"/>
                <w:highlight w:val="none"/>
              </w:rPr>
              <w:t>因素发生变化</w:t>
            </w:r>
            <w:r>
              <w:rPr>
                <w:rFonts w:hint="eastAsia"/>
                <w:color w:val="auto"/>
                <w:szCs w:val="21"/>
                <w:highlight w:val="none"/>
              </w:rPr>
              <w:t>。</w:t>
            </w:r>
          </w:p>
          <w:p>
            <w:pPr>
              <w:spacing w:line="336" w:lineRule="auto"/>
              <w:ind w:right="124"/>
              <w:rPr>
                <w:rFonts w:hint="eastAsia" w:hAnsi="宋体" w:cs="宋体"/>
                <w:color w:val="auto"/>
                <w:szCs w:val="21"/>
                <w:highlight w:val="none"/>
              </w:rPr>
            </w:pPr>
            <w:r>
              <w:rPr>
                <w:rFonts w:hint="eastAsia" w:hAnsi="宋体" w:cs="宋体"/>
                <w:color w:val="auto"/>
                <w:szCs w:val="21"/>
                <w:highlight w:val="none"/>
              </w:rPr>
              <w:t>注：</w:t>
            </w:r>
            <w:r>
              <w:rPr>
                <w:rFonts w:hint="eastAsia"/>
                <w:color w:val="auto"/>
                <w:szCs w:val="21"/>
                <w:highlight w:val="none"/>
              </w:rPr>
              <w:t>评标价平均值、</w:t>
            </w:r>
            <w:r>
              <w:rPr>
                <w:rFonts w:hint="eastAsia" w:hAnsi="宋体" w:cs="宋体"/>
                <w:color w:val="auto"/>
                <w:szCs w:val="21"/>
                <w:highlight w:val="none"/>
              </w:rPr>
              <w:t>最高评标限价、</w:t>
            </w:r>
            <w:r>
              <w:rPr>
                <w:rFonts w:hAnsi="宋体" w:cs="宋体"/>
                <w:color w:val="auto"/>
                <w:szCs w:val="21"/>
                <w:highlight w:val="none"/>
              </w:rPr>
              <w:t>评标基准价</w:t>
            </w:r>
            <w:r>
              <w:rPr>
                <w:rFonts w:hint="eastAsia" w:hAnsi="宋体" w:cs="宋体"/>
                <w:color w:val="auto"/>
                <w:szCs w:val="21"/>
                <w:highlight w:val="none"/>
              </w:rPr>
              <w:t>的计算均</w:t>
            </w:r>
            <w:r>
              <w:rPr>
                <w:rFonts w:hAnsi="宋体" w:cs="宋体"/>
                <w:color w:val="auto"/>
                <w:szCs w:val="21"/>
                <w:highlight w:val="none"/>
              </w:rPr>
              <w:t>四舍五入至个位整数元。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22"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 w:val="21"/>
                <w:szCs w:val="21"/>
                <w:highlight w:val="none"/>
                <w:lang w:val="en-US" w:eastAsia="zh-CN" w:bidi="ar-SA"/>
              </w:rPr>
            </w:pPr>
            <w:r>
              <w:rPr>
                <w:rStyle w:val="19"/>
                <w:rFonts w:hint="eastAsia" w:ascii="宋体" w:hAnsi="宋体" w:eastAsia="宋体"/>
                <w:color w:val="auto"/>
                <w:spacing w:val="-20"/>
                <w:kern w:val="0"/>
                <w:sz w:val="21"/>
                <w:szCs w:val="21"/>
                <w:highlight w:val="none"/>
                <w:u w:val="none"/>
                <w:lang w:eastAsia="en-US"/>
              </w:rPr>
              <w:t>2.2.3</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投标报价的偏差率计算公式</w:t>
            </w:r>
          </w:p>
        </w:tc>
        <w:tc>
          <w:tcPr>
            <w:tcW w:w="7238" w:type="dxa"/>
            <w:tcBorders>
              <w:top w:val="single" w:color="auto" w:sz="4" w:space="0"/>
              <w:left w:val="single" w:color="auto" w:sz="4" w:space="0"/>
              <w:right w:val="single" w:color="auto" w:sz="4" w:space="0"/>
            </w:tcBorders>
            <w:noWrap w:val="0"/>
            <w:vAlign w:val="center"/>
          </w:tcPr>
          <w:p>
            <w:pPr>
              <w:spacing w:line="360" w:lineRule="auto"/>
              <w:ind w:right="124" w:rightChars="0"/>
              <w:rPr>
                <w:rFonts w:ascii="宋体" w:hAnsi="宋体"/>
                <w:color w:val="auto"/>
                <w:kern w:val="2"/>
                <w:sz w:val="21"/>
                <w:szCs w:val="21"/>
                <w:highlight w:val="none"/>
                <w:lang w:val="en-US" w:eastAsia="zh-CN" w:bidi="ar-SA"/>
              </w:rPr>
            </w:pPr>
            <w:r>
              <w:rPr>
                <w:rFonts w:ascii="宋体" w:hAnsi="宋体"/>
                <w:color w:val="auto"/>
                <w:szCs w:val="21"/>
                <w:highlight w:val="none"/>
              </w:rPr>
              <w:t>偏差率=100% ×(投标人评标价－评标基准价)/评标基准价</w:t>
            </w:r>
          </w:p>
        </w:tc>
      </w:tr>
    </w:tbl>
    <w:p>
      <w:pPr>
        <w:spacing w:line="400" w:lineRule="exact"/>
        <w:rPr>
          <w:rFonts w:ascii="宋体" w:hAnsi="宋体"/>
          <w:color w:val="auto"/>
          <w:highlight w:val="none"/>
        </w:rPr>
      </w:pPr>
    </w:p>
    <w:p>
      <w:pPr>
        <w:spacing w:line="400" w:lineRule="exact"/>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 xml:space="preserve">                                                                        </w:t>
      </w:r>
    </w:p>
    <w:tbl>
      <w:tblPr>
        <w:tblStyle w:val="6"/>
        <w:tblW w:w="0" w:type="auto"/>
        <w:tblInd w:w="-8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1154"/>
        <w:gridCol w:w="1194"/>
        <w:gridCol w:w="1268"/>
        <w:gridCol w:w="725"/>
        <w:gridCol w:w="3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1" w:type="dxa"/>
            <w:tcBorders>
              <w:top w:val="single" w:color="auto" w:sz="4" w:space="0"/>
              <w:bottom w:val="single" w:color="auto" w:sz="4" w:space="0"/>
              <w:right w:val="single" w:color="auto" w:sz="4" w:space="0"/>
            </w:tcBorders>
            <w:noWrap w:val="0"/>
            <w:vAlign w:val="center"/>
          </w:tcPr>
          <w:p>
            <w:pPr>
              <w:pStyle w:val="8"/>
              <w:shd w:val="clear" w:color="auto" w:fill="auto"/>
              <w:spacing w:before="0" w:line="276" w:lineRule="auto"/>
              <w:ind w:right="-59"/>
              <w:jc w:val="center"/>
              <w:rPr>
                <w:rFonts w:ascii="宋体" w:hAnsi="宋体" w:eastAsia="宋体" w:cs="MingLiU"/>
                <w:b/>
                <w:bCs/>
                <w:color w:val="auto"/>
                <w:sz w:val="21"/>
                <w:szCs w:val="21"/>
                <w:highlight w:val="none"/>
                <w:lang w:val="en-US" w:eastAsia="zh-CN"/>
              </w:rPr>
            </w:pPr>
            <w:r>
              <w:rPr>
                <w:rStyle w:val="9"/>
                <w:rFonts w:hint="eastAsia" w:ascii="宋体" w:hAnsi="宋体" w:eastAsia="宋体"/>
                <w:b/>
                <w:bCs/>
                <w:color w:val="auto"/>
                <w:sz w:val="21"/>
                <w:szCs w:val="21"/>
                <w:highlight w:val="none"/>
                <w:lang w:val="en-US" w:eastAsia="zh-CN"/>
              </w:rPr>
              <w:t>条款号</w:t>
            </w:r>
          </w:p>
        </w:tc>
        <w:tc>
          <w:tcPr>
            <w:tcW w:w="1154" w:type="dxa"/>
            <w:tcBorders>
              <w:top w:val="single" w:color="auto" w:sz="4" w:space="0"/>
              <w:bottom w:val="single" w:color="auto" w:sz="4" w:space="0"/>
              <w:right w:val="single" w:color="auto" w:sz="4" w:space="0"/>
            </w:tcBorders>
            <w:noWrap w:val="0"/>
            <w:vAlign w:val="center"/>
          </w:tcPr>
          <w:p>
            <w:pPr>
              <w:pStyle w:val="8"/>
              <w:shd w:val="clear" w:color="auto" w:fill="auto"/>
              <w:spacing w:before="0" w:line="276" w:lineRule="auto"/>
              <w:jc w:val="center"/>
              <w:rPr>
                <w:rStyle w:val="9"/>
                <w:rFonts w:hint="eastAsia" w:ascii="宋体" w:hAnsi="宋体" w:eastAsia="宋体"/>
                <w:b/>
                <w:bCs/>
                <w:color w:val="auto"/>
                <w:sz w:val="21"/>
                <w:szCs w:val="21"/>
                <w:highlight w:val="none"/>
                <w:lang w:val="en-US" w:eastAsia="zh-CN"/>
              </w:rPr>
            </w:pPr>
            <w:r>
              <w:rPr>
                <w:rStyle w:val="9"/>
                <w:rFonts w:hint="eastAsia" w:ascii="宋体" w:hAnsi="宋体" w:eastAsia="宋体"/>
                <w:b/>
                <w:bCs/>
                <w:color w:val="auto"/>
                <w:sz w:val="21"/>
                <w:szCs w:val="21"/>
                <w:highlight w:val="none"/>
                <w:lang w:val="en-US" w:eastAsia="zh-CN"/>
              </w:rPr>
              <w:t>评分</w:t>
            </w:r>
          </w:p>
          <w:p>
            <w:pPr>
              <w:pStyle w:val="8"/>
              <w:shd w:val="clear" w:color="auto" w:fill="auto"/>
              <w:spacing w:before="0" w:line="276" w:lineRule="auto"/>
              <w:jc w:val="center"/>
              <w:rPr>
                <w:rFonts w:ascii="宋体" w:hAnsi="宋体" w:eastAsia="宋体" w:cs="MingLiU"/>
                <w:b/>
                <w:bCs/>
                <w:color w:val="auto"/>
                <w:sz w:val="21"/>
                <w:szCs w:val="21"/>
                <w:highlight w:val="none"/>
                <w:lang w:val="en-US" w:eastAsia="zh-CN"/>
              </w:rPr>
            </w:pPr>
            <w:r>
              <w:rPr>
                <w:rStyle w:val="9"/>
                <w:rFonts w:hint="eastAsia" w:ascii="宋体" w:hAnsi="宋体" w:eastAsia="宋体"/>
                <w:b/>
                <w:bCs/>
                <w:color w:val="auto"/>
                <w:sz w:val="21"/>
                <w:szCs w:val="21"/>
                <w:highlight w:val="none"/>
                <w:lang w:val="en-US" w:eastAsia="zh-CN"/>
              </w:rPr>
              <w:t>因素</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8"/>
              <w:shd w:val="clear" w:color="auto" w:fill="auto"/>
              <w:spacing w:before="0" w:line="276" w:lineRule="auto"/>
              <w:jc w:val="center"/>
              <w:rPr>
                <w:rFonts w:ascii="宋体" w:hAnsi="宋体" w:eastAsia="宋体" w:cs="MingLiU"/>
                <w:b/>
                <w:bCs/>
                <w:color w:val="auto"/>
                <w:sz w:val="21"/>
                <w:szCs w:val="21"/>
                <w:highlight w:val="none"/>
                <w:lang w:val="en-US" w:eastAsia="zh-CN"/>
              </w:rPr>
            </w:pPr>
            <w:r>
              <w:rPr>
                <w:rStyle w:val="9"/>
                <w:rFonts w:hint="eastAsia" w:ascii="宋体" w:hAnsi="宋体" w:eastAsia="宋体"/>
                <w:b/>
                <w:bCs/>
                <w:color w:val="auto"/>
                <w:sz w:val="21"/>
                <w:szCs w:val="21"/>
                <w:highlight w:val="none"/>
                <w:lang w:val="en-US" w:eastAsia="zh-CN"/>
              </w:rPr>
              <w:t>评分因素权重分值</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pStyle w:val="8"/>
              <w:shd w:val="clear" w:color="auto" w:fill="auto"/>
              <w:spacing w:before="0" w:line="276" w:lineRule="auto"/>
              <w:jc w:val="center"/>
              <w:rPr>
                <w:rFonts w:ascii="宋体" w:hAnsi="宋体" w:eastAsia="宋体" w:cs="MingLiU"/>
                <w:b/>
                <w:bCs/>
                <w:color w:val="auto"/>
                <w:sz w:val="21"/>
                <w:szCs w:val="21"/>
                <w:highlight w:val="none"/>
                <w:lang w:val="en-US" w:eastAsia="zh-CN"/>
              </w:rPr>
            </w:pPr>
            <w:r>
              <w:rPr>
                <w:rStyle w:val="9"/>
                <w:rFonts w:hint="eastAsia" w:ascii="宋体" w:hAnsi="宋体" w:eastAsia="宋体"/>
                <w:b/>
                <w:bCs/>
                <w:color w:val="auto"/>
                <w:sz w:val="21"/>
                <w:szCs w:val="21"/>
                <w:highlight w:val="none"/>
                <w:lang w:val="en-US" w:eastAsia="zh-CN"/>
              </w:rPr>
              <w:t>各评分因素细分项</w:t>
            </w:r>
          </w:p>
        </w:tc>
        <w:tc>
          <w:tcPr>
            <w:tcW w:w="725" w:type="dxa"/>
            <w:tcBorders>
              <w:top w:val="single" w:color="auto" w:sz="4" w:space="0"/>
              <w:left w:val="single" w:color="auto" w:sz="4" w:space="0"/>
              <w:bottom w:val="single" w:color="auto" w:sz="4" w:space="0"/>
              <w:right w:val="single" w:color="auto" w:sz="4" w:space="0"/>
            </w:tcBorders>
            <w:noWrap w:val="0"/>
            <w:vAlign w:val="center"/>
          </w:tcPr>
          <w:p>
            <w:pPr>
              <w:pStyle w:val="8"/>
              <w:shd w:val="clear" w:color="auto" w:fill="auto"/>
              <w:spacing w:before="0" w:line="276" w:lineRule="auto"/>
              <w:jc w:val="center"/>
              <w:rPr>
                <w:rFonts w:ascii="宋体" w:hAnsi="宋体" w:eastAsia="宋体" w:cs="MingLiU"/>
                <w:b/>
                <w:bCs/>
                <w:color w:val="auto"/>
                <w:sz w:val="21"/>
                <w:szCs w:val="21"/>
                <w:highlight w:val="none"/>
                <w:lang w:val="en-US" w:eastAsia="zh-CN"/>
              </w:rPr>
            </w:pPr>
            <w:r>
              <w:rPr>
                <w:rStyle w:val="9"/>
                <w:rFonts w:hint="eastAsia" w:ascii="宋体" w:hAnsi="宋体" w:eastAsia="宋体"/>
                <w:b/>
                <w:bCs/>
                <w:color w:val="auto"/>
                <w:sz w:val="21"/>
                <w:szCs w:val="21"/>
                <w:highlight w:val="none"/>
                <w:lang w:val="en-US" w:eastAsia="zh-CN"/>
              </w:rPr>
              <w:t>分值</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pStyle w:val="8"/>
              <w:shd w:val="clear" w:color="auto" w:fill="auto"/>
              <w:spacing w:before="0" w:line="276" w:lineRule="auto"/>
              <w:jc w:val="center"/>
              <w:rPr>
                <w:rFonts w:ascii="宋体" w:hAnsi="宋体" w:eastAsia="宋体" w:cs="MingLiU"/>
                <w:b/>
                <w:bCs/>
                <w:color w:val="auto"/>
                <w:sz w:val="21"/>
                <w:szCs w:val="21"/>
                <w:highlight w:val="none"/>
                <w:lang w:val="en-US" w:eastAsia="zh-CN"/>
              </w:rPr>
            </w:pPr>
            <w:r>
              <w:rPr>
                <w:rStyle w:val="9"/>
                <w:rFonts w:hint="eastAsia" w:ascii="宋体" w:hAnsi="宋体" w:eastAsia="宋体"/>
                <w:b/>
                <w:bCs/>
                <w:color w:val="auto"/>
                <w:sz w:val="21"/>
                <w:szCs w:val="21"/>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21" w:type="dxa"/>
            <w:vMerge w:val="restart"/>
            <w:tcBorders>
              <w:top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1154" w:type="dxa"/>
            <w:vMerge w:val="restart"/>
            <w:tcBorders>
              <w:top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总承包方案（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分）</w:t>
            </w:r>
          </w:p>
        </w:tc>
        <w:tc>
          <w:tcPr>
            <w:tcW w:w="1194"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仿宋_GB2312" w:hAnsi="仿宋_GB2312" w:eastAsia="仿宋_GB2312" w:cs="仿宋_GB2312"/>
                <w:color w:val="auto"/>
                <w:szCs w:val="21"/>
                <w:highlight w:val="none"/>
              </w:rPr>
              <w:t>⑴</w:t>
            </w:r>
            <w:r>
              <w:rPr>
                <w:rFonts w:hint="eastAsia" w:ascii="宋体" w:hAnsi="宋体" w:cs="宋体"/>
                <w:color w:val="auto"/>
                <w:szCs w:val="21"/>
                <w:highlight w:val="none"/>
              </w:rPr>
              <w:t>总体实施方案（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分）</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对总承包项目的总体理解和思路</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right="-107" w:rightChars="-51"/>
              <w:jc w:val="center"/>
              <w:rPr>
                <w:rFonts w:ascii="宋体" w:hAnsi="宋体"/>
                <w:color w:val="auto"/>
                <w:szCs w:val="21"/>
                <w:highlight w:val="none"/>
              </w:rPr>
            </w:pPr>
            <w:r>
              <w:rPr>
                <w:rFonts w:hint="eastAsia" w:ascii="宋体" w:hAnsi="宋体"/>
                <w:color w:val="auto"/>
                <w:szCs w:val="21"/>
                <w:highlight w:val="none"/>
                <w:u w:val="single"/>
                <w:lang w:val="en-US" w:eastAsia="zh-CN"/>
              </w:rPr>
              <w:t>3</w:t>
            </w:r>
            <w:r>
              <w:rPr>
                <w:rFonts w:hint="eastAsia" w:ascii="宋体" w:hAnsi="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）对</w:t>
            </w:r>
            <w:r>
              <w:rPr>
                <w:rFonts w:hint="eastAsia" w:ascii="宋体" w:hAnsi="宋体"/>
                <w:color w:val="auto"/>
                <w:szCs w:val="21"/>
                <w:highlight w:val="none"/>
              </w:rPr>
              <w:t>总承包项目的</w:t>
            </w:r>
            <w:r>
              <w:rPr>
                <w:rFonts w:ascii="宋体" w:hAnsi="宋体"/>
                <w:color w:val="auto"/>
                <w:szCs w:val="21"/>
                <w:highlight w:val="none"/>
              </w:rPr>
              <w:t>工作范围和任务描述</w:t>
            </w:r>
            <w:r>
              <w:rPr>
                <w:rFonts w:hint="eastAsia" w:ascii="宋体" w:hAnsi="宋体"/>
                <w:color w:val="auto"/>
                <w:szCs w:val="21"/>
                <w:highlight w:val="none"/>
              </w:rPr>
              <w:t>很</w:t>
            </w:r>
            <w:r>
              <w:rPr>
                <w:rFonts w:ascii="宋体" w:hAnsi="宋体"/>
                <w:color w:val="auto"/>
                <w:szCs w:val="21"/>
                <w:highlight w:val="none"/>
              </w:rPr>
              <w:t>准确</w:t>
            </w:r>
            <w:r>
              <w:rPr>
                <w:rFonts w:hint="eastAsia" w:ascii="宋体" w:hAnsi="宋体"/>
                <w:color w:val="auto"/>
                <w:szCs w:val="21"/>
                <w:highlight w:val="none"/>
              </w:rPr>
              <w:t>,</w:t>
            </w:r>
            <w:r>
              <w:rPr>
                <w:rFonts w:ascii="宋体" w:hAnsi="宋体"/>
                <w:color w:val="auto"/>
                <w:szCs w:val="21"/>
                <w:highlight w:val="none"/>
              </w:rPr>
              <w:t>总体思路</w:t>
            </w:r>
            <w:r>
              <w:rPr>
                <w:rFonts w:hint="eastAsia" w:ascii="宋体" w:hAnsi="宋体"/>
                <w:color w:val="auto"/>
                <w:szCs w:val="21"/>
                <w:highlight w:val="none"/>
              </w:rPr>
              <w:t>很</w:t>
            </w:r>
            <w:r>
              <w:rPr>
                <w:rFonts w:ascii="宋体" w:hAnsi="宋体"/>
                <w:color w:val="auto"/>
                <w:szCs w:val="21"/>
                <w:highlight w:val="none"/>
              </w:rPr>
              <w:t>清晰、切实可行程度</w:t>
            </w:r>
            <w:r>
              <w:rPr>
                <w:rFonts w:hint="eastAsia" w:ascii="宋体" w:hAnsi="宋体"/>
                <w:color w:val="auto"/>
                <w:szCs w:val="21"/>
                <w:highlight w:val="none"/>
              </w:rPr>
              <w:t>很高，</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2.4-3</w:t>
            </w:r>
            <w:r>
              <w:rPr>
                <w:rStyle w:val="9"/>
                <w:rFonts w:hint="eastAsia" w:ascii="宋体" w:hAnsi="宋体" w:eastAsia="宋体"/>
                <w:color w:val="auto"/>
                <w:sz w:val="21"/>
                <w:szCs w:val="21"/>
                <w:highlight w:val="none"/>
              </w:rPr>
              <w:t>分（满分分值的80%~100%）；</w:t>
            </w:r>
          </w:p>
          <w:p>
            <w:pPr>
              <w:spacing w:line="276" w:lineRule="auto"/>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）对</w:t>
            </w:r>
            <w:r>
              <w:rPr>
                <w:rFonts w:hint="eastAsia" w:ascii="宋体" w:hAnsi="宋体"/>
                <w:color w:val="auto"/>
                <w:szCs w:val="21"/>
                <w:highlight w:val="none"/>
              </w:rPr>
              <w:t>总承包项目的</w:t>
            </w:r>
            <w:r>
              <w:rPr>
                <w:rFonts w:ascii="宋体" w:hAnsi="宋体"/>
                <w:color w:val="auto"/>
                <w:szCs w:val="21"/>
                <w:highlight w:val="none"/>
              </w:rPr>
              <w:t>工作范围和任务描述</w:t>
            </w:r>
            <w:r>
              <w:rPr>
                <w:rFonts w:hint="eastAsia" w:ascii="宋体" w:hAnsi="宋体"/>
                <w:color w:val="auto"/>
                <w:szCs w:val="21"/>
                <w:highlight w:val="none"/>
              </w:rPr>
              <w:t>较为</w:t>
            </w:r>
            <w:r>
              <w:rPr>
                <w:rFonts w:ascii="宋体" w:hAnsi="宋体"/>
                <w:color w:val="auto"/>
                <w:szCs w:val="21"/>
                <w:highlight w:val="none"/>
              </w:rPr>
              <w:t>准确</w:t>
            </w:r>
            <w:r>
              <w:rPr>
                <w:rFonts w:hint="eastAsia" w:ascii="宋体" w:hAnsi="宋体"/>
                <w:color w:val="auto"/>
                <w:szCs w:val="21"/>
                <w:highlight w:val="none"/>
              </w:rPr>
              <w:t>,</w:t>
            </w:r>
            <w:r>
              <w:rPr>
                <w:rFonts w:ascii="宋体" w:hAnsi="宋体"/>
                <w:color w:val="auto"/>
                <w:szCs w:val="21"/>
                <w:highlight w:val="none"/>
              </w:rPr>
              <w:t>总体思路</w:t>
            </w:r>
            <w:r>
              <w:rPr>
                <w:rFonts w:hint="eastAsia" w:ascii="宋体" w:hAnsi="宋体"/>
                <w:color w:val="auto"/>
                <w:szCs w:val="21"/>
                <w:highlight w:val="none"/>
              </w:rPr>
              <w:t>较为</w:t>
            </w:r>
            <w:r>
              <w:rPr>
                <w:rFonts w:ascii="宋体" w:hAnsi="宋体"/>
                <w:color w:val="auto"/>
                <w:szCs w:val="21"/>
                <w:highlight w:val="none"/>
              </w:rPr>
              <w:t>清晰</w:t>
            </w:r>
            <w:r>
              <w:rPr>
                <w:rFonts w:hint="eastAsia" w:ascii="宋体" w:hAnsi="宋体"/>
                <w:color w:val="auto"/>
                <w:szCs w:val="21"/>
                <w:highlight w:val="none"/>
              </w:rPr>
              <w:t>，基本可行，</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1.8-2.4</w:t>
            </w:r>
            <w:r>
              <w:rPr>
                <w:rStyle w:val="9"/>
                <w:rFonts w:hint="eastAsia" w:ascii="宋体" w:hAnsi="宋体" w:eastAsia="宋体"/>
                <w:color w:val="auto"/>
                <w:sz w:val="21"/>
                <w:szCs w:val="21"/>
                <w:highlight w:val="none"/>
              </w:rPr>
              <w:t>分（满分分值的60%~80%）；</w:t>
            </w:r>
          </w:p>
          <w:p>
            <w:pPr>
              <w:spacing w:line="276" w:lineRule="auto"/>
              <w:rPr>
                <w:rFonts w:hint="eastAsia" w:ascii="宋体" w:hAnsi="宋体"/>
                <w:color w:val="auto"/>
                <w:szCs w:val="21"/>
                <w:highlight w:val="none"/>
              </w:rPr>
            </w:pPr>
            <w:r>
              <w:rPr>
                <w:rFonts w:hint="eastAsia" w:ascii="宋体" w:hAnsi="宋体"/>
                <w:color w:val="auto"/>
                <w:szCs w:val="21"/>
                <w:highlight w:val="none"/>
              </w:rPr>
              <w:t>（3）</w:t>
            </w:r>
            <w:r>
              <w:rPr>
                <w:rStyle w:val="9"/>
                <w:rFonts w:hint="eastAsia" w:ascii="宋体" w:hAnsi="宋体" w:eastAsia="宋体"/>
                <w:color w:val="auto"/>
                <w:sz w:val="21"/>
                <w:szCs w:val="21"/>
                <w:highlight w:val="none"/>
              </w:rPr>
              <w:t>一般但不被评定为不响应的, 起评分</w:t>
            </w:r>
            <w:r>
              <w:rPr>
                <w:rStyle w:val="9"/>
                <w:rFonts w:hint="eastAsia" w:ascii="宋体" w:hAnsi="宋体" w:eastAsia="宋体"/>
                <w:color w:val="auto"/>
                <w:sz w:val="21"/>
                <w:szCs w:val="21"/>
                <w:highlight w:val="none"/>
                <w:u w:val="single"/>
                <w:lang w:val="en-US" w:eastAsia="zh-CN"/>
              </w:rPr>
              <w:t>1.8</w:t>
            </w:r>
            <w:r>
              <w:rPr>
                <w:rStyle w:val="9"/>
                <w:rFonts w:ascii="宋体" w:hAnsi="宋体" w:eastAsia="宋体"/>
                <w:color w:val="auto"/>
                <w:sz w:val="21"/>
                <w:szCs w:val="21"/>
                <w:highlight w:val="none"/>
              </w:rPr>
              <w:t>分</w:t>
            </w:r>
            <w:r>
              <w:rPr>
                <w:rStyle w:val="9"/>
                <w:rFonts w:hint="eastAsia" w:ascii="宋体" w:hAnsi="宋体" w:eastAsia="宋体"/>
                <w:color w:val="auto"/>
                <w:sz w:val="21"/>
                <w:szCs w:val="21"/>
                <w:highlight w:val="none"/>
              </w:rPr>
              <w:t>（满分分值的60%）。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21" w:type="dxa"/>
            <w:vMerge w:val="continue"/>
            <w:tcBorders>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154" w:type="dxa"/>
            <w:vMerge w:val="continue"/>
            <w:tcBorders>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194"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项目管理</w:t>
            </w:r>
          </w:p>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方案</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right="-107" w:rightChars="-51"/>
              <w:jc w:val="center"/>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3</w:t>
            </w:r>
            <w:r>
              <w:rPr>
                <w:rFonts w:hint="eastAsia" w:ascii="宋体" w:hAnsi="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对</w:t>
            </w:r>
            <w:r>
              <w:rPr>
                <w:rFonts w:hint="eastAsia" w:ascii="宋体" w:hAnsi="宋体"/>
                <w:color w:val="auto"/>
                <w:szCs w:val="21"/>
                <w:highlight w:val="none"/>
              </w:rPr>
              <w:t>总承包项目的管理体系、保证措施及对项目的重点、难点分析的合理性、可实施性和分析描述很准确，</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2.4-3</w:t>
            </w:r>
            <w:r>
              <w:rPr>
                <w:rStyle w:val="9"/>
                <w:rFonts w:hint="eastAsia" w:ascii="宋体" w:hAnsi="宋体" w:eastAsia="宋体"/>
                <w:color w:val="auto"/>
                <w:sz w:val="21"/>
                <w:szCs w:val="21"/>
                <w:highlight w:val="none"/>
              </w:rPr>
              <w:t>分（满分分值的80%~100%）；</w:t>
            </w:r>
          </w:p>
          <w:p>
            <w:pPr>
              <w:spacing w:line="276" w:lineRule="auto"/>
              <w:rPr>
                <w:rFonts w:hint="eastAsia" w:ascii="宋体" w:hAnsi="宋体"/>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对</w:t>
            </w:r>
            <w:r>
              <w:rPr>
                <w:rFonts w:hint="eastAsia" w:ascii="宋体" w:hAnsi="宋体"/>
                <w:color w:val="auto"/>
                <w:szCs w:val="21"/>
                <w:highlight w:val="none"/>
              </w:rPr>
              <w:t>总承包项目的管理体系、保证措施及对项目的重点、难点分析的合理性、可实施性和分析描述较为准确，</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1.8-2.4</w:t>
            </w:r>
            <w:r>
              <w:rPr>
                <w:rStyle w:val="9"/>
                <w:rFonts w:hint="eastAsia" w:ascii="宋体" w:hAnsi="宋体" w:eastAsia="宋体"/>
                <w:color w:val="auto"/>
                <w:sz w:val="21"/>
                <w:szCs w:val="21"/>
                <w:highlight w:val="none"/>
              </w:rPr>
              <w:t>分（满分分值的60%~80%）；</w:t>
            </w:r>
          </w:p>
          <w:p>
            <w:pPr>
              <w:spacing w:line="276" w:lineRule="auto"/>
              <w:rPr>
                <w:rFonts w:hint="eastAsia" w:ascii="宋体" w:hAnsi="宋体"/>
                <w:color w:val="auto"/>
                <w:szCs w:val="21"/>
                <w:highlight w:val="none"/>
              </w:rPr>
            </w:pPr>
            <w:r>
              <w:rPr>
                <w:rFonts w:hint="eastAsia" w:ascii="宋体" w:hAnsi="宋体"/>
                <w:color w:val="auto"/>
                <w:szCs w:val="21"/>
                <w:highlight w:val="none"/>
              </w:rPr>
              <w:t>（3）</w:t>
            </w:r>
            <w:r>
              <w:rPr>
                <w:rStyle w:val="9"/>
                <w:rFonts w:hint="eastAsia" w:ascii="宋体" w:hAnsi="宋体" w:eastAsia="宋体"/>
                <w:color w:val="auto"/>
                <w:sz w:val="21"/>
                <w:szCs w:val="21"/>
                <w:highlight w:val="none"/>
              </w:rPr>
              <w:t>一般但不被评定为不响应的, 起评分</w:t>
            </w:r>
            <w:r>
              <w:rPr>
                <w:rStyle w:val="9"/>
                <w:rFonts w:hint="eastAsia" w:ascii="宋体" w:hAnsi="宋体" w:eastAsia="宋体"/>
                <w:color w:val="auto"/>
                <w:sz w:val="21"/>
                <w:szCs w:val="21"/>
                <w:highlight w:val="none"/>
                <w:u w:val="single"/>
                <w:lang w:val="en-US" w:eastAsia="zh-CN"/>
              </w:rPr>
              <w:t>1.8</w:t>
            </w:r>
            <w:r>
              <w:rPr>
                <w:rStyle w:val="9"/>
                <w:rFonts w:ascii="宋体" w:hAnsi="宋体" w:eastAsia="宋体"/>
                <w:color w:val="auto"/>
                <w:sz w:val="21"/>
                <w:szCs w:val="21"/>
                <w:highlight w:val="none"/>
              </w:rPr>
              <w:t>分</w:t>
            </w:r>
            <w:r>
              <w:rPr>
                <w:rStyle w:val="9"/>
                <w:rFonts w:hint="eastAsia" w:ascii="宋体" w:hAnsi="宋体" w:eastAsia="宋体"/>
                <w:color w:val="auto"/>
                <w:sz w:val="21"/>
                <w:szCs w:val="21"/>
                <w:highlight w:val="none"/>
              </w:rPr>
              <w:t>（满分分值的60%）。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1" w:hRule="atLeast"/>
        </w:trPr>
        <w:tc>
          <w:tcPr>
            <w:tcW w:w="821" w:type="dxa"/>
            <w:vMerge w:val="continue"/>
            <w:tcBorders>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154" w:type="dxa"/>
            <w:vMerge w:val="continue"/>
            <w:tcBorders>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194"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268"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参与农村公路施工和养护管理方案</w:t>
            </w:r>
          </w:p>
        </w:tc>
        <w:tc>
          <w:tcPr>
            <w:tcW w:w="725" w:type="dxa"/>
            <w:tcBorders>
              <w:top w:val="single" w:color="auto" w:sz="4" w:space="0"/>
              <w:left w:val="single" w:color="auto" w:sz="4" w:space="0"/>
              <w:right w:val="single" w:color="auto" w:sz="4" w:space="0"/>
            </w:tcBorders>
            <w:noWrap w:val="0"/>
            <w:vAlign w:val="center"/>
          </w:tcPr>
          <w:p>
            <w:pPr>
              <w:spacing w:line="276" w:lineRule="auto"/>
              <w:ind w:right="-107" w:rightChars="-51"/>
              <w:jc w:val="center"/>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3</w:t>
            </w:r>
            <w:r>
              <w:rPr>
                <w:rFonts w:hint="eastAsia" w:ascii="宋体" w:hAnsi="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对</w:t>
            </w:r>
            <w:r>
              <w:rPr>
                <w:rFonts w:hint="eastAsia" w:ascii="宋体" w:hAnsi="宋体"/>
                <w:color w:val="auto"/>
                <w:szCs w:val="21"/>
                <w:highlight w:val="none"/>
              </w:rPr>
              <w:t>以工代赈和吸纳沿线养护道班、乡村工匠参与农村公路施工和养护管理方案</w:t>
            </w:r>
            <w:r>
              <w:rPr>
                <w:rFonts w:ascii="宋体" w:hAnsi="宋体"/>
                <w:color w:val="auto"/>
                <w:szCs w:val="21"/>
                <w:highlight w:val="none"/>
              </w:rPr>
              <w:t>描述准确程度和总体思路</w:t>
            </w:r>
            <w:r>
              <w:rPr>
                <w:rFonts w:hint="eastAsia" w:ascii="宋体" w:hAnsi="宋体"/>
                <w:color w:val="auto"/>
                <w:szCs w:val="21"/>
                <w:highlight w:val="none"/>
              </w:rPr>
              <w:t>很</w:t>
            </w:r>
            <w:r>
              <w:rPr>
                <w:rFonts w:ascii="宋体" w:hAnsi="宋体"/>
                <w:color w:val="auto"/>
                <w:szCs w:val="21"/>
                <w:highlight w:val="none"/>
              </w:rPr>
              <w:t>清晰、切实可行程度</w:t>
            </w:r>
            <w:r>
              <w:rPr>
                <w:rFonts w:hint="eastAsia" w:ascii="宋体" w:hAnsi="宋体"/>
                <w:color w:val="auto"/>
                <w:szCs w:val="21"/>
                <w:highlight w:val="none"/>
              </w:rPr>
              <w:t>很高，</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2.4-3</w:t>
            </w:r>
            <w:r>
              <w:rPr>
                <w:rStyle w:val="9"/>
                <w:rFonts w:hint="eastAsia" w:ascii="宋体" w:hAnsi="宋体" w:eastAsia="宋体"/>
                <w:color w:val="auto"/>
                <w:sz w:val="21"/>
                <w:szCs w:val="21"/>
                <w:highlight w:val="none"/>
              </w:rPr>
              <w:t>分（满分分值的80%~100%）；</w:t>
            </w:r>
          </w:p>
          <w:p>
            <w:pPr>
              <w:spacing w:line="276" w:lineRule="auto"/>
              <w:rPr>
                <w:rFonts w:hint="eastAsia" w:ascii="宋体" w:hAnsi="宋体"/>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对</w:t>
            </w:r>
            <w:r>
              <w:rPr>
                <w:rFonts w:hint="eastAsia" w:ascii="宋体" w:hAnsi="宋体"/>
                <w:color w:val="auto"/>
                <w:szCs w:val="21"/>
                <w:highlight w:val="none"/>
              </w:rPr>
              <w:t>以工代赈和吸纳沿线养护道班、乡村工匠参与农村公路施工和养护管理方案</w:t>
            </w:r>
            <w:r>
              <w:rPr>
                <w:rFonts w:ascii="宋体" w:hAnsi="宋体"/>
                <w:color w:val="auto"/>
                <w:szCs w:val="21"/>
                <w:highlight w:val="none"/>
              </w:rPr>
              <w:t>描述准确程度和总体思路</w:t>
            </w:r>
            <w:r>
              <w:rPr>
                <w:rFonts w:hint="eastAsia" w:ascii="宋体" w:hAnsi="宋体"/>
                <w:color w:val="auto"/>
                <w:szCs w:val="21"/>
                <w:highlight w:val="none"/>
              </w:rPr>
              <w:t>较为</w:t>
            </w:r>
            <w:r>
              <w:rPr>
                <w:rFonts w:ascii="宋体" w:hAnsi="宋体"/>
                <w:color w:val="auto"/>
                <w:szCs w:val="21"/>
                <w:highlight w:val="none"/>
              </w:rPr>
              <w:t>清晰、</w:t>
            </w:r>
            <w:r>
              <w:rPr>
                <w:rFonts w:hint="eastAsia" w:ascii="宋体" w:hAnsi="宋体"/>
                <w:color w:val="auto"/>
                <w:szCs w:val="21"/>
                <w:highlight w:val="none"/>
              </w:rPr>
              <w:t>基本可行，</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1.8-2.4</w:t>
            </w:r>
            <w:r>
              <w:rPr>
                <w:rStyle w:val="9"/>
                <w:rFonts w:hint="eastAsia" w:ascii="宋体" w:hAnsi="宋体" w:eastAsia="宋体"/>
                <w:color w:val="auto"/>
                <w:sz w:val="21"/>
                <w:szCs w:val="21"/>
                <w:highlight w:val="none"/>
              </w:rPr>
              <w:t>分（满分分值的60%~80%）；</w:t>
            </w:r>
          </w:p>
          <w:p>
            <w:pPr>
              <w:spacing w:line="276" w:lineRule="auto"/>
              <w:rPr>
                <w:rFonts w:hint="eastAsia" w:ascii="宋体" w:hAnsi="宋体"/>
                <w:color w:val="auto"/>
                <w:szCs w:val="21"/>
                <w:highlight w:val="none"/>
              </w:rPr>
            </w:pPr>
            <w:r>
              <w:rPr>
                <w:rFonts w:hint="eastAsia" w:ascii="宋体" w:hAnsi="宋体"/>
                <w:color w:val="auto"/>
                <w:szCs w:val="21"/>
                <w:highlight w:val="none"/>
              </w:rPr>
              <w:t>（3）</w:t>
            </w:r>
            <w:r>
              <w:rPr>
                <w:rStyle w:val="9"/>
                <w:rFonts w:hint="eastAsia" w:ascii="宋体" w:hAnsi="宋体" w:eastAsia="宋体"/>
                <w:color w:val="auto"/>
                <w:sz w:val="21"/>
                <w:szCs w:val="21"/>
                <w:highlight w:val="none"/>
              </w:rPr>
              <w:t>一般但不被评定为不响应的, 起评分</w:t>
            </w:r>
            <w:r>
              <w:rPr>
                <w:rStyle w:val="9"/>
                <w:rFonts w:hint="eastAsia" w:ascii="宋体" w:hAnsi="宋体" w:eastAsia="宋体"/>
                <w:color w:val="auto"/>
                <w:sz w:val="21"/>
                <w:szCs w:val="21"/>
                <w:highlight w:val="none"/>
                <w:u w:val="single"/>
                <w:lang w:val="en-US" w:eastAsia="zh-CN"/>
              </w:rPr>
              <w:t>1.8</w:t>
            </w:r>
            <w:r>
              <w:rPr>
                <w:rStyle w:val="9"/>
                <w:rFonts w:ascii="宋体" w:hAnsi="宋体" w:eastAsia="宋体"/>
                <w:color w:val="auto"/>
                <w:sz w:val="21"/>
                <w:szCs w:val="21"/>
                <w:highlight w:val="none"/>
              </w:rPr>
              <w:t>分</w:t>
            </w:r>
            <w:r>
              <w:rPr>
                <w:rStyle w:val="9"/>
                <w:rFonts w:hint="eastAsia" w:ascii="宋体" w:hAnsi="宋体" w:eastAsia="宋体"/>
                <w:color w:val="auto"/>
                <w:sz w:val="21"/>
                <w:szCs w:val="21"/>
                <w:highlight w:val="none"/>
              </w:rPr>
              <w:t>（满分分值的60%）。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2" w:hRule="atLeast"/>
        </w:trPr>
        <w:tc>
          <w:tcPr>
            <w:tcW w:w="821" w:type="dxa"/>
            <w:vMerge w:val="continue"/>
            <w:tcBorders>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154" w:type="dxa"/>
            <w:vMerge w:val="continue"/>
            <w:tcBorders>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1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施工组织设计方案（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分）</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Style w:val="9"/>
                <w:rFonts w:ascii="宋体" w:hAnsi="宋体" w:eastAsia="宋体"/>
                <w:color w:val="auto"/>
                <w:highlight w:val="none"/>
              </w:rPr>
            </w:pPr>
            <w:r>
              <w:rPr>
                <w:rStyle w:val="9"/>
                <w:rFonts w:hint="eastAsia" w:ascii="宋体" w:hAnsi="宋体" w:eastAsia="宋体"/>
                <w:color w:val="auto"/>
                <w:highlight w:val="none"/>
              </w:rPr>
              <w:t>工期保证体系及保证措施</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right="-107" w:rightChars="-51"/>
              <w:rPr>
                <w:rStyle w:val="9"/>
                <w:rFonts w:ascii="宋体" w:hAnsi="宋体" w:eastAsia="宋体"/>
                <w:color w:val="auto"/>
                <w:highlight w:val="none"/>
              </w:rPr>
            </w:pPr>
            <w:r>
              <w:rPr>
                <w:rFonts w:hint="eastAsia" w:ascii="宋体" w:hAnsi="宋体"/>
                <w:color w:val="auto"/>
                <w:szCs w:val="21"/>
                <w:highlight w:val="none"/>
                <w:u w:val="single"/>
                <w:lang w:val="en-US" w:eastAsia="zh-CN"/>
              </w:rPr>
              <w:t>3</w:t>
            </w:r>
            <w:r>
              <w:rPr>
                <w:rFonts w:hint="eastAsia" w:ascii="宋体" w:hAnsi="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tabs>
                <w:tab w:val="left" w:pos="380"/>
                <w:tab w:val="left" w:pos="840"/>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w:t>
            </w:r>
            <w:r>
              <w:rPr>
                <w:rStyle w:val="9"/>
                <w:rFonts w:ascii="宋体" w:hAnsi="宋体" w:eastAsia="宋体"/>
                <w:color w:val="auto"/>
                <w:sz w:val="21"/>
                <w:szCs w:val="21"/>
                <w:highlight w:val="none"/>
              </w:rPr>
              <w:t>1）</w:t>
            </w:r>
            <w:r>
              <w:rPr>
                <w:rStyle w:val="9"/>
                <w:rFonts w:hint="eastAsia" w:ascii="宋体" w:hAnsi="宋体" w:eastAsia="宋体"/>
                <w:color w:val="auto"/>
                <w:sz w:val="21"/>
                <w:szCs w:val="21"/>
                <w:highlight w:val="none"/>
              </w:rPr>
              <w:t>工期保证体系及保证措施科学、充分，能有效处理各种突发问题的</w:t>
            </w:r>
            <w:r>
              <w:rPr>
                <w:rStyle w:val="9"/>
                <w:rFonts w:ascii="宋体" w:hAnsi="宋体" w:eastAsia="宋体"/>
                <w:color w:val="auto"/>
                <w:sz w:val="21"/>
                <w:szCs w:val="21"/>
                <w:highlight w:val="none"/>
              </w:rPr>
              <w:t>，计划</w:t>
            </w:r>
            <w:r>
              <w:rPr>
                <w:rStyle w:val="9"/>
                <w:rFonts w:hint="eastAsia" w:ascii="宋体" w:hAnsi="宋体" w:eastAsia="宋体"/>
                <w:color w:val="auto"/>
                <w:sz w:val="21"/>
                <w:szCs w:val="21"/>
                <w:highlight w:val="none"/>
              </w:rPr>
              <w:t>科学合理</w:t>
            </w:r>
            <w:r>
              <w:rPr>
                <w:rStyle w:val="9"/>
                <w:rFonts w:ascii="宋体" w:hAnsi="宋体" w:eastAsia="宋体"/>
                <w:color w:val="auto"/>
                <w:sz w:val="21"/>
                <w:szCs w:val="21"/>
                <w:highlight w:val="none"/>
              </w:rPr>
              <w:t>，</w:t>
            </w:r>
            <w:r>
              <w:rPr>
                <w:rStyle w:val="9"/>
                <w:rFonts w:hint="eastAsia" w:ascii="宋体" w:hAnsi="宋体" w:eastAsia="宋体"/>
                <w:color w:val="auto"/>
                <w:sz w:val="21"/>
                <w:szCs w:val="21"/>
                <w:highlight w:val="none"/>
              </w:rPr>
              <w:t>可操作性</w:t>
            </w:r>
            <w:r>
              <w:rPr>
                <w:rStyle w:val="9"/>
                <w:rFonts w:ascii="宋体" w:hAnsi="宋体" w:eastAsia="宋体"/>
                <w:color w:val="auto"/>
                <w:sz w:val="21"/>
                <w:szCs w:val="21"/>
                <w:highlight w:val="none"/>
              </w:rPr>
              <w:t>高，得</w:t>
            </w:r>
            <w:r>
              <w:rPr>
                <w:rStyle w:val="9"/>
                <w:rFonts w:hint="eastAsia" w:ascii="宋体" w:hAnsi="宋体" w:eastAsia="宋体"/>
                <w:color w:val="auto"/>
                <w:sz w:val="21"/>
                <w:szCs w:val="21"/>
                <w:highlight w:val="none"/>
                <w:u w:val="single"/>
                <w:lang w:val="en-US" w:eastAsia="zh-CN"/>
              </w:rPr>
              <w:t>2.4-3</w:t>
            </w:r>
            <w:r>
              <w:rPr>
                <w:rStyle w:val="9"/>
                <w:rFonts w:hint="eastAsia" w:ascii="宋体" w:hAnsi="宋体" w:eastAsia="宋体"/>
                <w:color w:val="auto"/>
                <w:sz w:val="21"/>
                <w:szCs w:val="21"/>
                <w:highlight w:val="none"/>
              </w:rPr>
              <w:t>分（满分分值的80%~100%）；</w:t>
            </w:r>
          </w:p>
          <w:p>
            <w:pPr>
              <w:tabs>
                <w:tab w:val="left" w:pos="380"/>
                <w:tab w:val="left" w:pos="840"/>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（2）工期保证体系及保证措施基本可行，内容较为充实、全面的，得</w:t>
            </w:r>
            <w:r>
              <w:rPr>
                <w:rStyle w:val="9"/>
                <w:rFonts w:hint="eastAsia" w:ascii="宋体" w:hAnsi="宋体" w:eastAsia="宋体"/>
                <w:color w:val="auto"/>
                <w:sz w:val="21"/>
                <w:szCs w:val="21"/>
                <w:highlight w:val="none"/>
                <w:u w:val="single"/>
                <w:lang w:val="en-US" w:eastAsia="zh-CN"/>
              </w:rPr>
              <w:t>1.8-2.4</w:t>
            </w:r>
            <w:r>
              <w:rPr>
                <w:rStyle w:val="9"/>
                <w:rFonts w:hint="eastAsia" w:ascii="宋体" w:hAnsi="宋体" w:eastAsia="宋体"/>
                <w:color w:val="auto"/>
                <w:sz w:val="21"/>
                <w:szCs w:val="21"/>
                <w:highlight w:val="none"/>
              </w:rPr>
              <w:t>分（满分分值的60%~80%）；</w:t>
            </w:r>
          </w:p>
          <w:p>
            <w:pPr>
              <w:tabs>
                <w:tab w:val="left" w:pos="380"/>
                <w:tab w:val="left" w:pos="840"/>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（3）一般但不被评定为不响应的,起评分</w:t>
            </w:r>
            <w:r>
              <w:rPr>
                <w:rStyle w:val="9"/>
                <w:rFonts w:hint="eastAsia" w:ascii="宋体" w:hAnsi="宋体" w:eastAsia="宋体"/>
                <w:color w:val="auto"/>
                <w:sz w:val="21"/>
                <w:szCs w:val="21"/>
                <w:highlight w:val="none"/>
                <w:u w:val="single"/>
                <w:lang w:val="en-US" w:eastAsia="zh-CN"/>
              </w:rPr>
              <w:t>1.8</w:t>
            </w:r>
            <w:r>
              <w:rPr>
                <w:rStyle w:val="9"/>
                <w:rFonts w:ascii="宋体" w:hAnsi="宋体" w:eastAsia="宋体"/>
                <w:color w:val="auto"/>
                <w:sz w:val="21"/>
                <w:szCs w:val="21"/>
                <w:highlight w:val="none"/>
              </w:rPr>
              <w:t>分</w:t>
            </w:r>
            <w:r>
              <w:rPr>
                <w:rStyle w:val="9"/>
                <w:rFonts w:hint="eastAsia" w:ascii="宋体" w:hAnsi="宋体" w:eastAsia="宋体"/>
                <w:color w:val="auto"/>
                <w:sz w:val="21"/>
                <w:szCs w:val="21"/>
                <w:highlight w:val="none"/>
              </w:rPr>
              <w:t>（满分分值的60%）。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1" w:type="dxa"/>
            <w:vMerge w:val="continue"/>
            <w:tcBorders>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154" w:type="dxa"/>
            <w:vMerge w:val="continue"/>
            <w:tcBorders>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1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质量、安全保证体系及保证措施</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Style w:val="9"/>
                <w:rFonts w:ascii="宋体" w:hAnsi="宋体" w:eastAsia="宋体"/>
                <w:color w:val="auto"/>
                <w:sz w:val="21"/>
                <w:szCs w:val="21"/>
                <w:highlight w:val="none"/>
              </w:rPr>
            </w:pPr>
            <w:r>
              <w:rPr>
                <w:rFonts w:hint="eastAsia" w:ascii="宋体" w:hAnsi="宋体"/>
                <w:color w:val="auto"/>
                <w:szCs w:val="21"/>
                <w:highlight w:val="none"/>
                <w:u w:val="single"/>
                <w:lang w:val="en-US" w:eastAsia="zh-CN"/>
              </w:rPr>
              <w:t>4</w:t>
            </w:r>
            <w:r>
              <w:rPr>
                <w:rFonts w:hint="eastAsia" w:ascii="宋体" w:hAnsi="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（1）对本项目质量及安全控制有透彻的认识，对施工过程中可能发生的各种质量和安全问题有深刻的认识和合理的预见，并有相应的应对措施，应对措施应科学、充分，能有效处理各种突发问题的，</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3.2-4</w:t>
            </w:r>
            <w:r>
              <w:rPr>
                <w:rStyle w:val="9"/>
                <w:rFonts w:hint="eastAsia" w:ascii="宋体" w:hAnsi="宋体" w:eastAsia="宋体"/>
                <w:color w:val="auto"/>
                <w:sz w:val="21"/>
                <w:szCs w:val="21"/>
                <w:highlight w:val="none"/>
                <w:u w:val="single"/>
              </w:rPr>
              <w:t xml:space="preserve"> </w:t>
            </w:r>
            <w:r>
              <w:rPr>
                <w:rStyle w:val="9"/>
                <w:rFonts w:hint="eastAsia" w:ascii="宋体" w:hAnsi="宋体" w:eastAsia="宋体"/>
                <w:color w:val="auto"/>
                <w:sz w:val="21"/>
                <w:szCs w:val="21"/>
                <w:highlight w:val="none"/>
              </w:rPr>
              <w:t>分（满分分值的80%~100%）；</w:t>
            </w:r>
          </w:p>
          <w:p>
            <w:pPr>
              <w:tabs>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（2）对本项目质量及安全控制有一定的认识，基本能合理的预见施工过程中可能发生的各种质量和安全问题，并有相应的应对措施，应对措施较为科学、充分，基本能有效处理各种质量和安全问题的，得</w:t>
            </w:r>
            <w:r>
              <w:rPr>
                <w:rStyle w:val="9"/>
                <w:rFonts w:hint="eastAsia" w:ascii="宋体" w:hAnsi="宋体" w:eastAsia="宋体"/>
                <w:color w:val="auto"/>
                <w:sz w:val="21"/>
                <w:szCs w:val="21"/>
                <w:highlight w:val="none"/>
                <w:u w:val="single"/>
                <w:lang w:val="en-US" w:eastAsia="zh-CN"/>
              </w:rPr>
              <w:t>2.4-3.2</w:t>
            </w:r>
            <w:r>
              <w:rPr>
                <w:rStyle w:val="9"/>
                <w:rFonts w:hint="eastAsia" w:ascii="宋体" w:hAnsi="宋体" w:eastAsia="宋体"/>
                <w:color w:val="auto"/>
                <w:sz w:val="21"/>
                <w:szCs w:val="21"/>
                <w:highlight w:val="none"/>
              </w:rPr>
              <w:t>分（满分分值的60%~80%）；</w:t>
            </w:r>
          </w:p>
          <w:p>
            <w:pPr>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（3）一般但不被评定为不响应的, 起评分</w:t>
            </w:r>
            <w:r>
              <w:rPr>
                <w:rStyle w:val="9"/>
                <w:rFonts w:hint="eastAsia" w:ascii="宋体" w:hAnsi="宋体" w:eastAsia="宋体"/>
                <w:color w:val="auto"/>
                <w:sz w:val="21"/>
                <w:szCs w:val="21"/>
                <w:highlight w:val="none"/>
                <w:u w:val="single"/>
                <w:lang w:val="en-US" w:eastAsia="zh-CN"/>
              </w:rPr>
              <w:t>2.4</w:t>
            </w:r>
            <w:r>
              <w:rPr>
                <w:rStyle w:val="9"/>
                <w:rFonts w:ascii="宋体" w:hAnsi="宋体" w:eastAsia="宋体"/>
                <w:color w:val="auto"/>
                <w:sz w:val="21"/>
                <w:szCs w:val="21"/>
                <w:highlight w:val="none"/>
              </w:rPr>
              <w:t>分</w:t>
            </w:r>
            <w:r>
              <w:rPr>
                <w:rStyle w:val="9"/>
                <w:rFonts w:hint="eastAsia" w:ascii="宋体" w:hAnsi="宋体" w:eastAsia="宋体"/>
                <w:color w:val="auto"/>
                <w:sz w:val="21"/>
                <w:szCs w:val="21"/>
                <w:highlight w:val="none"/>
              </w:rPr>
              <w:t>（满分分值的60%）。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9" w:hRule="atLeast"/>
        </w:trPr>
        <w:tc>
          <w:tcPr>
            <w:tcW w:w="821" w:type="dxa"/>
            <w:vMerge w:val="continue"/>
            <w:tcBorders>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154" w:type="dxa"/>
            <w:vMerge w:val="continue"/>
            <w:tcBorders>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1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环境保护、文明施工保证体系及措施</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Style w:val="9"/>
                <w:rFonts w:ascii="宋体" w:hAnsi="宋体" w:eastAsia="宋体"/>
                <w:color w:val="auto"/>
                <w:sz w:val="21"/>
                <w:szCs w:val="21"/>
                <w:highlight w:val="none"/>
              </w:rPr>
            </w:pPr>
            <w:r>
              <w:rPr>
                <w:rFonts w:hint="eastAsia" w:ascii="宋体" w:hAnsi="宋体"/>
                <w:color w:val="auto"/>
                <w:szCs w:val="21"/>
                <w:highlight w:val="none"/>
                <w:u w:val="single"/>
                <w:lang w:val="en-US" w:eastAsia="zh-CN"/>
              </w:rPr>
              <w:t>4</w:t>
            </w:r>
            <w:r>
              <w:rPr>
                <w:rFonts w:hint="eastAsia" w:ascii="宋体" w:hAnsi="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（1）对本项目的环保及文明施工等工作有独到的见解，能制定科学的措施，施工做到符合环保的要求，对文明施工有相应的措施，能创造良好的施工环境的，</w:t>
            </w:r>
            <w:r>
              <w:rPr>
                <w:rStyle w:val="9"/>
                <w:rFonts w:ascii="宋体" w:hAnsi="宋体" w:eastAsia="宋体"/>
                <w:color w:val="auto"/>
                <w:sz w:val="21"/>
                <w:szCs w:val="21"/>
                <w:highlight w:val="none"/>
              </w:rPr>
              <w:t>得</w:t>
            </w:r>
            <w:r>
              <w:rPr>
                <w:rStyle w:val="9"/>
                <w:rFonts w:hint="eastAsia" w:ascii="宋体" w:hAnsi="宋体" w:eastAsia="宋体"/>
                <w:color w:val="auto"/>
                <w:sz w:val="21"/>
                <w:szCs w:val="21"/>
                <w:highlight w:val="none"/>
                <w:u w:val="single"/>
                <w:lang w:val="en-US" w:eastAsia="zh-CN"/>
              </w:rPr>
              <w:t>3.2-4</w:t>
            </w:r>
            <w:r>
              <w:rPr>
                <w:rStyle w:val="9"/>
                <w:rFonts w:hint="eastAsia" w:ascii="宋体" w:hAnsi="宋体" w:eastAsia="宋体"/>
                <w:color w:val="auto"/>
                <w:sz w:val="21"/>
                <w:szCs w:val="21"/>
                <w:highlight w:val="none"/>
              </w:rPr>
              <w:t>分（满分分值的80%~100%）；</w:t>
            </w:r>
          </w:p>
          <w:p>
            <w:pPr>
              <w:tabs>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w:t>
            </w:r>
            <w:r>
              <w:rPr>
                <w:rStyle w:val="9"/>
                <w:rFonts w:ascii="宋体" w:hAnsi="宋体" w:eastAsia="宋体"/>
                <w:color w:val="auto"/>
                <w:sz w:val="21"/>
                <w:szCs w:val="21"/>
                <w:highlight w:val="none"/>
              </w:rPr>
              <w:t>2</w:t>
            </w:r>
            <w:r>
              <w:rPr>
                <w:rStyle w:val="9"/>
                <w:rFonts w:hint="eastAsia" w:ascii="宋体" w:hAnsi="宋体" w:eastAsia="宋体"/>
                <w:color w:val="auto"/>
                <w:sz w:val="21"/>
                <w:szCs w:val="21"/>
                <w:highlight w:val="none"/>
              </w:rPr>
              <w:t>）对工程环保及文明施工等工作制定有相关的措施，基本能满足本项目环保及文明施工的要求的，得</w:t>
            </w:r>
            <w:r>
              <w:rPr>
                <w:rStyle w:val="9"/>
                <w:rFonts w:hint="eastAsia" w:ascii="宋体" w:hAnsi="宋体" w:eastAsia="宋体"/>
                <w:color w:val="auto"/>
                <w:sz w:val="21"/>
                <w:szCs w:val="21"/>
                <w:highlight w:val="none"/>
                <w:u w:val="single"/>
                <w:lang w:val="en-US" w:eastAsia="zh-CN"/>
              </w:rPr>
              <w:t>2.4-3.2</w:t>
            </w:r>
            <w:r>
              <w:rPr>
                <w:rStyle w:val="9"/>
                <w:rFonts w:hint="eastAsia" w:ascii="宋体" w:hAnsi="宋体" w:eastAsia="宋体"/>
                <w:color w:val="auto"/>
                <w:sz w:val="21"/>
                <w:szCs w:val="21"/>
                <w:highlight w:val="none"/>
              </w:rPr>
              <w:t>分（满分分值的60%~80%）；</w:t>
            </w:r>
          </w:p>
          <w:p>
            <w:pPr>
              <w:tabs>
                <w:tab w:val="left" w:pos="1260"/>
              </w:tabs>
              <w:snapToGrid w:val="0"/>
              <w:spacing w:line="276" w:lineRule="auto"/>
              <w:ind w:right="122" w:rightChars="58"/>
              <w:rPr>
                <w:rStyle w:val="9"/>
                <w:rFonts w:ascii="宋体" w:hAnsi="宋体" w:eastAsia="宋体"/>
                <w:color w:val="auto"/>
                <w:sz w:val="21"/>
                <w:szCs w:val="21"/>
                <w:highlight w:val="none"/>
              </w:rPr>
            </w:pPr>
            <w:r>
              <w:rPr>
                <w:rStyle w:val="9"/>
                <w:rFonts w:hint="eastAsia" w:ascii="宋体" w:hAnsi="宋体" w:eastAsia="宋体"/>
                <w:color w:val="auto"/>
                <w:sz w:val="21"/>
                <w:szCs w:val="21"/>
                <w:highlight w:val="none"/>
              </w:rPr>
              <w:t>（3）一般但不被评定为不响应的, 起评分</w:t>
            </w:r>
            <w:r>
              <w:rPr>
                <w:rStyle w:val="9"/>
                <w:rFonts w:hint="eastAsia" w:ascii="宋体" w:hAnsi="宋体" w:eastAsia="宋体"/>
                <w:color w:val="auto"/>
                <w:sz w:val="21"/>
                <w:szCs w:val="21"/>
                <w:highlight w:val="none"/>
                <w:u w:val="single"/>
                <w:lang w:val="en-US" w:eastAsia="zh-CN"/>
              </w:rPr>
              <w:t>2.4</w:t>
            </w:r>
            <w:r>
              <w:rPr>
                <w:rStyle w:val="9"/>
                <w:rFonts w:ascii="宋体" w:hAnsi="宋体" w:eastAsia="宋体"/>
                <w:color w:val="auto"/>
                <w:sz w:val="21"/>
                <w:szCs w:val="21"/>
                <w:highlight w:val="none"/>
              </w:rPr>
              <w:t>分</w:t>
            </w:r>
            <w:r>
              <w:rPr>
                <w:rStyle w:val="9"/>
                <w:rFonts w:hint="eastAsia" w:ascii="宋体" w:hAnsi="宋体" w:eastAsia="宋体"/>
                <w:color w:val="auto"/>
                <w:sz w:val="21"/>
                <w:szCs w:val="21"/>
                <w:highlight w:val="none"/>
              </w:rPr>
              <w:t>（满分分值的60%）。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21" w:type="dxa"/>
            <w:tcBorders>
              <w:top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2.2.4（2）</w:t>
            </w:r>
          </w:p>
        </w:tc>
        <w:tc>
          <w:tcPr>
            <w:tcW w:w="1154" w:type="dxa"/>
            <w:tcBorders>
              <w:top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3187"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满足资格审查要求的得满分。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21" w:type="dxa"/>
            <w:tcBorders>
              <w:top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2.2.4（3）</w:t>
            </w:r>
          </w:p>
        </w:tc>
        <w:tc>
          <w:tcPr>
            <w:tcW w:w="1154" w:type="dxa"/>
            <w:tcBorders>
              <w:top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评标价</w:t>
            </w:r>
          </w:p>
        </w:tc>
        <w:tc>
          <w:tcPr>
            <w:tcW w:w="3187"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50</w:t>
            </w:r>
            <w:r>
              <w:rPr>
                <w:rFonts w:hint="eastAsia" w:ascii="宋体" w:hAnsi="宋体" w:cs="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olor w:val="auto"/>
                <w:szCs w:val="21"/>
                <w:highlight w:val="none"/>
              </w:rPr>
            </w:pPr>
            <w:r>
              <w:rPr>
                <w:rFonts w:ascii="宋体" w:hAnsi="宋体"/>
                <w:color w:val="auto"/>
                <w:szCs w:val="21"/>
                <w:highlight w:val="none"/>
              </w:rPr>
              <w:t>评标价得分计算公式示例：</w:t>
            </w:r>
          </w:p>
          <w:p>
            <w:pPr>
              <w:spacing w:line="276" w:lineRule="auto"/>
              <w:rPr>
                <w:rFonts w:hint="eastAsia" w:ascii="宋体" w:hAnsi="宋体"/>
                <w:color w:val="auto"/>
                <w:szCs w:val="21"/>
                <w:highlight w:val="none"/>
              </w:rPr>
            </w:pPr>
            <w:r>
              <w:rPr>
                <w:rFonts w:ascii="宋体" w:hAnsi="宋体"/>
                <w:color w:val="auto"/>
                <w:szCs w:val="21"/>
                <w:highlight w:val="none"/>
              </w:rPr>
              <w:t>(1)如果投标人的评标价&gt;评标基准价，则评标价得分＝F</w:t>
            </w:r>
            <w:r>
              <w:rPr>
                <w:rFonts w:hint="eastAsia" w:ascii="宋体" w:hAnsi="宋体"/>
                <w:color w:val="auto"/>
                <w:szCs w:val="21"/>
                <w:highlight w:val="none"/>
              </w:rPr>
              <w:t>-</w:t>
            </w:r>
            <w:r>
              <w:rPr>
                <w:rFonts w:ascii="宋体" w:hAnsi="宋体"/>
                <w:color w:val="auto"/>
                <w:szCs w:val="21"/>
                <w:highlight w:val="none"/>
              </w:rPr>
              <w:t xml:space="preserve">偏差率×100× </w:t>
            </w:r>
            <w:r>
              <w:rPr>
                <w:rFonts w:hint="eastAsia" w:ascii="宋体" w:hAnsi="宋体"/>
                <w:color w:val="auto"/>
                <w:szCs w:val="21"/>
                <w:highlight w:val="none"/>
              </w:rPr>
              <w:t>D1</w:t>
            </w:r>
            <w:r>
              <w:rPr>
                <w:rFonts w:ascii="宋体" w:hAnsi="宋体"/>
                <w:color w:val="auto"/>
                <w:szCs w:val="21"/>
                <w:highlight w:val="none"/>
              </w:rPr>
              <w:t>；</w:t>
            </w:r>
            <w:r>
              <w:rPr>
                <w:rFonts w:hint="eastAsia" w:ascii="宋体" w:hAnsi="宋体"/>
                <w:color w:val="auto"/>
                <w:szCs w:val="21"/>
                <w:highlight w:val="none"/>
              </w:rPr>
              <w:t>D1取 1.5 ；</w:t>
            </w:r>
          </w:p>
          <w:p>
            <w:pPr>
              <w:spacing w:line="276" w:lineRule="auto"/>
              <w:rPr>
                <w:rFonts w:hint="eastAsia" w:ascii="宋体" w:hAnsi="宋体"/>
                <w:color w:val="auto"/>
                <w:szCs w:val="21"/>
                <w:highlight w:val="none"/>
              </w:rPr>
            </w:pPr>
            <w:r>
              <w:rPr>
                <w:rFonts w:ascii="宋体" w:hAnsi="宋体"/>
                <w:color w:val="auto"/>
                <w:szCs w:val="21"/>
                <w:highlight w:val="none"/>
              </w:rPr>
              <w:t>(2)如果投标人的评标价≤评标基准价，则评标价得分＝F＋偏差率× 100×</w:t>
            </w:r>
            <w:r>
              <w:rPr>
                <w:rFonts w:hint="eastAsia" w:ascii="宋体" w:hAnsi="宋体"/>
                <w:color w:val="auto"/>
                <w:szCs w:val="21"/>
                <w:highlight w:val="none"/>
              </w:rPr>
              <w:t>D2；D2＝0.5</w:t>
            </w:r>
            <w:r>
              <w:rPr>
                <w:rFonts w:ascii="宋体" w:hAnsi="宋体"/>
                <w:color w:val="auto"/>
                <w:szCs w:val="21"/>
                <w:highlight w:val="none"/>
              </w:rPr>
              <w:t>。</w:t>
            </w:r>
          </w:p>
          <w:p>
            <w:pPr>
              <w:spacing w:line="276" w:lineRule="auto"/>
              <w:rPr>
                <w:rFonts w:ascii="宋体" w:hAnsi="宋体"/>
                <w:color w:val="auto"/>
                <w:szCs w:val="21"/>
                <w:highlight w:val="none"/>
              </w:rPr>
            </w:pPr>
            <w:r>
              <w:rPr>
                <w:rFonts w:hint="eastAsia" w:ascii="宋体" w:hAnsi="宋体"/>
                <w:color w:val="auto"/>
                <w:szCs w:val="21"/>
                <w:highlight w:val="none"/>
              </w:rPr>
              <w:t>其中：原则上D1是D2的2或3倍。</w:t>
            </w:r>
          </w:p>
          <w:p>
            <w:pPr>
              <w:spacing w:line="276" w:lineRule="auto"/>
              <w:contextualSpacing/>
              <w:rPr>
                <w:rFonts w:hint="eastAsia" w:ascii="宋体" w:hAnsi="宋体" w:cs="宋体"/>
                <w:color w:val="auto"/>
                <w:szCs w:val="21"/>
                <w:highlight w:val="none"/>
              </w:rPr>
            </w:pPr>
            <w:r>
              <w:rPr>
                <w:rFonts w:hint="eastAsia" w:ascii="宋体" w:hAnsi="宋体"/>
                <w:color w:val="auto"/>
                <w:szCs w:val="21"/>
                <w:highlight w:val="none"/>
              </w:rPr>
              <w:t>注：评标价得分四舍五入至小数点后四位。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5" w:hRule="atLeast"/>
        </w:trPr>
        <w:tc>
          <w:tcPr>
            <w:tcW w:w="821" w:type="dxa"/>
            <w:vMerge w:val="restart"/>
            <w:tcBorders>
              <w:top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2.2.4（4）</w:t>
            </w:r>
          </w:p>
        </w:tc>
        <w:tc>
          <w:tcPr>
            <w:tcW w:w="1154" w:type="dxa"/>
            <w:vMerge w:val="restart"/>
            <w:tcBorders>
              <w:top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其他因素（</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rPr>
              <w:t>分）</w:t>
            </w:r>
          </w:p>
        </w:tc>
        <w:tc>
          <w:tcPr>
            <w:tcW w:w="3187" w:type="dxa"/>
            <w:gridSpan w:val="3"/>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技术能力</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ight="105" w:rightChars="5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（1）投标人获得与项目施工有关的国家级工法、专利（发明专利或实用新型专利）、国家级科学技术进步奖、鲁班奖、詹天佑奖，主编或参编过国家标准，每项加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0.5</w:t>
            </w:r>
            <w:r>
              <w:rPr>
                <w:rFonts w:hint="eastAsia" w:ascii="宋体" w:hAnsi="宋体" w:cs="宋体"/>
                <w:color w:val="auto"/>
                <w:sz w:val="21"/>
                <w:szCs w:val="21"/>
                <w:highlight w:val="none"/>
              </w:rPr>
              <w:t>分；</w:t>
            </w:r>
          </w:p>
          <w:p>
            <w:pPr>
              <w:spacing w:line="360" w:lineRule="auto"/>
              <w:ind w:left="0" w:leftChars="0" w:right="105" w:rightChars="5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（2）投标人获得省级科学技术进步奖，主编或参编过的行业或地方（指省级）标准，每项加</w:t>
            </w:r>
            <w:r>
              <w:rPr>
                <w:rFonts w:hint="eastAsia" w:ascii="宋体" w:hAnsi="宋体" w:cs="宋体"/>
                <w:color w:val="auto"/>
                <w:sz w:val="21"/>
                <w:szCs w:val="21"/>
                <w:highlight w:val="none"/>
                <w:u w:val="single"/>
                <w:lang w:val="en-US" w:eastAsia="zh-CN"/>
              </w:rPr>
              <w:t>0.5</w:t>
            </w:r>
            <w:r>
              <w:rPr>
                <w:rFonts w:hint="eastAsia" w:ascii="宋体" w:hAnsi="宋体" w:cs="宋体"/>
                <w:color w:val="auto"/>
                <w:sz w:val="21"/>
                <w:szCs w:val="21"/>
                <w:highlight w:val="none"/>
              </w:rPr>
              <w:t>分；</w:t>
            </w:r>
          </w:p>
          <w:p>
            <w:pPr>
              <w:spacing w:line="276" w:lineRule="auto"/>
              <w:contextualSpacing/>
              <w:rPr>
                <w:rFonts w:hint="eastAsia" w:ascii="宋体" w:hAnsi="宋体" w:cs="宋体"/>
                <w:color w:val="auto"/>
                <w:szCs w:val="21"/>
                <w:highlight w:val="none"/>
              </w:rPr>
            </w:pPr>
            <w:r>
              <w:rPr>
                <w:rFonts w:hint="eastAsia" w:ascii="宋体" w:hAnsi="宋体" w:cs="宋体"/>
                <w:color w:val="auto"/>
                <w:sz w:val="21"/>
                <w:szCs w:val="21"/>
                <w:highlight w:val="none"/>
                <w:lang w:val="en-US"/>
              </w:rPr>
              <w:t>注：</w:t>
            </w:r>
            <w:r>
              <w:rPr>
                <w:rFonts w:hint="eastAsia" w:ascii="宋体" w:hAnsi="宋体" w:cs="宋体"/>
                <w:color w:val="auto"/>
                <w:sz w:val="21"/>
                <w:szCs w:val="21"/>
                <w:highlight w:val="none"/>
              </w:rPr>
              <w:t>技术能力加分最高</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rPr>
              <w:t>分，同一事项按较高分只计一次。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21" w:type="dxa"/>
            <w:vMerge w:val="continue"/>
            <w:tcBorders>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154" w:type="dxa"/>
            <w:vMerge w:val="continue"/>
            <w:tcBorders>
              <w:right w:val="single" w:color="auto" w:sz="4" w:space="0"/>
            </w:tcBorders>
            <w:noWrap w:val="0"/>
            <w:vAlign w:val="top"/>
          </w:tcPr>
          <w:p>
            <w:pPr>
              <w:spacing w:line="276" w:lineRule="auto"/>
              <w:jc w:val="center"/>
              <w:rPr>
                <w:rFonts w:hint="eastAsia" w:ascii="宋体" w:hAnsi="宋体" w:cs="宋体"/>
                <w:color w:val="auto"/>
                <w:szCs w:val="21"/>
                <w:highlight w:val="none"/>
              </w:rPr>
            </w:pPr>
          </w:p>
        </w:tc>
        <w:tc>
          <w:tcPr>
            <w:tcW w:w="3187"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类似项目业绩（</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满足资格条件（业绩最低要求）的得基本分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分，在此基础上：</w:t>
            </w:r>
          </w:p>
          <w:p>
            <w:pPr>
              <w:adjustRightInd w:val="0"/>
              <w:snapToGrid w:val="0"/>
              <w:spacing w:line="290" w:lineRule="exact"/>
              <w:ind w:firstLine="0" w:firstLineChars="0"/>
              <w:rPr>
                <w:rFonts w:ascii="宋体" w:hAnsi="宋体" w:cs="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）每累计增加</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km（尾数不计）类似工程</w:t>
            </w:r>
            <w:r>
              <w:rPr>
                <w:rFonts w:hint="eastAsia" w:ascii="宋体" w:hAnsi="宋体"/>
                <w:color w:val="auto"/>
                <w:szCs w:val="21"/>
                <w:highlight w:val="none"/>
                <w:u w:val="single"/>
              </w:rPr>
              <w:t>路基桥涵</w:t>
            </w:r>
            <w:r>
              <w:rPr>
                <w:rFonts w:hint="eastAsia" w:ascii="宋体" w:hAnsi="宋体"/>
                <w:color w:val="auto"/>
                <w:szCs w:val="21"/>
                <w:highlight w:val="none"/>
                <w:u w:val="single"/>
                <w:lang w:val="en-US" w:eastAsia="zh-CN"/>
              </w:rPr>
              <w:t>或</w:t>
            </w:r>
            <w:r>
              <w:rPr>
                <w:rFonts w:hint="eastAsia" w:ascii="宋体" w:hAnsi="宋体"/>
                <w:color w:val="auto"/>
                <w:szCs w:val="21"/>
                <w:highlight w:val="none"/>
                <w:u w:val="single"/>
              </w:rPr>
              <w:t>安全生命防护（交通安全设施）</w:t>
            </w:r>
            <w:r>
              <w:rPr>
                <w:rFonts w:hint="eastAsia" w:ascii="宋体" w:hAnsi="宋体"/>
                <w:color w:val="auto"/>
                <w:szCs w:val="21"/>
                <w:highlight w:val="none"/>
                <w:u w:val="single"/>
                <w:lang w:val="en-US" w:eastAsia="zh-CN"/>
              </w:rPr>
              <w:t>或路面</w:t>
            </w:r>
            <w:r>
              <w:rPr>
                <w:rFonts w:ascii="宋体" w:hAnsi="宋体"/>
                <w:color w:val="auto"/>
                <w:szCs w:val="21"/>
                <w:highlight w:val="none"/>
                <w:u w:val="single"/>
              </w:rPr>
              <w:t xml:space="preserve"> </w:t>
            </w:r>
            <w:r>
              <w:rPr>
                <w:rFonts w:hint="eastAsia" w:ascii="宋体" w:hAnsi="宋体"/>
                <w:color w:val="auto"/>
                <w:szCs w:val="21"/>
                <w:highlight w:val="none"/>
              </w:rPr>
              <w:t>工程</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施工总承包</w:t>
            </w:r>
            <w:r>
              <w:rPr>
                <w:rFonts w:ascii="宋体" w:hAnsi="宋体"/>
                <w:color w:val="auto"/>
                <w:szCs w:val="21"/>
                <w:highlight w:val="none"/>
                <w:u w:val="single"/>
              </w:rPr>
              <w:t xml:space="preserve"> </w:t>
            </w:r>
            <w:r>
              <w:rPr>
                <w:rFonts w:hint="eastAsia" w:ascii="宋体" w:hAnsi="宋体"/>
                <w:color w:val="auto"/>
                <w:szCs w:val="21"/>
                <w:highlight w:val="none"/>
              </w:rPr>
              <w:t>，加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分，最高加</w:t>
            </w:r>
            <w:r>
              <w:rPr>
                <w:rFonts w:hint="eastAsia" w:ascii="宋体" w:hAnsi="宋体"/>
                <w:color w:val="auto"/>
                <w:szCs w:val="21"/>
                <w:highlight w:val="none"/>
                <w:u w:val="single"/>
                <w:lang w:val="en-US" w:eastAsia="zh-CN"/>
              </w:rPr>
              <w:t>8</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2" w:hRule="atLeast"/>
        </w:trPr>
        <w:tc>
          <w:tcPr>
            <w:tcW w:w="821" w:type="dxa"/>
            <w:vMerge w:val="continue"/>
            <w:tcBorders>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1154" w:type="dxa"/>
            <w:vMerge w:val="continue"/>
            <w:tcBorders>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p>
        </w:tc>
        <w:tc>
          <w:tcPr>
            <w:tcW w:w="3187"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履约信誉（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履约情况（</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若没出现下述情形得满分；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投标文件递交截止日前1年内，投标人因公路工程（含附属设施）质量、安全、履约或招标投标问题等原因被：</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（1）交通运输部行政处罚的，扣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分/次。</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（2）广东省交通运输厅行政处罚的，扣3分/次。</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（3）项目所在地地级以上市交通运输局行政处罚的，扣1.5分/次。</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（4）广东省交通运输厅正式约谈的，扣0.1分/次。</w:t>
            </w:r>
          </w:p>
          <w:p>
            <w:pPr>
              <w:spacing w:line="276" w:lineRule="auto"/>
              <w:rPr>
                <w:rFonts w:hint="eastAsia" w:ascii="宋体" w:hAnsi="宋体" w:cs="宋体"/>
                <w:color w:val="auto"/>
                <w:sz w:val="18"/>
                <w:szCs w:val="18"/>
                <w:highlight w:val="none"/>
              </w:rPr>
            </w:pPr>
            <w:r>
              <w:rPr>
                <w:rFonts w:hint="eastAsia" w:ascii="宋体" w:hAnsi="宋体" w:cs="宋体"/>
                <w:color w:val="auto"/>
                <w:szCs w:val="21"/>
                <w:highlight w:val="none"/>
              </w:rPr>
              <w:t>同一事项同时被多个部门行政处罚或正式约谈只按最高的扣分计算1次。如果扣完本项分值，可以从总分中扣。以联合体形式投标的，若各联合体成员任何一方或均存在上述情形的，对联合体各成员进行累计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629" w:type="dxa"/>
            <w:gridSpan w:val="6"/>
            <w:tcBorders>
              <w:top w:val="single" w:color="auto" w:sz="4" w:space="0"/>
              <w:bottom w:val="single" w:color="auto" w:sz="4" w:space="0"/>
              <w:right w:val="single" w:color="auto" w:sz="4" w:space="0"/>
            </w:tcBorders>
            <w:noWrap w:val="0"/>
            <w:vAlign w:val="center"/>
          </w:tcPr>
          <w:p>
            <w:pPr>
              <w:spacing w:line="276" w:lineRule="auto"/>
              <w:rPr>
                <w:rFonts w:hint="eastAsia" w:ascii="宋体" w:hAnsi="宋体" w:cs="宋体"/>
                <w:color w:val="auto"/>
                <w:szCs w:val="21"/>
                <w:highlight w:val="none"/>
              </w:rPr>
            </w:pPr>
            <w:r>
              <w:rPr>
                <w:rFonts w:hint="eastAsia"/>
                <w:color w:val="auto"/>
                <w:szCs w:val="21"/>
                <w:highlight w:val="none"/>
              </w:rPr>
              <w:t>需要补充的其他内</w:t>
            </w:r>
            <w:r>
              <w:rPr>
                <w:rFonts w:hint="eastAsia" w:ascii="宋体" w:hAnsi="宋体"/>
                <w:color w:val="auto"/>
                <w:szCs w:val="21"/>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trPr>
        <w:tc>
          <w:tcPr>
            <w:tcW w:w="821" w:type="dxa"/>
            <w:tcBorders>
              <w:top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olor w:val="auto"/>
                <w:sz w:val="22"/>
                <w:szCs w:val="22"/>
                <w:highlight w:val="none"/>
              </w:rPr>
              <w:t>3.9</w:t>
            </w:r>
          </w:p>
        </w:tc>
        <w:tc>
          <w:tcPr>
            <w:tcW w:w="7808" w:type="dxa"/>
            <w:gridSpan w:val="5"/>
            <w:tcBorders>
              <w:top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增加3.9.6项：</w:t>
            </w:r>
          </w:p>
          <w:p>
            <w:pPr>
              <w:spacing w:line="360" w:lineRule="auto"/>
              <w:rPr>
                <w:rFonts w:hint="eastAsia"/>
                <w:color w:val="auto"/>
                <w:highlight w:val="none"/>
              </w:rPr>
            </w:pPr>
            <w:r>
              <w:rPr>
                <w:rFonts w:hint="eastAsia" w:ascii="宋体" w:hAnsi="宋体"/>
                <w:color w:val="auto"/>
                <w:szCs w:val="21"/>
                <w:highlight w:val="none"/>
              </w:rPr>
              <w:t>3.9.6</w:t>
            </w:r>
            <w:r>
              <w:rPr>
                <w:rFonts w:ascii="宋体" w:hAnsi="宋体"/>
                <w:color w:val="auto"/>
                <w:szCs w:val="21"/>
                <w:highlight w:val="none"/>
              </w:rPr>
              <w:t>推荐中标候选人方式：</w:t>
            </w:r>
            <w:r>
              <w:rPr>
                <w:rFonts w:hint="eastAsia" w:hAnsi="宋体" w:cs="宋体"/>
                <w:color w:val="auto"/>
                <w:kern w:val="0"/>
                <w:szCs w:val="21"/>
                <w:highlight w:val="none"/>
              </w:rPr>
              <w:t>（1）已被推荐为某一</w:t>
            </w:r>
            <w:r>
              <w:rPr>
                <w:rFonts w:hint="eastAsia" w:ascii="宋体" w:hAnsi="宋体"/>
                <w:color w:val="auto"/>
                <w:szCs w:val="21"/>
                <w:highlight w:val="none"/>
              </w:rPr>
              <w:t>项目包</w:t>
            </w:r>
            <w:r>
              <w:rPr>
                <w:rFonts w:hint="eastAsia" w:hAnsi="宋体" w:cs="宋体"/>
                <w:color w:val="auto"/>
                <w:kern w:val="0"/>
                <w:szCs w:val="21"/>
                <w:highlight w:val="none"/>
              </w:rPr>
              <w:t>的第一中标候选人，自动失去其在本次招标中其他</w:t>
            </w:r>
            <w:r>
              <w:rPr>
                <w:rFonts w:hint="eastAsia" w:ascii="宋体" w:hAnsi="宋体"/>
                <w:color w:val="auto"/>
                <w:szCs w:val="21"/>
                <w:highlight w:val="none"/>
              </w:rPr>
              <w:t>项目包</w:t>
            </w:r>
            <w:r>
              <w:rPr>
                <w:rFonts w:hint="eastAsia" w:hAnsi="宋体" w:cs="宋体"/>
                <w:color w:val="auto"/>
                <w:kern w:val="0"/>
                <w:szCs w:val="21"/>
                <w:highlight w:val="none"/>
              </w:rPr>
              <w:t>的中标候选人资格。（2）</w:t>
            </w:r>
            <w:r>
              <w:rPr>
                <w:rFonts w:ascii="宋体" w:hAnsi="宋体"/>
                <w:color w:val="auto"/>
                <w:szCs w:val="21"/>
                <w:highlight w:val="none"/>
              </w:rPr>
              <w:t>按</w:t>
            </w:r>
            <w:r>
              <w:rPr>
                <w:rFonts w:hint="eastAsia" w:ascii="宋体" w:hAnsi="宋体"/>
                <w:color w:val="auto"/>
                <w:szCs w:val="21"/>
                <w:highlight w:val="none"/>
              </w:rPr>
              <w:t>项目包</w:t>
            </w:r>
            <w:r>
              <w:rPr>
                <w:rFonts w:ascii="宋体" w:hAnsi="宋体"/>
                <w:color w:val="auto"/>
                <w:szCs w:val="21"/>
                <w:highlight w:val="none"/>
              </w:rPr>
              <w:t>最高投标限价由高到低顺序依次选定</w:t>
            </w:r>
            <w:r>
              <w:rPr>
                <w:rFonts w:hint="eastAsia" w:ascii="宋体" w:hAnsi="宋体"/>
                <w:color w:val="auto"/>
                <w:szCs w:val="21"/>
                <w:highlight w:val="none"/>
              </w:rPr>
              <w:t>各项目包</w:t>
            </w:r>
            <w:r>
              <w:rPr>
                <w:rFonts w:ascii="宋体" w:hAnsi="宋体"/>
                <w:color w:val="auto"/>
                <w:szCs w:val="21"/>
                <w:highlight w:val="none"/>
              </w:rPr>
              <w:t>中标候选人，如果出现投标人在多个</w:t>
            </w:r>
            <w:r>
              <w:rPr>
                <w:rFonts w:hint="eastAsia" w:ascii="宋体" w:hAnsi="宋体"/>
                <w:color w:val="auto"/>
                <w:szCs w:val="21"/>
                <w:highlight w:val="none"/>
              </w:rPr>
              <w:t>项目包</w:t>
            </w:r>
            <w:r>
              <w:rPr>
                <w:rFonts w:ascii="宋体" w:hAnsi="宋体"/>
                <w:color w:val="auto"/>
                <w:szCs w:val="21"/>
                <w:highlight w:val="none"/>
              </w:rPr>
              <w:t>的综合得分都排名第一，将确定该投标人为最高投标限价较高的</w:t>
            </w:r>
            <w:r>
              <w:rPr>
                <w:rFonts w:hint="eastAsia" w:ascii="宋体" w:hAnsi="宋体"/>
                <w:color w:val="auto"/>
                <w:szCs w:val="21"/>
                <w:highlight w:val="none"/>
              </w:rPr>
              <w:t>项目包</w:t>
            </w:r>
            <w:r>
              <w:rPr>
                <w:rFonts w:ascii="宋体" w:hAnsi="宋体"/>
                <w:color w:val="auto"/>
                <w:szCs w:val="21"/>
                <w:highlight w:val="none"/>
              </w:rPr>
              <w:t>的第一中标候选人，同时该投标人</w:t>
            </w:r>
            <w:r>
              <w:rPr>
                <w:rFonts w:hint="eastAsia" w:ascii="宋体" w:hAnsi="宋体"/>
                <w:color w:val="auto"/>
                <w:szCs w:val="21"/>
                <w:highlight w:val="none"/>
              </w:rPr>
              <w:t>自动</w:t>
            </w:r>
            <w:r>
              <w:rPr>
                <w:rFonts w:ascii="宋体" w:hAnsi="宋体"/>
                <w:color w:val="auto"/>
                <w:szCs w:val="21"/>
                <w:highlight w:val="none"/>
              </w:rPr>
              <w:t>失去</w:t>
            </w:r>
            <w:r>
              <w:rPr>
                <w:rFonts w:hint="eastAsia" w:ascii="宋体" w:hAnsi="宋体"/>
                <w:color w:val="auto"/>
                <w:szCs w:val="21"/>
                <w:highlight w:val="none"/>
              </w:rPr>
              <w:t>在本次招标中</w:t>
            </w:r>
            <w:r>
              <w:rPr>
                <w:rFonts w:ascii="宋体" w:hAnsi="宋体"/>
                <w:color w:val="auto"/>
                <w:szCs w:val="21"/>
                <w:highlight w:val="none"/>
              </w:rPr>
              <w:t>其他</w:t>
            </w:r>
            <w:r>
              <w:rPr>
                <w:rFonts w:hint="eastAsia" w:ascii="宋体" w:hAnsi="宋体"/>
                <w:color w:val="auto"/>
                <w:szCs w:val="21"/>
                <w:highlight w:val="none"/>
              </w:rPr>
              <w:t>项目包</w:t>
            </w:r>
            <w:r>
              <w:rPr>
                <w:rFonts w:ascii="宋体" w:hAnsi="宋体"/>
                <w:color w:val="auto"/>
                <w:szCs w:val="21"/>
                <w:highlight w:val="none"/>
              </w:rPr>
              <w:t>的中标候选人资格，其他</w:t>
            </w:r>
            <w:r>
              <w:rPr>
                <w:rFonts w:hint="eastAsia" w:ascii="宋体" w:hAnsi="宋体"/>
                <w:color w:val="auto"/>
                <w:szCs w:val="21"/>
                <w:highlight w:val="none"/>
              </w:rPr>
              <w:t>项目包</w:t>
            </w:r>
            <w:r>
              <w:rPr>
                <w:rFonts w:ascii="宋体" w:hAnsi="宋体"/>
                <w:color w:val="auto"/>
                <w:szCs w:val="21"/>
                <w:highlight w:val="none"/>
              </w:rPr>
              <w:t>的综合排名名次高者自动上升为中标候选人，如此类推。</w:t>
            </w: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21" w:type="dxa"/>
            <w:tcBorders>
              <w:top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auto"/>
                <w:sz w:val="22"/>
                <w:szCs w:val="22"/>
                <w:highlight w:val="none"/>
              </w:rPr>
            </w:pPr>
            <w:r>
              <w:rPr>
                <w:rStyle w:val="10"/>
                <w:rFonts w:ascii="宋体" w:hAnsi="宋体"/>
                <w:color w:val="auto"/>
                <w:sz w:val="22"/>
                <w:szCs w:val="22"/>
                <w:highlight w:val="none"/>
              </w:rPr>
              <w:t>……</w:t>
            </w:r>
          </w:p>
        </w:tc>
        <w:tc>
          <w:tcPr>
            <w:tcW w:w="7808" w:type="dxa"/>
            <w:gridSpan w:val="5"/>
            <w:tcBorders>
              <w:top w:val="single" w:color="auto" w:sz="4" w:space="0"/>
              <w:bottom w:val="single" w:color="auto" w:sz="4" w:space="0"/>
              <w:right w:val="single" w:color="auto" w:sz="4" w:space="0"/>
            </w:tcBorders>
            <w:noWrap w:val="0"/>
            <w:vAlign w:val="center"/>
          </w:tcPr>
          <w:p>
            <w:pPr>
              <w:pStyle w:val="4"/>
              <w:adjustRightInd w:val="0"/>
              <w:snapToGrid w:val="0"/>
              <w:spacing w:line="360" w:lineRule="auto"/>
              <w:ind w:right="124" w:rightChars="59"/>
              <w:jc w:val="left"/>
              <w:rPr>
                <w:rFonts w:hint="eastAsia" w:hAnsi="宋体"/>
                <w:color w:val="auto"/>
                <w:sz w:val="22"/>
                <w:szCs w:val="22"/>
                <w:highlight w:val="none"/>
                <w:lang w:val="en-US" w:eastAsia="zh-CN"/>
              </w:rPr>
            </w:pPr>
            <w:r>
              <w:rPr>
                <w:rFonts w:hint="eastAsia" w:hAnsi="宋体"/>
                <w:color w:val="auto"/>
                <w:sz w:val="22"/>
                <w:szCs w:val="22"/>
                <w:highlight w:val="none"/>
                <w:lang w:val="en-US" w:eastAsia="zh-CN"/>
              </w:rPr>
              <w:t>……</w:t>
            </w:r>
          </w:p>
        </w:tc>
      </w:tr>
    </w:tbl>
    <w:p>
      <w:pPr>
        <w:spacing w:before="240" w:line="360" w:lineRule="auto"/>
        <w:rPr>
          <w:rFonts w:hint="eastAsia" w:ascii="宋体" w:hAnsi="宋体"/>
          <w:b/>
          <w:bCs/>
          <w:color w:val="auto"/>
          <w:sz w:val="28"/>
          <w:szCs w:val="28"/>
          <w:highlight w:val="none"/>
        </w:rPr>
      </w:pPr>
      <w:r>
        <w:rPr>
          <w:rFonts w:ascii="宋体" w:hAnsi="宋体"/>
          <w:color w:val="auto"/>
          <w:highlight w:val="none"/>
        </w:rPr>
        <w:br w:type="page"/>
      </w:r>
      <w:r>
        <w:rPr>
          <w:rFonts w:hint="eastAsia" w:ascii="宋体" w:hAnsi="宋体"/>
          <w:b/>
          <w:bCs/>
          <w:color w:val="auto"/>
          <w:sz w:val="28"/>
          <w:szCs w:val="28"/>
          <w:highlight w:val="none"/>
        </w:rPr>
        <w:t>1.评标方法、组织及工作程序</w:t>
      </w:r>
    </w:p>
    <w:p>
      <w:pPr>
        <w:spacing w:before="240"/>
        <w:rPr>
          <w:rFonts w:hint="eastAsia"/>
          <w:color w:val="auto"/>
          <w:sz w:val="28"/>
          <w:szCs w:val="28"/>
          <w:highlight w:val="none"/>
        </w:rPr>
      </w:pPr>
      <w:r>
        <w:rPr>
          <w:rFonts w:hint="eastAsia" w:ascii="宋体" w:hAnsi="宋体"/>
          <w:color w:val="auto"/>
          <w:sz w:val="24"/>
          <w:highlight w:val="none"/>
        </w:rPr>
        <w:t>1.1评标方法</w:t>
      </w:r>
    </w:p>
    <w:p>
      <w:pPr>
        <w:spacing w:before="24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本次评标采用双信封的综合评分法。</w:t>
      </w:r>
      <w:r>
        <w:rPr>
          <w:rFonts w:hint="eastAsia" w:ascii="宋体" w:hAnsi="宋体"/>
          <w:color w:val="auto"/>
          <w:sz w:val="24"/>
          <w:highlight w:val="none"/>
          <w:lang w:val="zh-CN"/>
        </w:rPr>
        <w:t>评标委员会对满足招标文件实质性要求的投标文件，按照本章第2.2款规定的评分标准进行打分，并按综合得分由高到低顺序推荐中标候选人，但投标报价低于其成本的除外。综合得分相等时，评标委员会应按照评标办法前附表规定的优先次序推荐中标候选人或确定中标人。</w:t>
      </w:r>
    </w:p>
    <w:p>
      <w:pPr>
        <w:spacing w:line="360" w:lineRule="auto"/>
        <w:rPr>
          <w:rFonts w:hint="eastAsia" w:ascii="宋体" w:hAnsi="宋体"/>
          <w:color w:val="auto"/>
          <w:sz w:val="24"/>
          <w:highlight w:val="none"/>
        </w:rPr>
      </w:pPr>
      <w:r>
        <w:rPr>
          <w:rFonts w:hint="eastAsia" w:ascii="宋体" w:hAnsi="宋体"/>
          <w:color w:val="auto"/>
          <w:sz w:val="24"/>
          <w:highlight w:val="none"/>
        </w:rPr>
        <w:t>1.2评标组织</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1.2.1协助工作组</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招标人可在评标工作开始前成立协助工作组，选派熟悉招标工作、政治素质高的人员组成，协助评标委员会工作。协助工作组人员的具体数量由招标人视评标工作量确定。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招标人可以协助评标委员会开展下列工作并提供相关信息：</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（1）根据招标文件，编制评标使用的相应表格；</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（2）对投标报价进行算术性校核；</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（3）以评标标准和方法为依据，列出投标文件相对于招标文件的所有偏差，并进行归类汇总；</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（4）查询公路建设市场信用信息管理系统及相关网站，对投标人的资质、业绩、主要人员资历和目前在岗情况进行核实（如需）。</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招标人不得对投标文件作出任何评价，不得故意遗漏或者片面摘录，不得在评标委员会对所有偏差定性之前透露存有偏差的投标人名称。</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1.2.2评标委员会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评标委员会由招标人按国家、广东省等的有关规定依法组建。评标委员会的主要工作内容包括：</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（1）评标委员会开始评标工作之前，首先听取招标人、协助工作组关于工程情况和辅助工作的说明，并认真研读招标文件，获取评标所需的重要信息和数据；</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（2）对协助工作组提供的评标工作用表和评标内容进行核查。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（3）按照以下1.3款程序进行各项评审工作。</w:t>
      </w:r>
    </w:p>
    <w:p>
      <w:pPr>
        <w:spacing w:before="240" w:line="360" w:lineRule="auto"/>
        <w:rPr>
          <w:rFonts w:hint="eastAsia" w:ascii="宋体" w:hAnsi="宋体"/>
          <w:color w:val="auto"/>
          <w:sz w:val="24"/>
          <w:highlight w:val="none"/>
        </w:rPr>
      </w:pPr>
      <w:r>
        <w:rPr>
          <w:rFonts w:hint="eastAsia" w:ascii="宋体" w:hAnsi="宋体"/>
          <w:color w:val="auto"/>
          <w:sz w:val="24"/>
          <w:highlight w:val="none"/>
        </w:rPr>
        <w:t>1.3评审工作程序</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1.3.1第一个信封（商务及技术文件）：</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（l）初步评审：包括形式评审与响应性评审、资格评审；</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（2）详细评审（评审打分）：评标委员会首先对通过初步评审的投标文件第一个信封（商务及技术文件）进行详细评审，对投标人的总承包方案、项目管理机构、其他评分因素等分别评审打分。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1.3.2第二个信封（报价文件）：</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（l）初步评审：</w:t>
      </w:r>
    </w:p>
    <w:p>
      <w:pPr>
        <w:adjustRightInd w:val="0"/>
        <w:snapToGrid w:val="0"/>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①只有投标文件第一个信封通过详细评审的投标人才能继续参加第二个信封报价文件的形式评审与响应性评审；</w:t>
      </w:r>
    </w:p>
    <w:p>
      <w:pPr>
        <w:adjustRightInd w:val="0"/>
        <w:snapToGrid w:val="0"/>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②报价算术性修正（如采用固化清单，本步骤省略）；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（2）详细评审：计算评标基准价、评标价得分及综合得分；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1.3.3投标文件相关信息的核查。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1.3.4投标文件的澄清和说明(如有)</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1.3.5按评标办法规定推荐中标候选人，编写评标报告。</w:t>
      </w:r>
    </w:p>
    <w:p>
      <w:pPr>
        <w:spacing w:before="240" w:line="360" w:lineRule="auto"/>
        <w:rPr>
          <w:rFonts w:ascii="宋体" w:hAnsi="宋体"/>
          <w:b/>
          <w:bCs/>
          <w:color w:val="auto"/>
          <w:sz w:val="28"/>
          <w:szCs w:val="28"/>
          <w:highlight w:val="none"/>
        </w:rPr>
      </w:pPr>
      <w:bookmarkStart w:id="15" w:name="_Toc533665604"/>
      <w:bookmarkStart w:id="16" w:name="_Toc247514025"/>
      <w:bookmarkStart w:id="17" w:name="_Toc144974568"/>
      <w:bookmarkStart w:id="18" w:name="_Toc300835011"/>
      <w:bookmarkStart w:id="19" w:name="_Toc247527626"/>
      <w:bookmarkStart w:id="20" w:name="_Toc152042378"/>
      <w:bookmarkStart w:id="21" w:name="_Toc152045601"/>
      <w:r>
        <w:rPr>
          <w:rFonts w:hint="eastAsia" w:ascii="宋体" w:hAnsi="宋体"/>
          <w:b/>
          <w:bCs/>
          <w:color w:val="auto"/>
          <w:sz w:val="28"/>
          <w:szCs w:val="28"/>
          <w:highlight w:val="none"/>
        </w:rPr>
        <w:t>2. 评审标准</w:t>
      </w:r>
      <w:bookmarkEnd w:id="15"/>
      <w:bookmarkEnd w:id="16"/>
      <w:bookmarkEnd w:id="17"/>
      <w:bookmarkEnd w:id="18"/>
      <w:bookmarkEnd w:id="19"/>
      <w:bookmarkEnd w:id="20"/>
      <w:bookmarkEnd w:id="21"/>
    </w:p>
    <w:p>
      <w:pPr>
        <w:spacing w:before="240" w:line="360" w:lineRule="auto"/>
        <w:rPr>
          <w:rFonts w:ascii="宋体" w:hAnsi="宋体"/>
          <w:color w:val="auto"/>
          <w:sz w:val="24"/>
          <w:highlight w:val="none"/>
        </w:rPr>
      </w:pPr>
      <w:bookmarkStart w:id="22" w:name="_Toc300835012"/>
      <w:bookmarkStart w:id="23" w:name="_Toc144974569"/>
      <w:bookmarkStart w:id="24" w:name="_Toc533665605"/>
      <w:bookmarkStart w:id="25" w:name="_Toc152042379"/>
      <w:bookmarkStart w:id="26" w:name="_Toc247514026"/>
      <w:bookmarkStart w:id="27" w:name="_Toc152045602"/>
      <w:bookmarkStart w:id="28" w:name="_Toc247527627"/>
      <w:r>
        <w:rPr>
          <w:rFonts w:hint="eastAsia" w:ascii="宋体" w:hAnsi="宋体"/>
          <w:color w:val="auto"/>
          <w:sz w:val="24"/>
          <w:highlight w:val="none"/>
        </w:rPr>
        <w:t>2.1 初步评审标准</w:t>
      </w:r>
      <w:bookmarkEnd w:id="22"/>
      <w:bookmarkEnd w:id="23"/>
      <w:bookmarkEnd w:id="24"/>
      <w:bookmarkEnd w:id="25"/>
      <w:bookmarkEnd w:id="26"/>
      <w:bookmarkEnd w:id="27"/>
      <w:bookmarkEnd w:id="28"/>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before="240" w:line="360" w:lineRule="auto"/>
        <w:rPr>
          <w:rFonts w:ascii="宋体" w:hAnsi="宋体"/>
          <w:color w:val="auto"/>
          <w:sz w:val="24"/>
          <w:highlight w:val="none"/>
        </w:rPr>
      </w:pPr>
      <w:bookmarkStart w:id="29" w:name="_Toc247527628"/>
      <w:bookmarkStart w:id="30" w:name="_Toc144974570"/>
      <w:bookmarkStart w:id="31" w:name="_Toc300835013"/>
      <w:bookmarkStart w:id="32" w:name="_Toc533665606"/>
      <w:bookmarkStart w:id="33" w:name="_Toc152045603"/>
      <w:bookmarkStart w:id="34" w:name="_Toc247514027"/>
      <w:bookmarkStart w:id="35" w:name="_Toc152042380"/>
      <w:r>
        <w:rPr>
          <w:rFonts w:hint="eastAsia" w:ascii="宋体" w:hAnsi="宋体"/>
          <w:color w:val="auto"/>
          <w:sz w:val="24"/>
          <w:highlight w:val="none"/>
        </w:rPr>
        <w:t>2.2 分值构成与评分标准</w:t>
      </w:r>
      <w:bookmarkEnd w:id="29"/>
      <w:bookmarkEnd w:id="30"/>
      <w:bookmarkEnd w:id="31"/>
      <w:bookmarkEnd w:id="32"/>
      <w:bookmarkEnd w:id="33"/>
      <w:bookmarkEnd w:id="34"/>
      <w:bookmarkEnd w:id="35"/>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2.2.1分值构成</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（1）总承包方案：见评标办法前附表；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（2）项目管理机构：见评标办法前附表；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（3）投标报价：见评标办法前附表；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（4）其他评分因素：见评标办法前附表。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2.2.2评标基准价计算</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2.2.3投标报价的偏差率计算</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2.2.4评分标准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（1）总承包方案评分标准：见评标办法前附表；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（2）项目管理机构评分标准：见评标办法前附表；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（3）投标报价评分标准：见评标办法前附表；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（4）其他因素评分标准：见评标办法前附表；</w:t>
      </w:r>
    </w:p>
    <w:p>
      <w:pPr>
        <w:spacing w:before="240" w:line="360" w:lineRule="auto"/>
        <w:rPr>
          <w:rFonts w:ascii="宋体" w:hAnsi="宋体"/>
          <w:b/>
          <w:bCs/>
          <w:color w:val="auto"/>
          <w:sz w:val="28"/>
          <w:szCs w:val="28"/>
          <w:highlight w:val="none"/>
        </w:rPr>
      </w:pPr>
      <w:bookmarkStart w:id="36" w:name="_Toc144974571"/>
      <w:bookmarkStart w:id="37" w:name="_Toc300835014"/>
      <w:bookmarkStart w:id="38" w:name="_Toc533665607"/>
      <w:bookmarkStart w:id="39" w:name="_Toc152045604"/>
      <w:bookmarkStart w:id="40" w:name="_Toc152042381"/>
      <w:bookmarkStart w:id="41" w:name="_Toc247527629"/>
      <w:bookmarkStart w:id="42" w:name="_Toc247514028"/>
      <w:r>
        <w:rPr>
          <w:rFonts w:hint="eastAsia" w:ascii="宋体" w:hAnsi="宋体"/>
          <w:b/>
          <w:bCs/>
          <w:color w:val="auto"/>
          <w:sz w:val="28"/>
          <w:szCs w:val="28"/>
          <w:highlight w:val="none"/>
        </w:rPr>
        <w:t>3. 评标程序</w:t>
      </w:r>
      <w:bookmarkEnd w:id="36"/>
      <w:bookmarkEnd w:id="37"/>
      <w:bookmarkEnd w:id="38"/>
      <w:bookmarkEnd w:id="39"/>
      <w:bookmarkEnd w:id="40"/>
      <w:bookmarkEnd w:id="41"/>
      <w:bookmarkEnd w:id="42"/>
    </w:p>
    <w:p>
      <w:pPr>
        <w:spacing w:before="240" w:line="360" w:lineRule="auto"/>
        <w:rPr>
          <w:rFonts w:ascii="宋体" w:hAnsi="宋体"/>
          <w:color w:val="auto"/>
          <w:sz w:val="24"/>
          <w:highlight w:val="none"/>
        </w:rPr>
      </w:pPr>
      <w:bookmarkStart w:id="43" w:name="_Toc247514029"/>
      <w:bookmarkStart w:id="44" w:name="_Toc152045605"/>
      <w:bookmarkStart w:id="45" w:name="_Toc533665608"/>
      <w:bookmarkStart w:id="46" w:name="_Toc300835015"/>
      <w:bookmarkStart w:id="47" w:name="_Toc152042382"/>
      <w:bookmarkStart w:id="48" w:name="_Toc247527630"/>
      <w:bookmarkStart w:id="49" w:name="_Toc144974572"/>
      <w:r>
        <w:rPr>
          <w:rFonts w:hint="eastAsia" w:ascii="宋体" w:hAnsi="宋体"/>
          <w:color w:val="auto"/>
          <w:sz w:val="24"/>
          <w:highlight w:val="none"/>
        </w:rPr>
        <w:t>3.1 第一个信封初步评审</w:t>
      </w:r>
      <w:bookmarkEnd w:id="43"/>
      <w:bookmarkEnd w:id="44"/>
      <w:bookmarkEnd w:id="45"/>
      <w:bookmarkEnd w:id="46"/>
      <w:bookmarkEnd w:id="47"/>
      <w:bookmarkEnd w:id="48"/>
      <w:bookmarkEnd w:id="49"/>
    </w:p>
    <w:p>
      <w:pPr>
        <w:spacing w:line="360" w:lineRule="auto"/>
        <w:ind w:firstLine="480" w:firstLineChars="200"/>
        <w:rPr>
          <w:rFonts w:ascii="宋体" w:hAnsi="宋体"/>
          <w:color w:val="auto"/>
          <w:sz w:val="24"/>
          <w:highlight w:val="none"/>
        </w:rPr>
      </w:pPr>
      <w:r>
        <w:rPr>
          <w:rFonts w:ascii="宋体" w:hAnsi="宋体"/>
          <w:color w:val="auto"/>
          <w:sz w:val="24"/>
          <w:highlight w:val="none"/>
        </w:rPr>
        <w:t>评标委员会可以要求投标人提交第二章</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第3.5.1项至第3.5.</w:t>
      </w:r>
      <w:r>
        <w:rPr>
          <w:rFonts w:hint="eastAsia" w:ascii="宋体" w:hAnsi="宋体"/>
          <w:color w:val="auto"/>
          <w:sz w:val="24"/>
          <w:highlight w:val="none"/>
        </w:rPr>
        <w:t>5</w:t>
      </w:r>
      <w:r>
        <w:rPr>
          <w:rFonts w:ascii="宋体" w:hAnsi="宋体"/>
          <w:color w:val="auto"/>
          <w:sz w:val="24"/>
          <w:highlight w:val="none"/>
        </w:rPr>
        <w:t>项规定的有关证明和证件的原件，以便核验。评标委员会依据本章第2.1款规定的标准对投标文件</w:t>
      </w:r>
      <w:r>
        <w:rPr>
          <w:rFonts w:hint="eastAsia" w:ascii="宋体" w:hAnsi="宋体"/>
          <w:color w:val="auto"/>
          <w:sz w:val="24"/>
          <w:highlight w:val="none"/>
        </w:rPr>
        <w:t>第一个信封（商务及技术文件）</w:t>
      </w:r>
      <w:r>
        <w:rPr>
          <w:rFonts w:ascii="宋体" w:hAnsi="宋体"/>
          <w:color w:val="auto"/>
          <w:sz w:val="24"/>
          <w:highlight w:val="none"/>
        </w:rPr>
        <w:t>进行初步评审。有一项不符合评审标准的，</w:t>
      </w:r>
      <w:r>
        <w:rPr>
          <w:rFonts w:hint="eastAsia" w:ascii="宋体" w:hAnsi="宋体"/>
          <w:color w:val="auto"/>
          <w:sz w:val="24"/>
          <w:highlight w:val="none"/>
        </w:rPr>
        <w:t>评标委员会应否决其投标</w:t>
      </w:r>
      <w:r>
        <w:rPr>
          <w:rFonts w:ascii="宋体" w:hAnsi="宋体"/>
          <w:color w:val="auto"/>
          <w:sz w:val="24"/>
          <w:highlight w:val="none"/>
        </w:rPr>
        <w:t>。</w:t>
      </w:r>
    </w:p>
    <w:p>
      <w:pPr>
        <w:spacing w:before="240" w:line="360" w:lineRule="auto"/>
        <w:rPr>
          <w:rFonts w:ascii="宋体" w:hAnsi="宋体"/>
          <w:color w:val="auto"/>
          <w:sz w:val="24"/>
          <w:highlight w:val="none"/>
        </w:rPr>
      </w:pPr>
      <w:bookmarkStart w:id="50" w:name="_Toc247514030"/>
      <w:bookmarkStart w:id="51" w:name="_Toc144974573"/>
      <w:bookmarkStart w:id="52" w:name="_Toc247527631"/>
      <w:bookmarkStart w:id="53" w:name="_Toc533665609"/>
      <w:bookmarkStart w:id="54" w:name="_Toc152045606"/>
      <w:bookmarkStart w:id="55" w:name="_Toc152042384"/>
      <w:bookmarkStart w:id="56" w:name="_Toc300835016"/>
      <w:r>
        <w:rPr>
          <w:rFonts w:hint="eastAsia" w:ascii="宋体" w:hAnsi="宋体"/>
          <w:color w:val="auto"/>
          <w:sz w:val="24"/>
          <w:highlight w:val="none"/>
        </w:rPr>
        <w:t>3.2 第一个信封详细评审</w:t>
      </w:r>
      <w:bookmarkEnd w:id="50"/>
      <w:bookmarkEnd w:id="51"/>
      <w:bookmarkEnd w:id="52"/>
      <w:bookmarkEnd w:id="53"/>
      <w:bookmarkEnd w:id="54"/>
      <w:bookmarkEnd w:id="55"/>
      <w:bookmarkEnd w:id="56"/>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3.2.1 评标委员会按本章第2.2款规定的量化因素和分值进行打分，并计算出个投标人的商务和技术得分。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（1）按本章第2.2.4（1）目规定的评审因素和分值对总承包方案计算出得分A；</w:t>
      </w:r>
      <w:r>
        <w:rPr>
          <w:rFonts w:ascii="宋体" w:hAnsi="宋体"/>
          <w:color w:val="auto"/>
          <w:sz w:val="24"/>
          <w:highlight w:val="none"/>
        </w:rPr>
        <w:t xml:space="preserve"> </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（2）按本章第2.2.4（2）目规定的评审因素和分值对项目管理机构计算出得分B；</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（3）按本章第2.2.4（4）目规定的评审因素和分值对其他部分计算出得分D；</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3.2.2 除有特别说明外，投标人的商务和技术得分分值计算保留小数点后三位，小数点后第四位“四舍五入”。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3.2.3</w:t>
      </w:r>
      <w:r>
        <w:rPr>
          <w:rFonts w:ascii="宋体" w:hAnsi="宋体"/>
          <w:color w:val="auto"/>
          <w:sz w:val="24"/>
          <w:highlight w:val="none"/>
        </w:rPr>
        <w:t>投标人</w:t>
      </w:r>
      <w:r>
        <w:rPr>
          <w:rFonts w:hint="eastAsia" w:ascii="宋体" w:hAnsi="宋体"/>
          <w:color w:val="auto"/>
          <w:sz w:val="24"/>
          <w:highlight w:val="none"/>
        </w:rPr>
        <w:t>的商务和技术</w:t>
      </w:r>
      <w:r>
        <w:rPr>
          <w:rFonts w:ascii="宋体" w:hAnsi="宋体"/>
          <w:color w:val="auto"/>
          <w:sz w:val="24"/>
          <w:highlight w:val="none"/>
        </w:rPr>
        <w:t>得分=A+B+</w:t>
      </w:r>
      <w:r>
        <w:rPr>
          <w:rFonts w:hint="eastAsia" w:ascii="宋体" w:hAnsi="宋体"/>
          <w:color w:val="auto"/>
          <w:sz w:val="24"/>
          <w:highlight w:val="none"/>
        </w:rPr>
        <w:t>D</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投标文件总承包方案的各评分因素细分项得分均不应低于其权重分的60%（保留小数点后一位），</w:t>
      </w:r>
      <w:r>
        <w:rPr>
          <w:rFonts w:ascii="宋体" w:hAnsi="宋体"/>
          <w:color w:val="auto"/>
          <w:sz w:val="24"/>
          <w:highlight w:val="none"/>
        </w:rPr>
        <w:t>评分低于权重分值60%的，评标委员会成员应当在评标报告中作出说明。</w:t>
      </w:r>
    </w:p>
    <w:p>
      <w:pPr>
        <w:spacing w:line="360" w:lineRule="auto"/>
        <w:ind w:firstLine="482" w:firstLineChars="200"/>
        <w:rPr>
          <w:rFonts w:hint="eastAsia" w:ascii="宋体" w:hAnsi="宋体"/>
          <w:color w:val="auto"/>
          <w:sz w:val="24"/>
          <w:highlight w:val="none"/>
        </w:rPr>
      </w:pPr>
      <w:r>
        <w:rPr>
          <w:rFonts w:hint="eastAsia" w:ascii="宋体" w:hAnsi="宋体" w:cs="宋体"/>
          <w:b/>
          <w:bCs/>
          <w:color w:val="auto"/>
          <w:sz w:val="24"/>
          <w:highlight w:val="none"/>
        </w:rPr>
        <w:t>评标委员会人数不少于9人单数时，</w:t>
      </w:r>
      <w:r>
        <w:rPr>
          <w:rFonts w:hint="eastAsia" w:ascii="宋体" w:hAnsi="宋体"/>
          <w:color w:val="auto"/>
          <w:sz w:val="24"/>
          <w:highlight w:val="none"/>
        </w:rPr>
        <w:t>计算投标人技术得分时:首先在评委技术评分中，采用取消同一评委对同一项目包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取消其中1名评委所有评分的办法一（依次按照以下流程）：（1）对比上述出现技术评分总分差值最大值相等的评委的次大分差值（次大分差值＝某一评委技术评分总分的最高分－该评委技术评分总分的次低分），取消次大分差值最大的评委所有评分；（2）如次大分差值仍相同，则按随机抽取的方式选定取消1名评委评分。</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示例:同一评委对5名投标人技术评分总分分别为:10（最高分)、9.8、8.5（次低分）、7.5、7.5（最低分），则其最大差值为2.5、次大分差值为10-8.5=1.5）。</w:t>
      </w:r>
    </w:p>
    <w:p>
      <w:pPr>
        <w:spacing w:line="460" w:lineRule="exact"/>
        <w:rPr>
          <w:rFonts w:hint="eastAsia" w:ascii="宋体" w:hAnsi="宋体"/>
          <w:color w:val="auto"/>
          <w:sz w:val="24"/>
          <w:highlight w:val="none"/>
        </w:rPr>
      </w:pPr>
    </w:p>
    <w:p>
      <w:pPr>
        <w:widowControl/>
        <w:spacing w:line="460" w:lineRule="exact"/>
        <w:ind w:firstLine="482" w:firstLineChars="200"/>
        <w:rPr>
          <w:rFonts w:hint="eastAsia" w:ascii="宋体" w:hAnsi="宋体"/>
          <w:color w:val="auto"/>
          <w:sz w:val="24"/>
          <w:highlight w:val="none"/>
        </w:rPr>
      </w:pPr>
      <w:r>
        <w:rPr>
          <w:rFonts w:hint="eastAsia" w:ascii="宋体" w:hAnsi="宋体"/>
          <w:b/>
          <w:bCs/>
          <w:color w:val="auto"/>
          <w:sz w:val="24"/>
          <w:highlight w:val="none"/>
        </w:rPr>
        <w:t>评标委员会人数为7人时，</w:t>
      </w:r>
      <w:r>
        <w:rPr>
          <w:rFonts w:hint="eastAsia" w:ascii="宋体" w:hAnsi="宋体"/>
          <w:color w:val="auto"/>
          <w:sz w:val="24"/>
          <w:highlight w:val="none"/>
        </w:rPr>
        <w:t>计算投标人技术得分时:各评分因素细分项中取消一个最高、一个最低分后计算算术平均值的和为投标人的最终技术得分，平均值计算保留小数点后三位，小数点后第四位“四舍五入”。</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以上评标委员会人数以实际参与评审的评标委员会人数数量为准。</w:t>
      </w:r>
    </w:p>
    <w:p>
      <w:pPr>
        <w:spacing w:before="240" w:line="460" w:lineRule="exact"/>
        <w:rPr>
          <w:rFonts w:hint="eastAsia" w:ascii="宋体" w:hAnsi="宋体"/>
          <w:color w:val="auto"/>
          <w:sz w:val="24"/>
          <w:highlight w:val="none"/>
        </w:rPr>
      </w:pPr>
      <w:bookmarkStart w:id="57" w:name="_Toc533665610"/>
      <w:bookmarkStart w:id="58" w:name="_Toc247514031"/>
      <w:bookmarkStart w:id="59" w:name="_Toc152045607"/>
      <w:bookmarkStart w:id="60" w:name="_Toc152042385"/>
      <w:bookmarkStart w:id="61" w:name="_Toc247527632"/>
      <w:bookmarkStart w:id="62" w:name="_Toc300835017"/>
      <w:bookmarkStart w:id="63" w:name="_Toc144974575"/>
      <w:r>
        <w:rPr>
          <w:rFonts w:hint="eastAsia" w:ascii="宋体" w:hAnsi="宋体"/>
          <w:color w:val="auto"/>
          <w:sz w:val="24"/>
          <w:highlight w:val="none"/>
        </w:rPr>
        <w:t>3.3 第二个信封开标</w:t>
      </w:r>
      <w:bookmarkEnd w:id="57"/>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第一个信封（商务及技术文件）评审结束后，招标人将按照第二章“投标人须知”第5.1款规定的时间和地点对通过投标文件第一个信封（商务及技术文件）评审的投标文件第二个信封（报价文件）进行开标。</w:t>
      </w:r>
    </w:p>
    <w:p>
      <w:pPr>
        <w:spacing w:before="240" w:line="460" w:lineRule="exact"/>
        <w:rPr>
          <w:rFonts w:hint="eastAsia" w:ascii="宋体" w:hAnsi="宋体"/>
          <w:color w:val="auto"/>
          <w:sz w:val="24"/>
          <w:highlight w:val="none"/>
        </w:rPr>
      </w:pPr>
      <w:bookmarkStart w:id="64" w:name="_Toc533665611"/>
      <w:r>
        <w:rPr>
          <w:rFonts w:hint="eastAsia" w:ascii="宋体" w:hAnsi="宋体"/>
          <w:color w:val="auto"/>
          <w:sz w:val="24"/>
          <w:highlight w:val="none"/>
        </w:rPr>
        <w:t>3.4第二个信封初步评审</w:t>
      </w:r>
      <w:bookmarkEnd w:id="64"/>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3.4.1评标委员会依据本章第2.1.1项、第2.1.3项规定的评审标准对投标文件第二个信封（报价文件）进行初步评审。有一项不符合评审标准的，评标委员会应否决其投标。</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3.4.2投标报价有算术错误的，评标委员会按以下原则对投标报价进行修正，修正的价格经投标人书面确认后具有约束力。投标人不接受修正价格的，评标委员会应否决其投标。</w:t>
      </w:r>
    </w:p>
    <w:p>
      <w:pPr>
        <w:spacing w:line="360" w:lineRule="auto"/>
        <w:outlineLvl w:val="0"/>
        <w:rPr>
          <w:rFonts w:ascii="宋体" w:hAnsi="宋体"/>
          <w:color w:val="auto"/>
          <w:sz w:val="24"/>
          <w:highlight w:val="none"/>
        </w:rPr>
      </w:pPr>
      <w:r>
        <w:rPr>
          <w:rFonts w:hint="eastAsia" w:ascii="宋体" w:hAnsi="宋体"/>
          <w:color w:val="auto"/>
          <w:sz w:val="24"/>
          <w:highlight w:val="none"/>
        </w:rPr>
        <w:t xml:space="preserve">    (1)投标文件中的大写金额与小写金额不一致的，以大写金额为准；</w:t>
      </w:r>
    </w:p>
    <w:p>
      <w:pPr>
        <w:spacing w:line="360" w:lineRule="auto"/>
        <w:rPr>
          <w:rFonts w:ascii="宋体" w:hAnsi="宋体"/>
          <w:color w:val="auto"/>
          <w:sz w:val="24"/>
          <w:highlight w:val="none"/>
        </w:rPr>
      </w:pPr>
      <w:r>
        <w:rPr>
          <w:rFonts w:hint="eastAsia" w:ascii="宋体" w:hAnsi="宋体"/>
          <w:color w:val="auto"/>
          <w:sz w:val="24"/>
          <w:highlight w:val="none"/>
        </w:rPr>
        <w:t xml:space="preserve">    (2)总价金额与依据单价计算出的结果不一致的，以单价金额为准修正总价，但单价金额小数点有明显错误的除外；</w:t>
      </w:r>
    </w:p>
    <w:p>
      <w:pPr>
        <w:spacing w:line="360" w:lineRule="auto"/>
        <w:rPr>
          <w:rFonts w:ascii="宋体" w:hAnsi="宋体"/>
          <w:color w:val="auto"/>
          <w:sz w:val="24"/>
          <w:highlight w:val="none"/>
        </w:rPr>
      </w:pPr>
      <w:r>
        <w:rPr>
          <w:rFonts w:hint="eastAsia" w:ascii="宋体" w:hAnsi="宋体"/>
          <w:color w:val="auto"/>
          <w:sz w:val="24"/>
          <w:highlight w:val="none"/>
        </w:rPr>
        <w:t xml:space="preserve">    (3)当单价与数量相乘不等于合价时，以单价计算为准，如果单价有明显的小数点位置差错，应以标出的合价为准，同时对单价予以修正；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(4)当各子目的合价累计不等于总价时，应以各子目合价累计数为准，修正总价。</w:t>
      </w:r>
    </w:p>
    <w:p>
      <w:pPr>
        <w:spacing w:line="360" w:lineRule="auto"/>
        <w:ind w:firstLine="480"/>
        <w:rPr>
          <w:rFonts w:ascii="宋体" w:hAnsi="宋体"/>
          <w:color w:val="auto"/>
          <w:sz w:val="24"/>
          <w:highlight w:val="none"/>
        </w:rPr>
      </w:pPr>
      <w:r>
        <w:rPr>
          <w:rFonts w:hint="eastAsia" w:ascii="宋体" w:hAnsi="宋体"/>
          <w:color w:val="auto"/>
          <w:sz w:val="24"/>
          <w:highlight w:val="none"/>
        </w:rPr>
        <w:t>3.4.3工程量清单中的投标报价有其他错误的，评标委员会按以下原则对投标报价进行修正，修正的价格经投标人书面确认后具有约束力。投标人不接受修正价格的，评标委员会应否决其投标。</w:t>
      </w:r>
    </w:p>
    <w:p>
      <w:pPr>
        <w:spacing w:line="360" w:lineRule="auto"/>
        <w:ind w:firstLine="48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auto"/>
        <w:ind w:firstLine="48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60" w:lineRule="auto"/>
        <w:ind w:firstLine="480"/>
        <w:rPr>
          <w:rFonts w:ascii="宋体" w:hAnsi="宋体"/>
          <w:color w:val="auto"/>
          <w:szCs w:val="21"/>
          <w:highlight w:val="none"/>
        </w:rPr>
      </w:pPr>
      <w:r>
        <w:rPr>
          <w:rFonts w:hint="eastAsia" w:ascii="宋体" w:hAnsi="宋体"/>
          <w:color w:val="auto"/>
          <w:sz w:val="24"/>
          <w:highlight w:val="none"/>
        </w:rPr>
        <w:t>(3)当单价与数量的乘积与合价(金额)虽然一致，但投标人修改了该子目的工程数量，则其合价按招标人给定的工程数量乘以投标人所报单价予以修正。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3.4.4修正后的最终投标报价若超过最高投标限价(如有)，评标委员会应否决其投标。</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3.4.5修正后的最终投标报价仅作为签订合同的一个依据，不参与评标价得分的计算。</w:t>
      </w:r>
    </w:p>
    <w:p>
      <w:pPr>
        <w:spacing w:before="240" w:line="360" w:lineRule="auto"/>
        <w:rPr>
          <w:rFonts w:ascii="宋体" w:hAnsi="宋体"/>
          <w:color w:val="auto"/>
          <w:sz w:val="24"/>
          <w:highlight w:val="none"/>
        </w:rPr>
      </w:pPr>
      <w:bookmarkStart w:id="65" w:name="_Toc533665612"/>
      <w:r>
        <w:rPr>
          <w:rFonts w:hint="eastAsia" w:ascii="宋体" w:hAnsi="宋体"/>
          <w:color w:val="auto"/>
          <w:sz w:val="24"/>
          <w:highlight w:val="none"/>
        </w:rPr>
        <w:t>3.5</w:t>
      </w:r>
      <w:bookmarkEnd w:id="58"/>
      <w:bookmarkEnd w:id="59"/>
      <w:bookmarkEnd w:id="60"/>
      <w:bookmarkEnd w:id="61"/>
      <w:bookmarkEnd w:id="62"/>
      <w:bookmarkEnd w:id="63"/>
      <w:r>
        <w:rPr>
          <w:rFonts w:hint="eastAsia" w:ascii="宋体" w:hAnsi="宋体"/>
          <w:color w:val="auto"/>
          <w:sz w:val="24"/>
          <w:highlight w:val="none"/>
        </w:rPr>
        <w:t>第二个信封详细评审</w:t>
      </w:r>
      <w:bookmarkEnd w:id="6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3.5.1评标委员会按本章第2.2.4（3）目规定的评审因素和分值对投标报价计算出得分C。投标报价得分分值计算保留小数点后四位，小数点后第五位“四舍五入”。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3.5.2投标人综合得分=投标人的商务和技术得分+C</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before="240" w:line="360" w:lineRule="auto"/>
        <w:rPr>
          <w:rFonts w:ascii="宋体" w:hAnsi="宋体"/>
          <w:color w:val="auto"/>
          <w:sz w:val="24"/>
          <w:highlight w:val="none"/>
        </w:rPr>
      </w:pPr>
      <w:bookmarkStart w:id="66" w:name="_Toc152042386"/>
      <w:bookmarkStart w:id="67" w:name="_Toc152045608"/>
      <w:bookmarkStart w:id="68" w:name="_Toc247514032"/>
      <w:bookmarkStart w:id="69" w:name="_Toc144974576"/>
      <w:bookmarkStart w:id="70" w:name="_Toc300835018"/>
      <w:bookmarkStart w:id="71" w:name="_Toc247527633"/>
      <w:bookmarkStart w:id="72" w:name="_Toc533665613"/>
      <w:r>
        <w:rPr>
          <w:rFonts w:hint="eastAsia" w:ascii="宋体" w:hAnsi="宋体"/>
          <w:color w:val="auto"/>
          <w:sz w:val="24"/>
          <w:highlight w:val="none"/>
        </w:rPr>
        <w:t xml:space="preserve">3.6 </w:t>
      </w:r>
      <w:bookmarkEnd w:id="66"/>
      <w:bookmarkEnd w:id="67"/>
      <w:bookmarkEnd w:id="68"/>
      <w:bookmarkEnd w:id="69"/>
      <w:bookmarkEnd w:id="70"/>
      <w:bookmarkEnd w:id="71"/>
      <w:r>
        <w:rPr>
          <w:rFonts w:hint="eastAsia" w:ascii="宋体" w:hAnsi="宋体"/>
          <w:color w:val="auto"/>
          <w:sz w:val="24"/>
          <w:highlight w:val="none"/>
        </w:rPr>
        <w:t>投标文件相关信息的核查</w:t>
      </w:r>
      <w:bookmarkEnd w:id="72"/>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3.6.1在评标过程中，评标委员会应查询交通运输主管部门“公路建设市场信用信息管理系统”，对投标人的资质、业绩、主要人员资历和目前在岗情况等信息进行核实。若投标文件载明的信息与交通运输主管部门“公路建设市场信用信息管理系统”发布的信息不符，使得投标人的资格条件不符合招标文件规定的，评标委员会应否决其投标。（如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3.6.2评标委员会应对在评标过程中发现的投标人与投标人之间、投标人与招标人之间存在的串通</w:t>
      </w:r>
      <w:r>
        <w:rPr>
          <w:rFonts w:ascii="宋体" w:hAnsi="宋体"/>
          <w:color w:val="auto"/>
          <w:sz w:val="24"/>
          <w:highlight w:val="none"/>
        </w:rPr>
        <w:t>投标的情形进行评审和认定。</w:t>
      </w:r>
      <w:r>
        <w:rPr>
          <w:rFonts w:hint="eastAsia" w:ascii="宋体" w:hAnsi="宋体"/>
          <w:color w:val="auto"/>
          <w:sz w:val="24"/>
          <w:highlight w:val="none"/>
        </w:rPr>
        <w:t>投标人存在</w:t>
      </w:r>
      <w:r>
        <w:rPr>
          <w:rFonts w:ascii="宋体" w:hAnsi="宋体"/>
          <w:color w:val="auto"/>
          <w:sz w:val="24"/>
          <w:highlight w:val="none"/>
        </w:rPr>
        <w:t>串通投标</w:t>
      </w:r>
      <w:r>
        <w:rPr>
          <w:rFonts w:hint="eastAsia" w:ascii="宋体" w:hAnsi="宋体"/>
          <w:color w:val="auto"/>
          <w:sz w:val="24"/>
          <w:highlight w:val="none"/>
        </w:rPr>
        <w:t>、</w:t>
      </w:r>
      <w:r>
        <w:rPr>
          <w:rFonts w:ascii="宋体" w:hAnsi="宋体"/>
          <w:color w:val="auto"/>
          <w:sz w:val="24"/>
          <w:highlight w:val="none"/>
        </w:rPr>
        <w:t>弄虚作假</w:t>
      </w:r>
      <w:r>
        <w:rPr>
          <w:rFonts w:hint="eastAsia" w:ascii="宋体" w:hAnsi="宋体"/>
          <w:color w:val="auto"/>
          <w:sz w:val="24"/>
          <w:highlight w:val="none"/>
        </w:rPr>
        <w:t>、行贿等</w:t>
      </w:r>
      <w:r>
        <w:rPr>
          <w:rFonts w:ascii="宋体" w:hAnsi="宋体"/>
          <w:color w:val="auto"/>
          <w:sz w:val="24"/>
          <w:highlight w:val="none"/>
        </w:rPr>
        <w:t>违法行为的</w:t>
      </w:r>
      <w:r>
        <w:rPr>
          <w:rFonts w:hint="eastAsia" w:ascii="宋体" w:hAnsi="宋体"/>
          <w:color w:val="auto"/>
          <w:sz w:val="24"/>
          <w:highlight w:val="none"/>
        </w:rPr>
        <w:t>，评标委员会应否决其投标。</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有下列情形之一的，属于投标人相互串通投标：</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a.投标人之间协商投标报价等投标文件的实质性内容；</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b.投标人之间约定中标人；</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c.投标人之间约定部分投标人放弃投标或中标；</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d.属于同一集团、协会、商会等组织成员的投标人按照该组织要求协同投标；</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e.投标人之间为谋取中标或排斥特定投标人而采取的其他联合行动。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有下列情形之一的，视为投标人相互串通投标：</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a.不同投标人的投标文件由同一单位或个人编制；</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b.不同投标人委托同一单位或个人办理投标事宜；</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c.不同投标人的投标文件载明的项目管理成员为同一人；</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d.不同投标人的投标文件异常一致或投标报价呈规律性差异；</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e.不同投标人的投标文件相互混装；</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f.不同投标人的投标保证金从同一单位或个人的账户转出。</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有下列情形之一的，属于招标人与投标人串通投标：</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a.招标人在开标前开启投标文件并将有关信息泄露给其他投标人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b.招标人直接或间接向投标人泄露标底、评标委员会成员等信息；</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c.招标人明示或暗示投标人压低或抬高投标报价；</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d.招标人授意投标人撤换、修改投标文件；</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e.招标人明示或暗示投标人为特定投标人中标提供方便；</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f.招标人与投标人为谋求特定投标人中标而采取的其他串通行为</w:t>
      </w:r>
      <w:r>
        <w:rPr>
          <w:rFonts w:hint="eastAsia" w:ascii="宋体" w:hAnsi="宋体"/>
          <w:color w:val="auto"/>
          <w:sz w:val="24"/>
          <w:highlight w:val="none"/>
        </w:rPr>
        <w:t>；</w:t>
      </w:r>
    </w:p>
    <w:p>
      <w:pPr>
        <w:pStyle w:val="4"/>
        <w:spacing w:line="360" w:lineRule="auto"/>
        <w:ind w:firstLine="480" w:firstLineChars="200"/>
        <w:rPr>
          <w:rFonts w:hAnsi="宋体"/>
          <w:color w:val="auto"/>
          <w:sz w:val="24"/>
          <w:szCs w:val="24"/>
          <w:highlight w:val="none"/>
        </w:rPr>
      </w:pPr>
      <w:r>
        <w:rPr>
          <w:rFonts w:hAnsi="宋体"/>
          <w:color w:val="auto"/>
          <w:sz w:val="24"/>
          <w:szCs w:val="24"/>
          <w:highlight w:val="none"/>
        </w:rPr>
        <w:t>g.当一家以上投标人评标价相同时，若各投标人工程量清单细目单价也相同，视为串标（一个</w:t>
      </w:r>
      <w:r>
        <w:rPr>
          <w:rFonts w:hint="eastAsia" w:hAnsi="宋体"/>
          <w:color w:val="auto"/>
          <w:sz w:val="24"/>
          <w:szCs w:val="24"/>
          <w:highlight w:val="none"/>
        </w:rPr>
        <w:t>项目包</w:t>
      </w:r>
      <w:r>
        <w:rPr>
          <w:rFonts w:hAnsi="宋体"/>
          <w:color w:val="auto"/>
          <w:sz w:val="24"/>
          <w:szCs w:val="24"/>
          <w:highlight w:val="none"/>
        </w:rPr>
        <w:t>仅一工作细目报价的除外）</w:t>
      </w:r>
      <w:r>
        <w:rPr>
          <w:rFonts w:hint="eastAsia" w:hAnsi="宋体"/>
          <w:color w:val="auto"/>
          <w:sz w:val="24"/>
          <w:szCs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h</w:t>
      </w:r>
      <w:r>
        <w:rPr>
          <w:rFonts w:ascii="宋体" w:hAnsi="宋体"/>
          <w:color w:val="auto"/>
          <w:sz w:val="24"/>
          <w:highlight w:val="none"/>
        </w:rPr>
        <w:t>.广东省实施《中华人民共和国招标投标法》办法第十六条规定的情形。</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投标人有下列情形之一的，属于弄虚作假的行为：</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a.使用通过受让或租借等方式获取的资格、资质证书投标</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b.使用伪造、变造的许可证件；</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c.提供虚假的</w:t>
      </w:r>
      <w:r>
        <w:rPr>
          <w:rFonts w:hint="eastAsia" w:ascii="宋体" w:hAnsi="宋体"/>
          <w:color w:val="auto"/>
          <w:sz w:val="24"/>
          <w:highlight w:val="none"/>
        </w:rPr>
        <w:t>财务状况或</w:t>
      </w:r>
      <w:r>
        <w:rPr>
          <w:rFonts w:ascii="宋体" w:hAnsi="宋体"/>
          <w:color w:val="auto"/>
          <w:sz w:val="24"/>
          <w:highlight w:val="none"/>
        </w:rPr>
        <w:t>业绩；</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d.提供虚假的</w:t>
      </w:r>
      <w:r>
        <w:rPr>
          <w:rFonts w:hint="eastAsia" w:ascii="宋体" w:hAnsi="宋体"/>
          <w:color w:val="auto"/>
          <w:sz w:val="24"/>
          <w:highlight w:val="none"/>
        </w:rPr>
        <w:t>主要</w:t>
      </w:r>
      <w:r>
        <w:rPr>
          <w:rFonts w:ascii="宋体" w:hAnsi="宋体"/>
          <w:color w:val="auto"/>
          <w:sz w:val="24"/>
          <w:highlight w:val="none"/>
        </w:rPr>
        <w:t>负责人简历、</w:t>
      </w:r>
      <w:r>
        <w:rPr>
          <w:rFonts w:hint="eastAsia" w:ascii="宋体" w:hAnsi="宋体"/>
          <w:color w:val="auto"/>
          <w:sz w:val="24"/>
          <w:highlight w:val="none"/>
        </w:rPr>
        <w:t>社保</w:t>
      </w:r>
      <w:r>
        <w:rPr>
          <w:rFonts w:ascii="宋体" w:hAnsi="宋体"/>
          <w:color w:val="auto"/>
          <w:sz w:val="24"/>
          <w:highlight w:val="none"/>
        </w:rPr>
        <w:t>证明；</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e.提供虚假的信用状况；</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f.其他弄虚作假的行为。</w:t>
      </w:r>
    </w:p>
    <w:p>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p>
      <w:pPr>
        <w:spacing w:before="240" w:line="360" w:lineRule="auto"/>
        <w:rPr>
          <w:rFonts w:hint="eastAsia" w:ascii="宋体" w:hAnsi="宋体"/>
          <w:color w:val="auto"/>
          <w:sz w:val="24"/>
          <w:highlight w:val="none"/>
        </w:rPr>
      </w:pPr>
      <w:bookmarkStart w:id="73" w:name="_Toc533665614"/>
      <w:r>
        <w:rPr>
          <w:rFonts w:hint="eastAsia" w:ascii="宋体" w:hAnsi="宋体"/>
          <w:color w:val="auto"/>
          <w:sz w:val="24"/>
          <w:highlight w:val="none"/>
        </w:rPr>
        <w:t>3.7投标文件的澄清和说明</w:t>
      </w:r>
      <w:bookmarkEnd w:id="73"/>
    </w:p>
    <w:p>
      <w:pPr>
        <w:spacing w:line="360" w:lineRule="auto"/>
        <w:ind w:firstLine="360" w:firstLineChars="15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.1</w:t>
      </w:r>
      <w:r>
        <w:rPr>
          <w:rFonts w:hint="eastAsia" w:ascii="宋体" w:hAnsi="宋体"/>
          <w:color w:val="auto"/>
          <w:sz w:val="24"/>
          <w:highlight w:val="none"/>
        </w:rPr>
        <w:t xml:space="preserve"> </w:t>
      </w:r>
      <w:r>
        <w:rPr>
          <w:rFonts w:ascii="宋体" w:hAnsi="宋体"/>
          <w:color w:val="auto"/>
          <w:sz w:val="24"/>
          <w:highlight w:val="none"/>
        </w:rPr>
        <w:t>在评标过程中，评标委员会可以书面形式要求投标人对</w:t>
      </w:r>
      <w:r>
        <w:rPr>
          <w:rFonts w:hint="eastAsia" w:ascii="宋体" w:hAnsi="宋体"/>
          <w:color w:val="auto"/>
          <w:sz w:val="24"/>
          <w:highlight w:val="none"/>
        </w:rPr>
        <w:t>所提交</w:t>
      </w:r>
      <w:r>
        <w:rPr>
          <w:rFonts w:ascii="宋体" w:hAnsi="宋体"/>
          <w:color w:val="auto"/>
          <w:sz w:val="24"/>
          <w:highlight w:val="none"/>
        </w:rPr>
        <w:t>投标文件中</w:t>
      </w:r>
      <w:r>
        <w:rPr>
          <w:rFonts w:hint="eastAsia" w:ascii="宋体" w:hAnsi="宋体"/>
          <w:color w:val="auto"/>
          <w:sz w:val="24"/>
          <w:highlight w:val="none"/>
        </w:rPr>
        <w:t>含义</w:t>
      </w:r>
      <w:r>
        <w:rPr>
          <w:rFonts w:ascii="宋体" w:hAnsi="宋体"/>
          <w:color w:val="auto"/>
          <w:sz w:val="24"/>
          <w:highlight w:val="none"/>
        </w:rPr>
        <w:t>不明确的内容</w:t>
      </w:r>
      <w:r>
        <w:rPr>
          <w:rFonts w:hint="eastAsia" w:ascii="宋体" w:hAnsi="宋体"/>
          <w:color w:val="auto"/>
          <w:sz w:val="24"/>
          <w:highlight w:val="none"/>
        </w:rPr>
        <w:t>、明显文字或计算错误</w:t>
      </w:r>
      <w:r>
        <w:rPr>
          <w:rFonts w:ascii="宋体" w:hAnsi="宋体"/>
          <w:color w:val="auto"/>
          <w:sz w:val="24"/>
          <w:highlight w:val="none"/>
        </w:rPr>
        <w:t>进行书面澄清或说明。评标委员会不接受投标人主动提出的澄清、说明。</w:t>
      </w:r>
      <w:r>
        <w:rPr>
          <w:rFonts w:hint="eastAsia" w:ascii="宋体" w:hAnsi="宋体"/>
          <w:color w:val="auto"/>
          <w:sz w:val="24"/>
          <w:highlight w:val="none"/>
        </w:rPr>
        <w:t>投标人不按评标委员会要求澄清或说明的，评标委员会应否决其投标。</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.2</w:t>
      </w:r>
      <w:r>
        <w:rPr>
          <w:rFonts w:hint="eastAsia" w:ascii="宋体" w:hAnsi="宋体"/>
          <w:color w:val="auto"/>
          <w:sz w:val="24"/>
          <w:highlight w:val="none"/>
        </w:rPr>
        <w:t xml:space="preserve"> </w:t>
      </w:r>
      <w:r>
        <w:rPr>
          <w:rFonts w:ascii="宋体" w:hAnsi="宋体"/>
          <w:color w:val="auto"/>
          <w:sz w:val="24"/>
          <w:highlight w:val="none"/>
        </w:rPr>
        <w:t>澄清</w:t>
      </w:r>
      <w:r>
        <w:rPr>
          <w:rFonts w:hint="eastAsia" w:ascii="宋体" w:hAnsi="宋体"/>
          <w:color w:val="auto"/>
          <w:sz w:val="24"/>
          <w:highlight w:val="none"/>
        </w:rPr>
        <w:t>和</w:t>
      </w:r>
      <w:r>
        <w:rPr>
          <w:rFonts w:ascii="宋体" w:hAnsi="宋体"/>
          <w:color w:val="auto"/>
          <w:sz w:val="24"/>
          <w:highlight w:val="none"/>
        </w:rPr>
        <w:t>说明不得</w:t>
      </w:r>
      <w:r>
        <w:rPr>
          <w:rFonts w:hint="eastAsia" w:ascii="宋体" w:hAnsi="宋体"/>
          <w:color w:val="auto"/>
          <w:sz w:val="24"/>
          <w:highlight w:val="none"/>
        </w:rPr>
        <w:t>超出投标文件的范围或</w:t>
      </w:r>
      <w:r>
        <w:rPr>
          <w:rFonts w:ascii="宋体" w:hAnsi="宋体"/>
          <w:color w:val="auto"/>
          <w:sz w:val="24"/>
          <w:highlight w:val="none"/>
        </w:rPr>
        <w:t>改变投标文件的实质性内容（算术性错误的修正除外）。投标人的书面澄清、说明属于投标文件的组成部分。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.3</w:t>
      </w:r>
      <w:r>
        <w:rPr>
          <w:rFonts w:hint="eastAsia" w:ascii="宋体" w:hAnsi="宋体"/>
          <w:color w:val="auto"/>
          <w:sz w:val="24"/>
          <w:highlight w:val="none"/>
        </w:rPr>
        <w:t xml:space="preserve"> </w:t>
      </w:r>
      <w:r>
        <w:rPr>
          <w:rFonts w:ascii="宋体" w:hAnsi="宋体"/>
          <w:color w:val="auto"/>
          <w:sz w:val="24"/>
          <w:highlight w:val="none"/>
        </w:rPr>
        <w:t>评标委员会</w:t>
      </w:r>
      <w:r>
        <w:rPr>
          <w:rFonts w:hint="eastAsia" w:ascii="宋体" w:hAnsi="宋体"/>
          <w:color w:val="auto"/>
          <w:sz w:val="24"/>
          <w:highlight w:val="none"/>
        </w:rPr>
        <w:t>不得暗示或诱导投标人作出澄清、说明，</w:t>
      </w:r>
      <w:r>
        <w:rPr>
          <w:rFonts w:ascii="宋体" w:hAnsi="宋体"/>
          <w:color w:val="auto"/>
          <w:sz w:val="24"/>
          <w:highlight w:val="none"/>
        </w:rPr>
        <w:t>对投标人提交的澄清、说明有疑问的，可以要求投标人进一步澄清</w:t>
      </w:r>
      <w:r>
        <w:rPr>
          <w:rFonts w:hint="eastAsia" w:ascii="宋体" w:hAnsi="宋体"/>
          <w:color w:val="auto"/>
          <w:sz w:val="24"/>
          <w:highlight w:val="none"/>
        </w:rPr>
        <w:t>或</w:t>
      </w:r>
      <w:r>
        <w:rPr>
          <w:rFonts w:ascii="宋体" w:hAnsi="宋体"/>
          <w:color w:val="auto"/>
          <w:sz w:val="24"/>
          <w:highlight w:val="none"/>
        </w:rPr>
        <w:t>说明，直至满足评标委员会的要求。</w:t>
      </w:r>
    </w:p>
    <w:p>
      <w:pPr>
        <w:spacing w:line="360" w:lineRule="auto"/>
        <w:ind w:firstLine="480" w:firstLineChars="200"/>
        <w:rPr>
          <w:rFonts w:ascii="宋体" w:hAnsi="宋体"/>
          <w:color w:val="auto"/>
          <w:highlight w:val="none"/>
        </w:rPr>
      </w:pPr>
      <w:r>
        <w:rPr>
          <w:rFonts w:hint="eastAsia" w:ascii="宋体" w:hAnsi="宋体"/>
          <w:color w:val="auto"/>
          <w:sz w:val="24"/>
          <w:highlight w:val="none"/>
        </w:rPr>
        <w:t>3.7.4 凡超出招标文件规定的或给发包人带来未曾要求的利益的变化、偏差或其他因素在评标时不予考虑。</w:t>
      </w:r>
    </w:p>
    <w:p>
      <w:pPr>
        <w:spacing w:before="240" w:line="360" w:lineRule="auto"/>
        <w:rPr>
          <w:rFonts w:hint="eastAsia" w:ascii="宋体" w:hAnsi="宋体"/>
          <w:color w:val="auto"/>
          <w:sz w:val="24"/>
          <w:highlight w:val="none"/>
        </w:rPr>
      </w:pPr>
      <w:bookmarkStart w:id="74" w:name="_Toc533665615"/>
      <w:r>
        <w:rPr>
          <w:rFonts w:hint="eastAsia" w:ascii="宋体" w:hAnsi="宋体"/>
          <w:color w:val="auto"/>
          <w:sz w:val="24"/>
          <w:highlight w:val="none"/>
        </w:rPr>
        <w:t>3.8不得否决投标的情形</w:t>
      </w:r>
      <w:bookmarkEnd w:id="74"/>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投标文件存在第二章“投标人须知”第1.12.3项所列情形的，均视为细微偏差，评标委员会不得否决投标人的投标，</w:t>
      </w:r>
      <w:r>
        <w:rPr>
          <w:rFonts w:ascii="宋体" w:hAnsi="宋体"/>
          <w:color w:val="auto"/>
          <w:sz w:val="24"/>
          <w:highlight w:val="none"/>
        </w:rPr>
        <w:t>应按照</w:t>
      </w:r>
      <w:r>
        <w:rPr>
          <w:rFonts w:hint="eastAsia" w:ascii="宋体" w:hAnsi="宋体"/>
          <w:color w:val="auto"/>
          <w:sz w:val="24"/>
          <w:highlight w:val="none"/>
        </w:rPr>
        <w:t>第二章“投标人须知”第1.12.4项规定的原则处理。</w:t>
      </w:r>
    </w:p>
    <w:p>
      <w:pPr>
        <w:spacing w:before="240" w:line="360" w:lineRule="auto"/>
        <w:rPr>
          <w:rFonts w:hint="eastAsia" w:ascii="宋体" w:hAnsi="宋体"/>
          <w:color w:val="auto"/>
          <w:sz w:val="24"/>
          <w:highlight w:val="none"/>
        </w:rPr>
      </w:pPr>
      <w:bookmarkStart w:id="75" w:name="_Toc533665616"/>
      <w:r>
        <w:rPr>
          <w:rFonts w:hint="eastAsia" w:ascii="宋体" w:hAnsi="宋体"/>
          <w:color w:val="auto"/>
          <w:sz w:val="24"/>
          <w:highlight w:val="none"/>
        </w:rPr>
        <w:t>3.9评标结果</w:t>
      </w:r>
      <w:bookmarkEnd w:id="7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3.9.1 除第二章“投标人须知”前附表授权直接确定中标人外，评标委员会按照得分由高到低的顺序推荐中标候选人，并标明中标候选人排序。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3.9.2 评标委员会完成评标后，应向招标人提交书面评标报告。</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3.9.3通过第一个信封商务及技术文件评审的投标人少于3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3.9.4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3.9.5如果发生无法确定推荐中标候选人的其它意外情况，评标委员会可建议招标人重新招标。</w:t>
      </w:r>
    </w:p>
    <w:p>
      <w:pPr>
        <w:spacing w:line="360" w:lineRule="auto"/>
        <w:ind w:right="105" w:rightChars="5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3.9.6本招标文件规定的否决投标条款包含在以下条款：</w:t>
      </w:r>
    </w:p>
    <w:p>
      <w:pPr>
        <w:spacing w:line="360" w:lineRule="auto"/>
        <w:ind w:left="105" w:leftChars="50" w:right="105" w:rightChars="5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（1）招标公告第3点 投标人资格要求；</w:t>
      </w:r>
    </w:p>
    <w:p>
      <w:pPr>
        <w:spacing w:line="360" w:lineRule="auto"/>
        <w:ind w:left="105" w:leftChars="50" w:right="105" w:rightChars="5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投标人须知1.4.3项、1.4.4项、1.4.5项、1.11.1项、1.12.2项、3.2.1、3.4.2项、3.5.9项、3.6.1项；</w:t>
      </w:r>
    </w:p>
    <w:p>
      <w:r>
        <w:rPr>
          <w:rFonts w:hint="eastAsia" w:hAnsi="宋体" w:cs="宋体"/>
          <w:b/>
          <w:bCs/>
          <w:color w:val="auto"/>
          <w:sz w:val="24"/>
          <w:szCs w:val="24"/>
          <w:highlight w:val="none"/>
        </w:rPr>
        <w:t>（3）本评标办法的否决条款。</w:t>
      </w:r>
      <w:bookmarkStart w:id="76" w:name="_GoBack"/>
      <w:bookmarkEnd w:id="7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Sylfaen">
    <w:panose1 w:val="010A0502050306030303"/>
    <w:charset w:val="00"/>
    <w:family w:val="roman"/>
    <w:pitch w:val="default"/>
    <w:sig w:usb0="04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56026"/>
    <w:multiLevelType w:val="singleLevel"/>
    <w:tmpl w:val="1DF560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WRkNDViNjVlNzE1ODcxZjhiYzFmMzc1MDRhMzAifQ=="/>
  </w:docVars>
  <w:rsids>
    <w:rsidRoot w:val="58A764BF"/>
    <w:rsid w:val="2A446D64"/>
    <w:rsid w:val="3A4B3142"/>
    <w:rsid w:val="53BF452D"/>
    <w:rsid w:val="58A764BF"/>
    <w:rsid w:val="6E786406"/>
    <w:rsid w:val="7BC1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szCs w:val="20"/>
    </w:rPr>
  </w:style>
  <w:style w:type="paragraph" w:styleId="5">
    <w:name w:val="footnote text"/>
    <w:basedOn w:val="1"/>
    <w:next w:val="1"/>
    <w:unhideWhenUsed/>
    <w:qFormat/>
    <w:uiPriority w:val="0"/>
    <w:pPr>
      <w:snapToGrid w:val="0"/>
      <w:jc w:val="left"/>
    </w:pPr>
    <w:rPr>
      <w:sz w:val="18"/>
      <w:szCs w:val="18"/>
    </w:rPr>
  </w:style>
  <w:style w:type="paragraph" w:customStyle="1" w:styleId="8">
    <w:name w:val="正文文本 (2)1"/>
    <w:basedOn w:val="1"/>
    <w:uiPriority w:val="99"/>
    <w:pPr>
      <w:shd w:val="clear" w:color="auto" w:fill="FFFFFF"/>
      <w:spacing w:before="300" w:line="439" w:lineRule="exact"/>
      <w:jc w:val="distribute"/>
    </w:pPr>
    <w:rPr>
      <w:rFonts w:ascii="MingLiU" w:eastAsia="MingLiU"/>
      <w:spacing w:val="20"/>
      <w:kern w:val="0"/>
      <w:sz w:val="22"/>
      <w:szCs w:val="22"/>
    </w:rPr>
  </w:style>
  <w:style w:type="character" w:customStyle="1" w:styleId="9">
    <w:name w:val="正文文本 (2) + 间距 0 pt3"/>
    <w:autoRedefine/>
    <w:qFormat/>
    <w:uiPriority w:val="99"/>
    <w:rPr>
      <w:rFonts w:ascii="MingLiU" w:eastAsia="MingLiU" w:cs="MingLiU"/>
      <w:spacing w:val="0"/>
      <w:sz w:val="22"/>
      <w:szCs w:val="22"/>
      <w:u w:val="none"/>
    </w:rPr>
  </w:style>
  <w:style w:type="character" w:customStyle="1" w:styleId="10">
    <w:name w:val="正文文本 (2) + 10 pt37"/>
    <w:qFormat/>
    <w:uiPriority w:val="99"/>
    <w:rPr>
      <w:rFonts w:ascii="MingLiU" w:eastAsia="MingLiU" w:cs="MingLiU"/>
      <w:spacing w:val="0"/>
      <w:sz w:val="20"/>
      <w:szCs w:val="20"/>
      <w:u w:val="none"/>
    </w:rPr>
  </w:style>
  <w:style w:type="character" w:customStyle="1" w:styleId="11">
    <w:name w:val="正文文本 (2) + 10 pt34"/>
    <w:autoRedefine/>
    <w:qFormat/>
    <w:uiPriority w:val="99"/>
    <w:rPr>
      <w:rFonts w:ascii="MingLiU" w:eastAsia="MingLiU" w:cs="MingLiU"/>
      <w:spacing w:val="-20"/>
      <w:sz w:val="20"/>
      <w:szCs w:val="20"/>
      <w:u w:val="none"/>
      <w:lang w:val="en-US" w:eastAsia="en-US"/>
    </w:rPr>
  </w:style>
  <w:style w:type="character" w:customStyle="1" w:styleId="12">
    <w:name w:val="正文文本 (2) + Sylfaen13"/>
    <w:autoRedefine/>
    <w:uiPriority w:val="99"/>
    <w:rPr>
      <w:rFonts w:ascii="Sylfaen" w:hAnsi="Sylfaen" w:eastAsia="MingLiU" w:cs="Sylfaen"/>
      <w:spacing w:val="0"/>
      <w:sz w:val="14"/>
      <w:szCs w:val="14"/>
      <w:u w:val="none"/>
      <w:lang w:val="en-US" w:eastAsia="en-US"/>
    </w:rPr>
  </w:style>
  <w:style w:type="character" w:customStyle="1" w:styleId="13">
    <w:name w:val="正文文本 (2) + 10 pt27"/>
    <w:autoRedefine/>
    <w:qFormat/>
    <w:uiPriority w:val="99"/>
    <w:rPr>
      <w:rFonts w:ascii="MingLiU" w:eastAsia="MingLiU" w:cs="MingLiU"/>
      <w:spacing w:val="0"/>
      <w:w w:val="100"/>
      <w:sz w:val="20"/>
      <w:szCs w:val="20"/>
      <w:u w:val="none"/>
      <w:lang w:val="en-US" w:eastAsia="en-US"/>
    </w:rPr>
  </w:style>
  <w:style w:type="paragraph" w:customStyle="1" w:styleId="14">
    <w:name w:val="正文文本 (5)1"/>
    <w:basedOn w:val="1"/>
    <w:link w:val="15"/>
    <w:autoRedefine/>
    <w:uiPriority w:val="99"/>
    <w:pPr>
      <w:shd w:val="clear" w:color="auto" w:fill="FFFFFF"/>
      <w:spacing w:before="5100" w:line="240" w:lineRule="atLeast"/>
      <w:jc w:val="left"/>
    </w:pPr>
    <w:rPr>
      <w:rFonts w:ascii="MingLiU" w:eastAsia="MingLiU"/>
      <w:kern w:val="0"/>
      <w:sz w:val="20"/>
      <w:szCs w:val="20"/>
    </w:rPr>
  </w:style>
  <w:style w:type="character" w:customStyle="1" w:styleId="15">
    <w:name w:val="正文文本 (5)_"/>
    <w:link w:val="14"/>
    <w:autoRedefine/>
    <w:locked/>
    <w:uiPriority w:val="99"/>
    <w:rPr>
      <w:rFonts w:ascii="MingLiU" w:eastAsia="MingLiU"/>
      <w:kern w:val="0"/>
      <w:sz w:val="20"/>
      <w:szCs w:val="20"/>
    </w:rPr>
  </w:style>
  <w:style w:type="character" w:customStyle="1" w:styleId="16">
    <w:name w:val="正文文本 (17) + 间距 0 pt1"/>
    <w:autoRedefine/>
    <w:uiPriority w:val="99"/>
    <w:rPr>
      <w:rFonts w:ascii="MingLiU" w:eastAsia="MingLiU" w:cs="MingLiU"/>
      <w:spacing w:val="0"/>
      <w:sz w:val="22"/>
      <w:szCs w:val="22"/>
      <w:u w:val="none"/>
    </w:rPr>
  </w:style>
  <w:style w:type="paragraph" w:customStyle="1" w:styleId="17">
    <w:name w:val="正文文本 (17)"/>
    <w:basedOn w:val="1"/>
    <w:uiPriority w:val="99"/>
    <w:pPr>
      <w:shd w:val="clear" w:color="auto" w:fill="FFFFFF"/>
      <w:spacing w:line="240" w:lineRule="atLeast"/>
      <w:jc w:val="distribute"/>
    </w:pPr>
    <w:rPr>
      <w:rFonts w:ascii="MingLiU" w:eastAsia="MingLiU"/>
      <w:spacing w:val="-10"/>
      <w:kern w:val="0"/>
      <w:sz w:val="22"/>
      <w:szCs w:val="22"/>
    </w:rPr>
  </w:style>
  <w:style w:type="character" w:customStyle="1" w:styleId="18">
    <w:name w:val="正文文本 (2) + 10 pt371"/>
    <w:autoRedefine/>
    <w:qFormat/>
    <w:uiPriority w:val="99"/>
    <w:rPr>
      <w:rFonts w:ascii="MingLiU" w:eastAsia="MingLiU" w:cs="MingLiU"/>
      <w:spacing w:val="0"/>
      <w:sz w:val="20"/>
      <w:szCs w:val="20"/>
      <w:u w:val="none"/>
    </w:rPr>
  </w:style>
  <w:style w:type="character" w:customStyle="1" w:styleId="19">
    <w:name w:val="正文文本 (17) + 间距 0 pt"/>
    <w:qFormat/>
    <w:uiPriority w:val="99"/>
    <w:rPr>
      <w:rFonts w:ascii="MingLiU" w:eastAsia="MingLiU" w:cs="MingLiU"/>
      <w:spacing w:val="0"/>
      <w:sz w:val="22"/>
      <w:szCs w:val="22"/>
      <w:u w:val="single"/>
    </w:rPr>
  </w:style>
  <w:style w:type="paragraph" w:customStyle="1" w:styleId="20">
    <w:name w:val="表格标题 (5)"/>
    <w:basedOn w:val="1"/>
    <w:link w:val="21"/>
    <w:autoRedefine/>
    <w:qFormat/>
    <w:uiPriority w:val="99"/>
    <w:pPr>
      <w:shd w:val="clear" w:color="auto" w:fill="FFFFFF"/>
      <w:spacing w:line="240" w:lineRule="atLeast"/>
      <w:jc w:val="left"/>
    </w:pPr>
    <w:rPr>
      <w:rFonts w:ascii="MingLiU" w:eastAsia="MingLiU"/>
      <w:kern w:val="0"/>
      <w:sz w:val="22"/>
      <w:szCs w:val="22"/>
    </w:rPr>
  </w:style>
  <w:style w:type="character" w:customStyle="1" w:styleId="21">
    <w:name w:val="表格标题 (5)_"/>
    <w:link w:val="20"/>
    <w:autoRedefine/>
    <w:qFormat/>
    <w:locked/>
    <w:uiPriority w:val="99"/>
    <w:rPr>
      <w:rFonts w:ascii="MingLiU" w:eastAsia="MingLiU"/>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2024-04-29T04:31:00Z</dcterms:created>
  <dc:creator>型</dc:creator>
  <cp:lastModifiedBy>型</cp:lastModifiedBy>
  <dcterms:modified xsi:type="dcterms:W3CDTF">2024-04-29T04:36:55Z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DD3AE36A4A14405DA66F265E313B0801_13</vt:lpwstr>
  </property>
</Properties>
</file>