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0"/>
        <w:spacing w:line="422" w:lineRule="auto"/>
        <w:ind w:firstLine="400" w:firstLineChars="200"/>
        <w:jc w:val="both"/>
        <w:rPr>
          <w:rFonts w:ascii="Times New Roman"/>
          <w:color w:val="auto"/>
          <w:sz w:val="20"/>
        </w:rPr>
      </w:pPr>
      <w:bookmarkStart w:id="0" w:name="_Hlk128302597"/>
      <w:bookmarkEnd w:id="0"/>
    </w:p>
    <w:p>
      <w:pPr>
        <w:pStyle w:val="10"/>
        <w:spacing w:line="422" w:lineRule="auto"/>
        <w:ind w:firstLine="400" w:firstLineChars="200"/>
        <w:jc w:val="both"/>
        <w:rPr>
          <w:rFonts w:ascii="Times New Roman"/>
          <w:color w:val="auto"/>
          <w:sz w:val="20"/>
        </w:rPr>
      </w:pPr>
    </w:p>
    <w:p>
      <w:pPr>
        <w:pStyle w:val="10"/>
        <w:spacing w:line="422" w:lineRule="auto"/>
        <w:ind w:firstLine="400" w:firstLineChars="200"/>
        <w:jc w:val="both"/>
        <w:rPr>
          <w:rFonts w:ascii="Times New Roman"/>
          <w:color w:val="auto"/>
          <w:sz w:val="20"/>
        </w:rPr>
      </w:pPr>
    </w:p>
    <w:p>
      <w:pPr>
        <w:pStyle w:val="10"/>
        <w:spacing w:line="422" w:lineRule="auto"/>
        <w:ind w:firstLine="400" w:firstLineChars="200"/>
        <w:jc w:val="both"/>
        <w:rPr>
          <w:rFonts w:ascii="Times New Roman"/>
          <w:color w:val="auto"/>
          <w:sz w:val="20"/>
        </w:rPr>
      </w:pPr>
    </w:p>
    <w:p>
      <w:pPr>
        <w:pStyle w:val="10"/>
        <w:spacing w:line="422" w:lineRule="auto"/>
        <w:ind w:firstLine="400" w:firstLineChars="200"/>
        <w:jc w:val="both"/>
        <w:rPr>
          <w:rFonts w:ascii="Times New Roman"/>
          <w:color w:val="auto"/>
          <w:sz w:val="20"/>
        </w:rPr>
      </w:pPr>
    </w:p>
    <w:p>
      <w:pPr>
        <w:pStyle w:val="10"/>
        <w:spacing w:line="422" w:lineRule="auto"/>
        <w:jc w:val="center"/>
        <w:rPr>
          <w:rFonts w:hint="eastAsia" w:asciiTheme="minorEastAsia" w:hAnsiTheme="minorEastAsia" w:eastAsiaTheme="minorEastAsia" w:cstheme="minorEastAsia"/>
          <w:b/>
          <w:bCs/>
          <w:color w:val="auto"/>
          <w:sz w:val="52"/>
          <w:szCs w:val="52"/>
          <w:lang w:eastAsia="zh-CN"/>
        </w:rPr>
      </w:pPr>
      <w:r>
        <w:rPr>
          <w:rFonts w:hint="eastAsia" w:asciiTheme="minorEastAsia" w:hAnsiTheme="minorEastAsia" w:eastAsiaTheme="minorEastAsia" w:cstheme="minorEastAsia"/>
          <w:b/>
          <w:bCs/>
          <w:color w:val="auto"/>
          <w:sz w:val="52"/>
          <w:szCs w:val="52"/>
          <w:lang w:eastAsia="zh-CN"/>
        </w:rPr>
        <w:t>罗定市农村生活污水治理建设项目可行性研究报告（修编）</w:t>
      </w:r>
    </w:p>
    <w:p>
      <w:pPr>
        <w:pStyle w:val="10"/>
        <w:spacing w:line="422" w:lineRule="auto"/>
        <w:ind w:firstLine="400" w:firstLineChars="200"/>
        <w:jc w:val="both"/>
        <w:rPr>
          <w:rFonts w:ascii="Times New Roman"/>
          <w:color w:val="auto"/>
          <w:sz w:val="20"/>
        </w:rPr>
      </w:pPr>
    </w:p>
    <w:p>
      <w:pPr>
        <w:pStyle w:val="10"/>
        <w:spacing w:line="422" w:lineRule="auto"/>
        <w:ind w:firstLine="400" w:firstLineChars="200"/>
        <w:jc w:val="both"/>
        <w:rPr>
          <w:rFonts w:ascii="Times New Roman"/>
          <w:color w:val="auto"/>
          <w:sz w:val="20"/>
        </w:rPr>
      </w:pPr>
    </w:p>
    <w:p>
      <w:pPr>
        <w:pStyle w:val="10"/>
        <w:spacing w:line="422" w:lineRule="auto"/>
        <w:ind w:firstLine="400" w:firstLineChars="200"/>
        <w:jc w:val="both"/>
        <w:rPr>
          <w:rFonts w:ascii="Times New Roman"/>
          <w:color w:val="auto"/>
          <w:sz w:val="20"/>
        </w:rPr>
      </w:pPr>
    </w:p>
    <w:p>
      <w:pPr>
        <w:pStyle w:val="10"/>
        <w:spacing w:line="422" w:lineRule="auto"/>
        <w:ind w:firstLine="400" w:firstLineChars="200"/>
        <w:jc w:val="both"/>
        <w:rPr>
          <w:rFonts w:ascii="Times New Roman"/>
          <w:color w:val="auto"/>
          <w:sz w:val="20"/>
        </w:rPr>
      </w:pPr>
    </w:p>
    <w:p>
      <w:pPr>
        <w:pStyle w:val="10"/>
        <w:spacing w:line="422" w:lineRule="auto"/>
        <w:ind w:firstLine="400" w:firstLineChars="200"/>
        <w:jc w:val="both"/>
        <w:rPr>
          <w:rFonts w:ascii="Times New Roman"/>
          <w:color w:val="auto"/>
          <w:sz w:val="20"/>
        </w:rPr>
      </w:pPr>
    </w:p>
    <w:p>
      <w:pPr>
        <w:pStyle w:val="10"/>
        <w:spacing w:line="422" w:lineRule="auto"/>
        <w:ind w:firstLine="400" w:firstLineChars="200"/>
        <w:jc w:val="both"/>
        <w:rPr>
          <w:rFonts w:ascii="Times New Roman"/>
          <w:color w:val="auto"/>
          <w:sz w:val="20"/>
        </w:rPr>
      </w:pPr>
    </w:p>
    <w:p>
      <w:pPr>
        <w:pStyle w:val="10"/>
        <w:spacing w:line="422" w:lineRule="auto"/>
        <w:ind w:firstLine="400" w:firstLineChars="200"/>
        <w:jc w:val="both"/>
        <w:rPr>
          <w:rFonts w:ascii="Times New Roman"/>
          <w:color w:val="auto"/>
          <w:sz w:val="20"/>
        </w:rPr>
      </w:pPr>
    </w:p>
    <w:p>
      <w:pPr>
        <w:pStyle w:val="10"/>
        <w:spacing w:line="422" w:lineRule="auto"/>
        <w:ind w:firstLine="400" w:firstLineChars="200"/>
        <w:jc w:val="both"/>
        <w:rPr>
          <w:rFonts w:ascii="Times New Roman"/>
          <w:color w:val="auto"/>
          <w:sz w:val="20"/>
        </w:rPr>
      </w:pPr>
    </w:p>
    <w:p>
      <w:pPr>
        <w:pStyle w:val="10"/>
        <w:spacing w:line="422" w:lineRule="auto"/>
        <w:ind w:firstLine="400" w:firstLineChars="200"/>
        <w:jc w:val="both"/>
        <w:rPr>
          <w:rFonts w:ascii="Times New Roman"/>
          <w:color w:val="auto"/>
          <w:sz w:val="20"/>
        </w:rPr>
      </w:pPr>
    </w:p>
    <w:p>
      <w:pPr>
        <w:pStyle w:val="10"/>
        <w:spacing w:line="422" w:lineRule="auto"/>
        <w:ind w:firstLine="960" w:firstLineChars="200"/>
        <w:jc w:val="both"/>
        <w:rPr>
          <w:rFonts w:ascii="黑体"/>
          <w:color w:val="auto"/>
          <w:sz w:val="48"/>
        </w:rPr>
      </w:pPr>
    </w:p>
    <w:p>
      <w:pPr>
        <w:pStyle w:val="10"/>
        <w:spacing w:line="422" w:lineRule="auto"/>
        <w:ind w:firstLine="1000" w:firstLineChars="200"/>
        <w:jc w:val="both"/>
        <w:rPr>
          <w:rFonts w:hint="eastAsia" w:ascii="黑体" w:eastAsia="仿宋"/>
          <w:color w:val="auto"/>
          <w:sz w:val="50"/>
          <w:lang w:eastAsia="zh-CN"/>
        </w:rPr>
      </w:pPr>
      <w:bookmarkStart w:id="251" w:name="_GoBack"/>
      <w:r>
        <w:rPr>
          <w:rFonts w:hint="eastAsia" w:ascii="黑体" w:eastAsia="仿宋"/>
          <w:color w:val="auto"/>
          <w:sz w:val="50"/>
          <w:lang w:eastAsia="zh-CN"/>
        </w:rPr>
        <w:drawing>
          <wp:anchor distT="0" distB="0" distL="114300" distR="114300" simplePos="0" relativeHeight="251681792" behindDoc="0" locked="0" layoutInCell="1" allowOverlap="1">
            <wp:simplePos x="0" y="0"/>
            <wp:positionH relativeFrom="column">
              <wp:posOffset>1828165</wp:posOffset>
            </wp:positionH>
            <wp:positionV relativeFrom="paragraph">
              <wp:posOffset>615315</wp:posOffset>
            </wp:positionV>
            <wp:extent cx="1967865" cy="1967865"/>
            <wp:effectExtent l="0" t="0" r="13335" b="13335"/>
            <wp:wrapNone/>
            <wp:docPr id="29" name="图片 29" descr="广东省水利水电科学研究院_redmi.work_alph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广东省水利水电科学研究院_redmi.work_alpha (2)"/>
                    <pic:cNvPicPr>
                      <a:picLocks noChangeAspect="1"/>
                    </pic:cNvPicPr>
                  </pic:nvPicPr>
                  <pic:blipFill>
                    <a:blip r:embed="rId23"/>
                    <a:stretch>
                      <a:fillRect/>
                    </a:stretch>
                  </pic:blipFill>
                  <pic:spPr>
                    <a:xfrm>
                      <a:off x="0" y="0"/>
                      <a:ext cx="1967865" cy="1967865"/>
                    </a:xfrm>
                    <a:prstGeom prst="rect">
                      <a:avLst/>
                    </a:prstGeom>
                  </pic:spPr>
                </pic:pic>
              </a:graphicData>
            </a:graphic>
          </wp:anchor>
        </w:drawing>
      </w:r>
      <w:bookmarkEnd w:id="251"/>
    </w:p>
    <w:p>
      <w:pPr>
        <w:pStyle w:val="11"/>
        <w:rPr>
          <w:rFonts w:hint="eastAsia" w:eastAsia="宋体"/>
          <w:color w:val="auto"/>
          <w:lang w:eastAsia="zh-CN"/>
        </w:rPr>
      </w:pPr>
    </w:p>
    <w:p>
      <w:pPr>
        <w:pStyle w:val="10"/>
        <w:spacing w:line="422" w:lineRule="auto"/>
        <w:ind w:firstLine="562" w:firstLineChars="200"/>
        <w:jc w:val="both"/>
        <w:rPr>
          <w:rFonts w:asciiTheme="minorEastAsia" w:hAnsiTheme="minorEastAsia" w:eastAsiaTheme="minorEastAsia" w:cstheme="minorEastAsia"/>
          <w:b/>
          <w:bCs/>
          <w:color w:val="auto"/>
        </w:rPr>
      </w:pPr>
      <w:r>
        <w:rPr>
          <w:rFonts w:hint="eastAsia" w:asciiTheme="minorEastAsia" w:hAnsiTheme="minorEastAsia" w:eastAsiaTheme="minorEastAsia" w:cstheme="minorEastAsia"/>
          <w:b/>
          <w:bCs/>
          <w:color w:val="auto"/>
        </w:rPr>
        <w:t>实施单位：云浮市生态环境局罗定分局</w:t>
      </w:r>
    </w:p>
    <w:p>
      <w:pPr>
        <w:pStyle w:val="10"/>
        <w:spacing w:line="422" w:lineRule="auto"/>
        <w:ind w:firstLine="562" w:firstLineChars="200"/>
        <w:jc w:val="both"/>
        <w:rPr>
          <w:rFonts w:asciiTheme="minorEastAsia" w:hAnsiTheme="minorEastAsia" w:eastAsiaTheme="minorEastAsia" w:cstheme="minorEastAsia"/>
          <w:b/>
          <w:bCs/>
          <w:color w:val="auto"/>
        </w:rPr>
      </w:pPr>
      <w:r>
        <w:rPr>
          <w:rFonts w:hint="eastAsia" w:asciiTheme="minorEastAsia" w:hAnsiTheme="minorEastAsia" w:eastAsiaTheme="minorEastAsia" w:cstheme="minorEastAsia"/>
          <w:b/>
          <w:bCs/>
          <w:color w:val="auto"/>
        </w:rPr>
        <w:t>编制单位：广东省水利水电科学研究院</w:t>
      </w:r>
    </w:p>
    <w:p>
      <w:pPr>
        <w:pStyle w:val="10"/>
        <w:spacing w:line="422" w:lineRule="auto"/>
        <w:ind w:firstLine="562" w:firstLineChars="200"/>
        <w:jc w:val="both"/>
      </w:pPr>
      <w:r>
        <w:rPr>
          <w:rFonts w:hint="eastAsia" w:asciiTheme="minorEastAsia" w:hAnsiTheme="minorEastAsia" w:eastAsiaTheme="minorEastAsia" w:cstheme="minorEastAsia"/>
          <w:b/>
          <w:bCs/>
          <w:color w:val="auto"/>
        </w:rPr>
        <w:t>编制日期：二〇二</w:t>
      </w:r>
      <w:r>
        <w:rPr>
          <w:rFonts w:hint="eastAsia" w:asciiTheme="minorEastAsia" w:hAnsiTheme="minorEastAsia" w:eastAsiaTheme="minorEastAsia" w:cstheme="minorEastAsia"/>
          <w:b/>
          <w:bCs/>
          <w:color w:val="auto"/>
          <w:lang w:val="en-US" w:eastAsia="zh-CN"/>
        </w:rPr>
        <w:t>四</w:t>
      </w:r>
      <w:r>
        <w:rPr>
          <w:rFonts w:hint="eastAsia" w:asciiTheme="minorEastAsia" w:hAnsiTheme="minorEastAsia" w:eastAsiaTheme="minorEastAsia" w:cstheme="minorEastAsia"/>
          <w:b/>
          <w:bCs/>
          <w:color w:val="auto"/>
        </w:rPr>
        <w:t>年三月</w:t>
      </w:r>
    </w:p>
    <w:p>
      <w:pPr>
        <w:pStyle w:val="10"/>
        <w:spacing w:line="422" w:lineRule="auto"/>
        <w:ind w:firstLine="160" w:firstLineChars="200"/>
        <w:jc w:val="both"/>
        <w:rPr>
          <w:rFonts w:ascii="黑体"/>
          <w:color w:val="auto"/>
          <w:sz w:val="8"/>
        </w:rPr>
      </w:pPr>
    </w:p>
    <w:p>
      <w:pPr>
        <w:spacing w:line="422" w:lineRule="auto"/>
        <w:ind w:firstLine="506" w:firstLineChars="200"/>
        <w:jc w:val="both"/>
        <w:rPr>
          <w:b/>
          <w:color w:val="auto"/>
          <w:w w:val="90"/>
          <w:sz w:val="28"/>
        </w:rPr>
      </w:pPr>
    </w:p>
    <w:p>
      <w:pPr>
        <w:spacing w:line="422" w:lineRule="auto"/>
        <w:ind w:firstLine="506" w:firstLineChars="200"/>
        <w:jc w:val="both"/>
        <w:rPr>
          <w:b/>
          <w:color w:val="auto"/>
          <w:w w:val="90"/>
          <w:sz w:val="28"/>
        </w:rPr>
      </w:pPr>
    </w:p>
    <w:p>
      <w:pPr>
        <w:spacing w:line="422" w:lineRule="auto"/>
        <w:ind w:firstLine="506" w:firstLineChars="200"/>
        <w:jc w:val="both"/>
        <w:rPr>
          <w:rFonts w:hint="eastAsia" w:asciiTheme="minorEastAsia" w:hAnsiTheme="minorEastAsia" w:eastAsiaTheme="minorEastAsia" w:cstheme="minorEastAsia"/>
          <w:b/>
          <w:color w:val="auto"/>
          <w:w w:val="90"/>
          <w:sz w:val="28"/>
          <w:lang w:eastAsia="zh-CN"/>
        </w:rPr>
      </w:pPr>
      <w:r>
        <w:rPr>
          <w:rFonts w:hint="eastAsia" w:asciiTheme="minorEastAsia" w:hAnsiTheme="minorEastAsia" w:eastAsiaTheme="minorEastAsia" w:cstheme="minorEastAsia"/>
          <w:b/>
          <w:color w:val="auto"/>
          <w:w w:val="90"/>
          <w:sz w:val="28"/>
        </w:rPr>
        <w:t>项目名称：</w:t>
      </w:r>
      <w:r>
        <w:rPr>
          <w:rFonts w:hint="eastAsia" w:asciiTheme="minorEastAsia" w:hAnsiTheme="minorEastAsia" w:eastAsiaTheme="minorEastAsia" w:cstheme="minorEastAsia"/>
          <w:b/>
          <w:color w:val="auto"/>
          <w:w w:val="90"/>
          <w:sz w:val="28"/>
          <w:lang w:eastAsia="zh-CN"/>
        </w:rPr>
        <w:t>罗定市农村生活污水治理建设项目可行性研究报告（修编）</w:t>
      </w:r>
    </w:p>
    <w:p>
      <w:pPr>
        <w:spacing w:line="422" w:lineRule="auto"/>
        <w:ind w:firstLine="506" w:firstLineChars="200"/>
        <w:jc w:val="both"/>
        <w:rPr>
          <w:rFonts w:asciiTheme="minorEastAsia" w:hAnsiTheme="minorEastAsia" w:eastAsiaTheme="minorEastAsia" w:cstheme="minorEastAsia"/>
          <w:b/>
          <w:color w:val="auto"/>
          <w:w w:val="90"/>
          <w:sz w:val="28"/>
        </w:rPr>
      </w:pPr>
      <w:r>
        <w:rPr>
          <w:rFonts w:hint="eastAsia" w:asciiTheme="minorEastAsia" w:hAnsiTheme="minorEastAsia" w:eastAsiaTheme="minorEastAsia" w:cstheme="minorEastAsia"/>
          <w:b/>
          <w:color w:val="auto"/>
          <w:w w:val="90"/>
          <w:sz w:val="28"/>
        </w:rPr>
        <w:t>编制单位：广东省水利水电科学研究院</w:t>
      </w:r>
    </w:p>
    <w:p>
      <w:pPr>
        <w:spacing w:line="422" w:lineRule="auto"/>
        <w:ind w:firstLine="562" w:firstLineChars="200"/>
        <w:jc w:val="both"/>
        <w:rPr>
          <w:rFonts w:asciiTheme="minorEastAsia" w:hAnsiTheme="minorEastAsia" w:eastAsiaTheme="minorEastAsia" w:cstheme="minorEastAsia"/>
          <w:b/>
          <w:color w:val="auto"/>
          <w:sz w:val="28"/>
        </w:rPr>
      </w:pPr>
      <w:r>
        <w:rPr>
          <w:rFonts w:hint="eastAsia" w:asciiTheme="minorEastAsia" w:hAnsiTheme="minorEastAsia" w:eastAsiaTheme="minorEastAsia" w:cstheme="minorEastAsia"/>
          <w:b/>
          <w:color w:val="auto"/>
          <w:sz w:val="28"/>
        </w:rPr>
        <w:t>阶 段：可行性研究报告</w:t>
      </w:r>
    </w:p>
    <w:p>
      <w:pPr>
        <w:pStyle w:val="10"/>
        <w:spacing w:line="422" w:lineRule="auto"/>
        <w:ind w:firstLine="602" w:firstLineChars="200"/>
        <w:jc w:val="both"/>
        <w:rPr>
          <w:rFonts w:asciiTheme="minorEastAsia" w:hAnsiTheme="minorEastAsia" w:eastAsiaTheme="minorEastAsia" w:cstheme="minorEastAsia"/>
          <w:b/>
          <w:color w:val="auto"/>
          <w:sz w:val="30"/>
        </w:rPr>
      </w:pPr>
    </w:p>
    <w:p>
      <w:pPr>
        <w:spacing w:line="422" w:lineRule="auto"/>
        <w:ind w:firstLine="562" w:firstLineChars="200"/>
        <w:jc w:val="both"/>
        <w:rPr>
          <w:rFonts w:asciiTheme="minorEastAsia" w:hAnsiTheme="minorEastAsia" w:eastAsiaTheme="minorEastAsia" w:cstheme="minorEastAsia"/>
          <w:b/>
          <w:color w:val="auto"/>
          <w:sz w:val="28"/>
        </w:rPr>
      </w:pPr>
      <w:r>
        <w:rPr>
          <w:rFonts w:hint="eastAsia" w:asciiTheme="minorEastAsia" w:hAnsiTheme="minorEastAsia" w:eastAsiaTheme="minorEastAsia" w:cstheme="minorEastAsia"/>
          <w:b/>
          <w:color w:val="auto"/>
          <w:sz w:val="28"/>
        </w:rPr>
        <w:t xml:space="preserve">工程咨询资格证书：甲232021011043 </w:t>
      </w:r>
    </w:p>
    <w:p>
      <w:pPr>
        <w:spacing w:line="422" w:lineRule="auto"/>
        <w:ind w:firstLine="562" w:firstLineChars="200"/>
        <w:jc w:val="both"/>
        <w:rPr>
          <w:rFonts w:asciiTheme="minorEastAsia" w:hAnsiTheme="minorEastAsia" w:eastAsiaTheme="minorEastAsia" w:cstheme="minorEastAsia"/>
          <w:b/>
          <w:color w:val="auto"/>
          <w:sz w:val="28"/>
        </w:rPr>
      </w:pPr>
      <w:r>
        <w:rPr>
          <w:rFonts w:hint="eastAsia" w:asciiTheme="minorEastAsia" w:hAnsiTheme="minorEastAsia" w:eastAsiaTheme="minorEastAsia" w:cstheme="minorEastAsia"/>
          <w:b/>
          <w:color w:val="auto"/>
          <w:sz w:val="28"/>
        </w:rPr>
        <w:t>法定代表人：黄本胜</w:t>
      </w:r>
    </w:p>
    <w:p>
      <w:pPr>
        <w:spacing w:line="422" w:lineRule="auto"/>
        <w:ind w:firstLine="562" w:firstLineChars="200"/>
        <w:jc w:val="both"/>
        <w:rPr>
          <w:rFonts w:asciiTheme="minorEastAsia" w:hAnsiTheme="minorEastAsia" w:eastAsiaTheme="minorEastAsia" w:cstheme="minorEastAsia"/>
          <w:b/>
          <w:color w:val="auto"/>
          <w:sz w:val="28"/>
        </w:rPr>
      </w:pPr>
      <w:r>
        <w:rPr>
          <w:rFonts w:hint="eastAsia" w:asciiTheme="minorEastAsia" w:hAnsiTheme="minorEastAsia" w:eastAsiaTheme="minorEastAsia" w:cstheme="minorEastAsia"/>
          <w:b/>
          <w:color w:val="auto"/>
          <w:sz w:val="28"/>
        </w:rPr>
        <w:t>技术总负责人：黄锦林</w:t>
      </w:r>
    </w:p>
    <w:p>
      <w:pPr>
        <w:pStyle w:val="10"/>
        <w:spacing w:line="422" w:lineRule="auto"/>
        <w:ind w:firstLine="562" w:firstLineChars="200"/>
        <w:jc w:val="both"/>
        <w:rPr>
          <w:rFonts w:asciiTheme="minorEastAsia" w:hAnsiTheme="minorEastAsia" w:eastAsiaTheme="minorEastAsia" w:cstheme="minorEastAsia"/>
          <w:b/>
          <w:color w:val="auto"/>
        </w:rPr>
      </w:pPr>
    </w:p>
    <w:p>
      <w:pPr>
        <w:pStyle w:val="10"/>
        <w:spacing w:line="422" w:lineRule="auto"/>
        <w:ind w:firstLine="522" w:firstLineChars="200"/>
        <w:jc w:val="both"/>
        <w:rPr>
          <w:rFonts w:asciiTheme="minorEastAsia" w:hAnsiTheme="minorEastAsia" w:eastAsiaTheme="minorEastAsia" w:cstheme="minorEastAsia"/>
          <w:b/>
          <w:color w:val="auto"/>
          <w:sz w:val="26"/>
        </w:rPr>
      </w:pPr>
    </w:p>
    <w:p>
      <w:pPr>
        <w:spacing w:line="422" w:lineRule="auto"/>
        <w:ind w:firstLine="618" w:firstLineChars="200"/>
        <w:jc w:val="both"/>
        <w:rPr>
          <w:rFonts w:asciiTheme="minorEastAsia" w:hAnsiTheme="minorEastAsia" w:eastAsiaTheme="minorEastAsia" w:cstheme="minorEastAsia"/>
          <w:b/>
          <w:color w:val="auto"/>
          <w:spacing w:val="14"/>
          <w:sz w:val="28"/>
          <w:lang w:val="en-US"/>
        </w:rPr>
      </w:pPr>
      <w:r>
        <w:rPr>
          <w:rFonts w:hint="eastAsia" w:asciiTheme="minorEastAsia" w:hAnsiTheme="minorEastAsia" w:eastAsiaTheme="minorEastAsia" w:cstheme="minorEastAsia"/>
          <w:b/>
          <w:color w:val="auto"/>
          <w:spacing w:val="14"/>
          <w:sz w:val="28"/>
        </w:rPr>
        <w:t xml:space="preserve">审   </w:t>
      </w:r>
      <w:r>
        <w:rPr>
          <w:rFonts w:hint="eastAsia" w:asciiTheme="minorEastAsia" w:hAnsiTheme="minorEastAsia" w:eastAsiaTheme="minorEastAsia" w:cstheme="minorEastAsia"/>
          <w:b/>
          <w:color w:val="auto"/>
          <w:spacing w:val="14"/>
          <w:sz w:val="28"/>
          <w:lang w:val="en-US"/>
        </w:rPr>
        <w:t xml:space="preserve"> </w:t>
      </w:r>
      <w:r>
        <w:rPr>
          <w:rFonts w:hint="eastAsia" w:asciiTheme="minorEastAsia" w:hAnsiTheme="minorEastAsia" w:eastAsiaTheme="minorEastAsia" w:cstheme="minorEastAsia"/>
          <w:b/>
          <w:color w:val="auto"/>
          <w:spacing w:val="14"/>
          <w:sz w:val="28"/>
        </w:rPr>
        <w:t xml:space="preserve"> 定：</w:t>
      </w:r>
      <w:r>
        <w:rPr>
          <w:rFonts w:hint="eastAsia" w:asciiTheme="minorEastAsia" w:hAnsiTheme="minorEastAsia" w:eastAsiaTheme="minorEastAsia" w:cstheme="minorEastAsia"/>
          <w:b/>
          <w:color w:val="auto"/>
          <w:spacing w:val="14"/>
          <w:sz w:val="28"/>
          <w:lang w:val="en-US"/>
        </w:rPr>
        <w:t>赖翼峰</w:t>
      </w:r>
    </w:p>
    <w:p>
      <w:pPr>
        <w:spacing w:line="422" w:lineRule="auto"/>
        <w:ind w:firstLine="638" w:firstLineChars="200"/>
        <w:jc w:val="both"/>
        <w:rPr>
          <w:rFonts w:asciiTheme="minorEastAsia" w:hAnsiTheme="minorEastAsia" w:eastAsiaTheme="minorEastAsia" w:cstheme="minorEastAsia"/>
          <w:b/>
          <w:color w:val="auto"/>
          <w:spacing w:val="19"/>
          <w:sz w:val="28"/>
        </w:rPr>
      </w:pPr>
      <w:r>
        <w:rPr>
          <w:rFonts w:hint="eastAsia" w:asciiTheme="minorEastAsia" w:hAnsiTheme="minorEastAsia" w:eastAsiaTheme="minorEastAsia" w:cstheme="minorEastAsia"/>
          <w:b/>
          <w:color w:val="auto"/>
          <w:spacing w:val="19"/>
          <w:sz w:val="28"/>
        </w:rPr>
        <w:t xml:space="preserve">审    </w:t>
      </w:r>
      <w:r>
        <w:rPr>
          <w:rFonts w:hint="eastAsia" w:asciiTheme="minorEastAsia" w:hAnsiTheme="minorEastAsia" w:eastAsiaTheme="minorEastAsia" w:cstheme="minorEastAsia"/>
          <w:b/>
          <w:color w:val="auto"/>
          <w:spacing w:val="19"/>
          <w:sz w:val="28"/>
          <w:lang w:val="en-US"/>
        </w:rPr>
        <w:t xml:space="preserve"> </w:t>
      </w:r>
      <w:r>
        <w:rPr>
          <w:rFonts w:hint="eastAsia" w:asciiTheme="minorEastAsia" w:hAnsiTheme="minorEastAsia" w:eastAsiaTheme="minorEastAsia" w:cstheme="minorEastAsia"/>
          <w:b/>
          <w:color w:val="auto"/>
          <w:spacing w:val="19"/>
          <w:sz w:val="28"/>
        </w:rPr>
        <w:t>核：</w:t>
      </w:r>
      <w:r>
        <w:rPr>
          <w:rFonts w:hint="eastAsia" w:asciiTheme="minorEastAsia" w:hAnsiTheme="minorEastAsia" w:eastAsiaTheme="minorEastAsia" w:cstheme="minorEastAsia"/>
          <w:b/>
          <w:color w:val="auto"/>
          <w:spacing w:val="19"/>
          <w:sz w:val="28"/>
          <w:lang w:val="en-US"/>
        </w:rPr>
        <w:t>邱  弘</w:t>
      </w:r>
      <w:r>
        <w:rPr>
          <w:rFonts w:hint="eastAsia" w:asciiTheme="minorEastAsia" w:hAnsiTheme="minorEastAsia" w:eastAsiaTheme="minorEastAsia" w:cstheme="minorEastAsia"/>
          <w:b/>
          <w:color w:val="auto"/>
          <w:spacing w:val="19"/>
          <w:sz w:val="28"/>
        </w:rPr>
        <w:t xml:space="preserve"> </w:t>
      </w:r>
    </w:p>
    <w:p>
      <w:pPr>
        <w:spacing w:line="422" w:lineRule="auto"/>
        <w:ind w:firstLine="546" w:firstLineChars="200"/>
        <w:jc w:val="both"/>
        <w:rPr>
          <w:rFonts w:asciiTheme="minorEastAsia" w:hAnsiTheme="minorEastAsia" w:eastAsiaTheme="minorEastAsia" w:cstheme="minorEastAsia"/>
          <w:b/>
          <w:color w:val="auto"/>
          <w:spacing w:val="-4"/>
          <w:sz w:val="28"/>
        </w:rPr>
      </w:pPr>
      <w:r>
        <w:rPr>
          <w:rFonts w:hint="eastAsia" w:asciiTheme="minorEastAsia" w:hAnsiTheme="minorEastAsia" w:eastAsiaTheme="minorEastAsia" w:cstheme="minorEastAsia"/>
          <w:b/>
          <w:color w:val="auto"/>
          <w:spacing w:val="-4"/>
          <w:sz w:val="28"/>
        </w:rPr>
        <w:t>项目负责人：</w:t>
      </w:r>
      <w:r>
        <w:rPr>
          <w:rFonts w:hint="eastAsia" w:asciiTheme="minorEastAsia" w:hAnsiTheme="minorEastAsia" w:eastAsiaTheme="minorEastAsia" w:cstheme="minorEastAsia"/>
          <w:b/>
          <w:color w:val="auto"/>
          <w:spacing w:val="-3"/>
          <w:sz w:val="28"/>
          <w:lang w:val="en-US"/>
        </w:rPr>
        <w:t>叶凌飞</w:t>
      </w:r>
      <w:r>
        <w:rPr>
          <w:rFonts w:hint="eastAsia" w:asciiTheme="minorEastAsia" w:hAnsiTheme="minorEastAsia" w:eastAsiaTheme="minorEastAsia" w:cstheme="minorEastAsia"/>
          <w:b/>
          <w:color w:val="auto"/>
          <w:spacing w:val="-3"/>
          <w:sz w:val="28"/>
        </w:rPr>
        <w:t xml:space="preserve"> </w:t>
      </w:r>
    </w:p>
    <w:p>
      <w:pPr>
        <w:spacing w:line="422" w:lineRule="auto"/>
        <w:ind w:firstLine="550" w:firstLineChars="200"/>
        <w:jc w:val="both"/>
        <w:rPr>
          <w:rFonts w:asciiTheme="minorEastAsia" w:hAnsiTheme="minorEastAsia" w:eastAsiaTheme="minorEastAsia" w:cstheme="minorEastAsia"/>
          <w:b/>
          <w:color w:val="auto"/>
          <w:spacing w:val="-3"/>
          <w:sz w:val="28"/>
        </w:rPr>
      </w:pPr>
      <w:r>
        <w:rPr>
          <w:rFonts w:hint="eastAsia" w:asciiTheme="minorEastAsia" w:hAnsiTheme="minorEastAsia" w:eastAsiaTheme="minorEastAsia" w:cstheme="minorEastAsia"/>
          <w:b/>
          <w:color w:val="auto"/>
          <w:spacing w:val="-3"/>
          <w:sz w:val="28"/>
        </w:rPr>
        <w:t>专业负责人：</w:t>
      </w:r>
      <w:r>
        <w:rPr>
          <w:rFonts w:hint="eastAsia" w:asciiTheme="minorEastAsia" w:hAnsiTheme="minorEastAsia" w:eastAsiaTheme="minorEastAsia" w:cstheme="minorEastAsia"/>
          <w:b/>
          <w:color w:val="auto"/>
          <w:spacing w:val="19"/>
          <w:sz w:val="28"/>
          <w:lang w:val="en-US"/>
        </w:rPr>
        <w:t>藏克清</w:t>
      </w:r>
      <w:r>
        <w:rPr>
          <w:rFonts w:hint="eastAsia" w:asciiTheme="minorEastAsia" w:hAnsiTheme="minorEastAsia" w:eastAsiaTheme="minorEastAsia" w:cstheme="minorEastAsia"/>
          <w:b/>
          <w:color w:val="auto"/>
          <w:spacing w:val="-3"/>
          <w:sz w:val="28"/>
        </w:rPr>
        <w:t xml:space="preserve"> </w:t>
      </w:r>
    </w:p>
    <w:p>
      <w:pPr>
        <w:spacing w:line="422" w:lineRule="auto"/>
        <w:ind w:firstLine="638" w:firstLineChars="200"/>
        <w:jc w:val="both"/>
        <w:rPr>
          <w:rFonts w:asciiTheme="minorEastAsia" w:hAnsiTheme="minorEastAsia" w:eastAsiaTheme="minorEastAsia" w:cstheme="minorEastAsia"/>
          <w:b/>
          <w:color w:val="auto"/>
          <w:spacing w:val="19"/>
          <w:sz w:val="28"/>
          <w:lang w:val="en-US"/>
        </w:rPr>
      </w:pPr>
      <w:r>
        <w:rPr>
          <w:rFonts w:hint="eastAsia" w:asciiTheme="minorEastAsia" w:hAnsiTheme="minorEastAsia" w:eastAsiaTheme="minorEastAsia" w:cstheme="minorEastAsia"/>
          <w:b/>
          <w:color w:val="auto"/>
          <w:spacing w:val="19"/>
          <w:sz w:val="28"/>
        </w:rPr>
        <w:t xml:space="preserve">校  </w:t>
      </w:r>
      <w:r>
        <w:rPr>
          <w:rFonts w:hint="eastAsia" w:asciiTheme="minorEastAsia" w:hAnsiTheme="minorEastAsia" w:eastAsiaTheme="minorEastAsia" w:cstheme="minorEastAsia"/>
          <w:b/>
          <w:color w:val="auto"/>
          <w:spacing w:val="19"/>
          <w:sz w:val="28"/>
          <w:lang w:val="en-US"/>
        </w:rPr>
        <w:t xml:space="preserve">   </w:t>
      </w:r>
      <w:r>
        <w:rPr>
          <w:rFonts w:hint="eastAsia" w:asciiTheme="minorEastAsia" w:hAnsiTheme="minorEastAsia" w:eastAsiaTheme="minorEastAsia" w:cstheme="minorEastAsia"/>
          <w:b/>
          <w:color w:val="auto"/>
          <w:spacing w:val="19"/>
          <w:sz w:val="28"/>
        </w:rPr>
        <w:t>对：</w:t>
      </w:r>
      <w:r>
        <w:rPr>
          <w:rFonts w:hint="eastAsia" w:asciiTheme="minorEastAsia" w:hAnsiTheme="minorEastAsia" w:eastAsiaTheme="minorEastAsia" w:cstheme="minorEastAsia"/>
          <w:b/>
          <w:color w:val="auto"/>
          <w:spacing w:val="19"/>
          <w:sz w:val="28"/>
          <w:lang w:val="en-US"/>
        </w:rPr>
        <w:t>霍建源</w:t>
      </w:r>
    </w:p>
    <w:p>
      <w:pPr>
        <w:spacing w:line="422" w:lineRule="auto"/>
        <w:ind w:firstLine="638" w:firstLineChars="200"/>
        <w:jc w:val="both"/>
        <w:rPr>
          <w:rFonts w:asciiTheme="minorEastAsia" w:hAnsiTheme="minorEastAsia" w:eastAsiaTheme="minorEastAsia" w:cstheme="minorEastAsia"/>
          <w:b/>
          <w:color w:val="auto"/>
          <w:sz w:val="28"/>
        </w:rPr>
      </w:pPr>
      <w:r>
        <w:rPr>
          <w:rFonts w:hint="eastAsia" w:asciiTheme="minorEastAsia" w:hAnsiTheme="minorEastAsia" w:eastAsiaTheme="minorEastAsia" w:cstheme="minorEastAsia"/>
          <w:b/>
          <w:color w:val="auto"/>
          <w:spacing w:val="19"/>
          <w:sz w:val="28"/>
        </w:rPr>
        <w:t>编制 人员：</w:t>
      </w:r>
      <w:r>
        <w:rPr>
          <w:rFonts w:hint="eastAsia" w:asciiTheme="minorEastAsia" w:hAnsiTheme="minorEastAsia" w:eastAsiaTheme="minorEastAsia" w:cstheme="minorEastAsia"/>
          <w:b/>
          <w:color w:val="auto"/>
          <w:spacing w:val="19"/>
          <w:sz w:val="28"/>
          <w:lang w:val="en-US"/>
        </w:rPr>
        <w:t>张荣上 费开轩 董柏威 刘洪</w:t>
      </w:r>
      <w:r>
        <w:rPr>
          <w:rFonts w:hint="eastAsia" w:asciiTheme="minorEastAsia" w:hAnsiTheme="minorEastAsia" w:eastAsiaTheme="minorEastAsia" w:cstheme="minorEastAsia"/>
          <w:b/>
          <w:color w:val="auto"/>
          <w:spacing w:val="19"/>
          <w:sz w:val="28"/>
        </w:rPr>
        <w:t xml:space="preserve"> </w:t>
      </w:r>
    </w:p>
    <w:p>
      <w:pPr>
        <w:spacing w:line="422" w:lineRule="auto"/>
        <w:ind w:firstLine="560" w:firstLineChars="200"/>
        <w:jc w:val="both"/>
        <w:rPr>
          <w:color w:val="auto"/>
          <w:sz w:val="28"/>
        </w:rPr>
        <w:sectPr>
          <w:footerReference r:id="rId3" w:type="default"/>
          <w:type w:val="nextColumn"/>
          <w:pgSz w:w="11910" w:h="16840"/>
          <w:pgMar w:top="1418" w:right="1418" w:bottom="1418" w:left="1701" w:header="0" w:footer="726" w:gutter="0"/>
          <w:pgNumType w:start="1"/>
          <w:cols w:space="720" w:num="1"/>
        </w:sectPr>
      </w:pPr>
    </w:p>
    <w:p>
      <w:pPr>
        <w:spacing w:line="422" w:lineRule="auto"/>
        <w:ind w:firstLine="562" w:firstLineChars="200"/>
        <w:jc w:val="center"/>
        <w:rPr>
          <w:rFonts w:ascii="宋体" w:eastAsia="宋体"/>
          <w:color w:val="auto"/>
          <w:sz w:val="21"/>
        </w:rPr>
      </w:pPr>
      <w:r>
        <w:rPr>
          <w:rFonts w:hint="eastAsia" w:ascii="宋体" w:eastAsia="宋体"/>
          <w:b/>
          <w:bCs/>
          <w:color w:val="auto"/>
          <w:sz w:val="28"/>
          <w:szCs w:val="28"/>
        </w:rPr>
        <w:t>咨</w:t>
      </w:r>
      <w:r>
        <w:rPr>
          <w:rFonts w:hint="eastAsia" w:ascii="宋体" w:eastAsia="宋体"/>
          <w:b/>
          <w:bCs/>
          <w:color w:val="auto"/>
          <w:sz w:val="28"/>
          <w:szCs w:val="28"/>
          <w:lang w:val="en-US"/>
        </w:rPr>
        <w:t>信</w:t>
      </w:r>
      <w:r>
        <w:rPr>
          <w:rFonts w:hint="eastAsia" w:ascii="宋体" w:eastAsia="宋体"/>
          <w:b/>
          <w:bCs/>
          <w:color w:val="auto"/>
          <w:sz w:val="28"/>
          <w:szCs w:val="28"/>
        </w:rPr>
        <w:t>资质</w:t>
      </w:r>
      <w:r>
        <w:rPr>
          <w:rFonts w:hint="eastAsia" w:ascii="宋体" w:eastAsia="宋体"/>
          <w:color w:val="auto"/>
          <w:sz w:val="21"/>
          <w:lang w:val="en-US" w:bidi="ar-SA"/>
        </w:rPr>
        <w:drawing>
          <wp:inline distT="0" distB="0" distL="114300" distR="114300">
            <wp:extent cx="5756910" cy="8143875"/>
            <wp:effectExtent l="0" t="0" r="0" b="0"/>
            <wp:docPr id="4" name="图片 4" descr="42f51d2973baac12c5058eb13e9c0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42f51d2973baac12c5058eb13e9c0c0"/>
                    <pic:cNvPicPr>
                      <a:picLocks noChangeAspect="1"/>
                    </pic:cNvPicPr>
                  </pic:nvPicPr>
                  <pic:blipFill>
                    <a:blip r:embed="rId24"/>
                    <a:stretch>
                      <a:fillRect/>
                    </a:stretch>
                  </pic:blipFill>
                  <pic:spPr>
                    <a:xfrm>
                      <a:off x="0" y="0"/>
                      <a:ext cx="5759633" cy="8146888"/>
                    </a:xfrm>
                    <a:prstGeom prst="rect">
                      <a:avLst/>
                    </a:prstGeom>
                  </pic:spPr>
                </pic:pic>
              </a:graphicData>
            </a:graphic>
          </wp:inline>
        </w:drawing>
      </w:r>
    </w:p>
    <w:p>
      <w:pPr>
        <w:spacing w:line="422" w:lineRule="auto"/>
        <w:ind w:firstLine="420" w:firstLineChars="200"/>
        <w:jc w:val="both"/>
        <w:rPr>
          <w:rFonts w:ascii="宋体" w:eastAsia="宋体"/>
          <w:color w:val="auto"/>
          <w:sz w:val="21"/>
        </w:rPr>
        <w:sectPr>
          <w:footerReference r:id="rId4" w:type="default"/>
          <w:type w:val="nextColumn"/>
          <w:pgSz w:w="11910" w:h="16840"/>
          <w:pgMar w:top="1418" w:right="1418" w:bottom="1418" w:left="1701" w:header="0" w:footer="512" w:gutter="0"/>
          <w:cols w:space="720" w:num="1"/>
        </w:sectPr>
      </w:pPr>
    </w:p>
    <w:sdt>
      <w:sdtPr>
        <w:rPr>
          <w:rFonts w:hint="eastAsia" w:ascii="黑体" w:hAnsi="黑体" w:eastAsia="黑体" w:cs="黑体"/>
          <w:b/>
          <w:bCs/>
          <w:color w:val="auto"/>
        </w:rPr>
        <w:id w:val="147473003"/>
        <w:docPartObj>
          <w:docPartGallery w:val="Table of Contents"/>
          <w:docPartUnique/>
        </w:docPartObj>
      </w:sdtPr>
      <w:sdtEndPr>
        <w:rPr>
          <w:rFonts w:hint="eastAsia" w:ascii="宋体" w:hAnsi="宋体" w:eastAsia="宋体" w:cs="黑体"/>
          <w:b/>
          <w:bCs/>
          <w:color w:val="auto"/>
          <w:sz w:val="21"/>
          <w:szCs w:val="21"/>
        </w:rPr>
      </w:sdtEndPr>
      <w:sdtContent>
        <w:p>
          <w:pPr>
            <w:spacing w:line="360" w:lineRule="auto"/>
            <w:jc w:val="center"/>
            <w:rPr>
              <w:rFonts w:ascii="黑体" w:hAnsi="黑体" w:eastAsia="黑体" w:cs="黑体"/>
              <w:b/>
              <w:bCs/>
              <w:color w:val="auto"/>
            </w:rPr>
          </w:pPr>
          <w:bookmarkStart w:id="1" w:name="_Toc11615"/>
          <w:r>
            <w:rPr>
              <w:rFonts w:hint="eastAsia" w:ascii="黑体" w:hAnsi="黑体" w:eastAsia="黑体" w:cs="黑体"/>
              <w:b/>
              <w:bCs/>
              <w:color w:val="auto"/>
            </w:rPr>
            <w:t>目录</w:t>
          </w:r>
        </w:p>
        <w:p>
          <w:pPr>
            <w:pStyle w:val="19"/>
            <w:tabs>
              <w:tab w:val="right" w:leader="dot" w:pos="8791"/>
            </w:tabs>
            <w:jc w:val="left"/>
            <w:rPr>
              <w:color w:val="auto"/>
            </w:rPr>
          </w:pPr>
          <w:r>
            <w:rPr>
              <w:color w:val="auto"/>
            </w:rPr>
            <w:fldChar w:fldCharType="begin"/>
          </w:r>
          <w:r>
            <w:rPr>
              <w:color w:val="auto"/>
            </w:rPr>
            <w:instrText xml:space="preserve">TOC \o "1-3" \h \u </w:instrText>
          </w:r>
          <w:r>
            <w:rPr>
              <w:color w:val="auto"/>
            </w:rPr>
            <w:fldChar w:fldCharType="separate"/>
          </w:r>
          <w:r>
            <w:rPr>
              <w:color w:val="auto"/>
            </w:rPr>
            <w:fldChar w:fldCharType="begin"/>
          </w:r>
          <w:r>
            <w:rPr>
              <w:color w:val="auto"/>
            </w:rPr>
            <w:instrText xml:space="preserve"> HYPERLINK \l _Toc4941 </w:instrText>
          </w:r>
          <w:r>
            <w:rPr>
              <w:color w:val="auto"/>
            </w:rPr>
            <w:fldChar w:fldCharType="separate"/>
          </w:r>
          <w:r>
            <w:rPr>
              <w:rFonts w:hint="eastAsia"/>
              <w:color w:val="auto"/>
            </w:rPr>
            <w:t>一、概述</w:t>
          </w:r>
          <w:r>
            <w:rPr>
              <w:color w:val="auto"/>
            </w:rPr>
            <w:tab/>
          </w:r>
          <w:r>
            <w:rPr>
              <w:color w:val="auto"/>
            </w:rPr>
            <w:fldChar w:fldCharType="begin"/>
          </w:r>
          <w:r>
            <w:rPr>
              <w:color w:val="auto"/>
            </w:rPr>
            <w:instrText xml:space="preserve"> PAGEREF _Toc4941 \h </w:instrText>
          </w:r>
          <w:r>
            <w:rPr>
              <w:color w:val="auto"/>
            </w:rPr>
            <w:fldChar w:fldCharType="separate"/>
          </w:r>
          <w:r>
            <w:rPr>
              <w:color w:val="auto"/>
            </w:rPr>
            <w:t>4</w:t>
          </w:r>
          <w:r>
            <w:rPr>
              <w:color w:val="auto"/>
            </w:rPr>
            <w:fldChar w:fldCharType="end"/>
          </w:r>
          <w:r>
            <w:rPr>
              <w:color w:val="auto"/>
            </w:rPr>
            <w:fldChar w:fldCharType="end"/>
          </w:r>
        </w:p>
        <w:p>
          <w:pPr>
            <w:pStyle w:val="23"/>
            <w:tabs>
              <w:tab w:val="right" w:leader="dot" w:pos="8791"/>
            </w:tabs>
            <w:rPr>
              <w:color w:val="auto"/>
            </w:rPr>
          </w:pPr>
          <w:r>
            <w:rPr>
              <w:color w:val="auto"/>
            </w:rPr>
            <w:fldChar w:fldCharType="begin"/>
          </w:r>
          <w:r>
            <w:rPr>
              <w:color w:val="auto"/>
            </w:rPr>
            <w:instrText xml:space="preserve"> HYPERLINK \l _Toc9886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1.1 </w:t>
          </w:r>
          <w:r>
            <w:rPr>
              <w:rFonts w:hint="eastAsia" w:asciiTheme="minorEastAsia" w:hAnsiTheme="minorEastAsia" w:eastAsiaTheme="minorEastAsia" w:cstheme="minorEastAsia"/>
              <w:color w:val="auto"/>
              <w:szCs w:val="24"/>
            </w:rPr>
            <w:t>项目背景</w:t>
          </w:r>
          <w:r>
            <w:rPr>
              <w:color w:val="auto"/>
            </w:rPr>
            <w:tab/>
          </w:r>
          <w:r>
            <w:rPr>
              <w:color w:val="auto"/>
            </w:rPr>
            <w:fldChar w:fldCharType="begin"/>
          </w:r>
          <w:r>
            <w:rPr>
              <w:color w:val="auto"/>
            </w:rPr>
            <w:instrText xml:space="preserve"> PAGEREF _Toc9886 \h </w:instrText>
          </w:r>
          <w:r>
            <w:rPr>
              <w:color w:val="auto"/>
            </w:rPr>
            <w:fldChar w:fldCharType="separate"/>
          </w:r>
          <w:r>
            <w:rPr>
              <w:color w:val="auto"/>
            </w:rPr>
            <w:t>4</w:t>
          </w:r>
          <w:r>
            <w:rPr>
              <w:color w:val="auto"/>
            </w:rPr>
            <w:fldChar w:fldCharType="end"/>
          </w:r>
          <w:r>
            <w:rPr>
              <w:color w:val="auto"/>
            </w:rPr>
            <w:fldChar w:fldCharType="end"/>
          </w:r>
        </w:p>
        <w:p>
          <w:pPr>
            <w:pStyle w:val="23"/>
            <w:tabs>
              <w:tab w:val="right" w:leader="dot" w:pos="8791"/>
            </w:tabs>
            <w:rPr>
              <w:color w:val="auto"/>
            </w:rPr>
          </w:pPr>
          <w:r>
            <w:rPr>
              <w:color w:val="auto"/>
            </w:rPr>
            <w:fldChar w:fldCharType="begin"/>
          </w:r>
          <w:r>
            <w:rPr>
              <w:color w:val="auto"/>
            </w:rPr>
            <w:instrText xml:space="preserve"> HYPERLINK \l _Toc17196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1.2 </w:t>
          </w:r>
          <w:r>
            <w:rPr>
              <w:rFonts w:hint="eastAsia" w:asciiTheme="minorEastAsia" w:hAnsiTheme="minorEastAsia" w:eastAsiaTheme="minorEastAsia" w:cstheme="minorEastAsia"/>
              <w:color w:val="auto"/>
              <w:szCs w:val="24"/>
            </w:rPr>
            <w:t>项目名称</w:t>
          </w:r>
          <w:r>
            <w:rPr>
              <w:color w:val="auto"/>
            </w:rPr>
            <w:tab/>
          </w:r>
          <w:r>
            <w:rPr>
              <w:color w:val="auto"/>
            </w:rPr>
            <w:fldChar w:fldCharType="begin"/>
          </w:r>
          <w:r>
            <w:rPr>
              <w:color w:val="auto"/>
            </w:rPr>
            <w:instrText xml:space="preserve"> PAGEREF _Toc17196 \h </w:instrText>
          </w:r>
          <w:r>
            <w:rPr>
              <w:color w:val="auto"/>
            </w:rPr>
            <w:fldChar w:fldCharType="separate"/>
          </w:r>
          <w:r>
            <w:rPr>
              <w:color w:val="auto"/>
            </w:rPr>
            <w:t>4</w:t>
          </w:r>
          <w:r>
            <w:rPr>
              <w:color w:val="auto"/>
            </w:rPr>
            <w:fldChar w:fldCharType="end"/>
          </w:r>
          <w:r>
            <w:rPr>
              <w:color w:val="auto"/>
            </w:rPr>
            <w:fldChar w:fldCharType="end"/>
          </w:r>
        </w:p>
        <w:p>
          <w:pPr>
            <w:pStyle w:val="23"/>
            <w:tabs>
              <w:tab w:val="right" w:leader="dot" w:pos="8791"/>
            </w:tabs>
            <w:rPr>
              <w:color w:val="auto"/>
            </w:rPr>
          </w:pPr>
          <w:r>
            <w:rPr>
              <w:color w:val="auto"/>
            </w:rPr>
            <w:fldChar w:fldCharType="begin"/>
          </w:r>
          <w:r>
            <w:rPr>
              <w:color w:val="auto"/>
            </w:rPr>
            <w:instrText xml:space="preserve"> HYPERLINK \l _Toc11762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1.3 </w:t>
          </w:r>
          <w:r>
            <w:rPr>
              <w:rFonts w:hint="eastAsia" w:asciiTheme="minorEastAsia" w:hAnsiTheme="minorEastAsia" w:eastAsiaTheme="minorEastAsia" w:cstheme="minorEastAsia"/>
              <w:color w:val="auto"/>
              <w:szCs w:val="24"/>
            </w:rPr>
            <w:t>实施机构</w:t>
          </w:r>
          <w:r>
            <w:rPr>
              <w:color w:val="auto"/>
            </w:rPr>
            <w:tab/>
          </w:r>
          <w:r>
            <w:rPr>
              <w:color w:val="auto"/>
            </w:rPr>
            <w:fldChar w:fldCharType="begin"/>
          </w:r>
          <w:r>
            <w:rPr>
              <w:color w:val="auto"/>
            </w:rPr>
            <w:instrText xml:space="preserve"> PAGEREF _Toc11762 \h </w:instrText>
          </w:r>
          <w:r>
            <w:rPr>
              <w:color w:val="auto"/>
            </w:rPr>
            <w:fldChar w:fldCharType="separate"/>
          </w:r>
          <w:r>
            <w:rPr>
              <w:color w:val="auto"/>
            </w:rPr>
            <w:t>4</w:t>
          </w:r>
          <w:r>
            <w:rPr>
              <w:color w:val="auto"/>
            </w:rPr>
            <w:fldChar w:fldCharType="end"/>
          </w:r>
          <w:r>
            <w:rPr>
              <w:color w:val="auto"/>
            </w:rPr>
            <w:fldChar w:fldCharType="end"/>
          </w:r>
        </w:p>
        <w:p>
          <w:pPr>
            <w:pStyle w:val="23"/>
            <w:tabs>
              <w:tab w:val="right" w:leader="dot" w:pos="8791"/>
            </w:tabs>
            <w:rPr>
              <w:color w:val="auto"/>
            </w:rPr>
          </w:pPr>
          <w:r>
            <w:rPr>
              <w:color w:val="auto"/>
            </w:rPr>
            <w:fldChar w:fldCharType="begin"/>
          </w:r>
          <w:r>
            <w:rPr>
              <w:color w:val="auto"/>
            </w:rPr>
            <w:instrText xml:space="preserve"> HYPERLINK \l _Toc8323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1.4 </w:t>
          </w:r>
          <w:r>
            <w:rPr>
              <w:rFonts w:hint="eastAsia" w:asciiTheme="minorEastAsia" w:hAnsiTheme="minorEastAsia" w:eastAsiaTheme="minorEastAsia" w:cstheme="minorEastAsia"/>
              <w:color w:val="auto"/>
              <w:szCs w:val="24"/>
            </w:rPr>
            <w:t>工作过程</w:t>
          </w:r>
          <w:r>
            <w:rPr>
              <w:color w:val="auto"/>
            </w:rPr>
            <w:tab/>
          </w:r>
          <w:r>
            <w:rPr>
              <w:color w:val="auto"/>
            </w:rPr>
            <w:fldChar w:fldCharType="begin"/>
          </w:r>
          <w:r>
            <w:rPr>
              <w:color w:val="auto"/>
            </w:rPr>
            <w:instrText xml:space="preserve"> PAGEREF _Toc8323 \h </w:instrText>
          </w:r>
          <w:r>
            <w:rPr>
              <w:color w:val="auto"/>
            </w:rPr>
            <w:fldChar w:fldCharType="separate"/>
          </w:r>
          <w:r>
            <w:rPr>
              <w:color w:val="auto"/>
            </w:rPr>
            <w:t>5</w:t>
          </w:r>
          <w:r>
            <w:rPr>
              <w:color w:val="auto"/>
            </w:rPr>
            <w:fldChar w:fldCharType="end"/>
          </w:r>
          <w:r>
            <w:rPr>
              <w:color w:val="auto"/>
            </w:rPr>
            <w:fldChar w:fldCharType="end"/>
          </w:r>
        </w:p>
        <w:p>
          <w:pPr>
            <w:pStyle w:val="23"/>
            <w:tabs>
              <w:tab w:val="right" w:leader="dot" w:pos="8791"/>
            </w:tabs>
            <w:rPr>
              <w:color w:val="auto"/>
            </w:rPr>
          </w:pPr>
          <w:r>
            <w:rPr>
              <w:color w:val="auto"/>
            </w:rPr>
            <w:fldChar w:fldCharType="begin"/>
          </w:r>
          <w:r>
            <w:rPr>
              <w:color w:val="auto"/>
            </w:rPr>
            <w:instrText xml:space="preserve"> HYPERLINK \l _Toc5017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1.5 </w:t>
          </w:r>
          <w:r>
            <w:rPr>
              <w:rFonts w:hint="eastAsia" w:asciiTheme="minorEastAsia" w:hAnsiTheme="minorEastAsia" w:eastAsiaTheme="minorEastAsia" w:cstheme="minorEastAsia"/>
              <w:color w:val="auto"/>
              <w:szCs w:val="24"/>
            </w:rPr>
            <w:t>编制依据</w:t>
          </w:r>
          <w:r>
            <w:rPr>
              <w:color w:val="auto"/>
            </w:rPr>
            <w:tab/>
          </w:r>
          <w:r>
            <w:rPr>
              <w:color w:val="auto"/>
            </w:rPr>
            <w:fldChar w:fldCharType="begin"/>
          </w:r>
          <w:r>
            <w:rPr>
              <w:color w:val="auto"/>
            </w:rPr>
            <w:instrText xml:space="preserve"> PAGEREF _Toc5017 \h </w:instrText>
          </w:r>
          <w:r>
            <w:rPr>
              <w:color w:val="auto"/>
            </w:rPr>
            <w:fldChar w:fldCharType="separate"/>
          </w:r>
          <w:r>
            <w:rPr>
              <w:color w:val="auto"/>
            </w:rPr>
            <w:t>6</w:t>
          </w:r>
          <w:r>
            <w:rPr>
              <w:color w:val="auto"/>
            </w:rPr>
            <w:fldChar w:fldCharType="end"/>
          </w:r>
          <w:r>
            <w:rPr>
              <w:color w:val="auto"/>
            </w:rPr>
            <w:fldChar w:fldCharType="end"/>
          </w:r>
        </w:p>
        <w:p>
          <w:pPr>
            <w:pStyle w:val="23"/>
            <w:tabs>
              <w:tab w:val="right" w:leader="dot" w:pos="8791"/>
            </w:tabs>
            <w:rPr>
              <w:color w:val="auto"/>
            </w:rPr>
          </w:pPr>
          <w:r>
            <w:rPr>
              <w:color w:val="auto"/>
            </w:rPr>
            <w:fldChar w:fldCharType="begin"/>
          </w:r>
          <w:r>
            <w:rPr>
              <w:color w:val="auto"/>
            </w:rPr>
            <w:instrText xml:space="preserve"> HYPERLINK \l _Toc28584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1.6 </w:t>
          </w:r>
          <w:r>
            <w:rPr>
              <w:rFonts w:hint="eastAsia" w:asciiTheme="minorEastAsia" w:hAnsiTheme="minorEastAsia" w:eastAsiaTheme="minorEastAsia" w:cstheme="minorEastAsia"/>
              <w:color w:val="auto"/>
              <w:szCs w:val="24"/>
            </w:rPr>
            <w:t>编制范围</w:t>
          </w:r>
          <w:r>
            <w:rPr>
              <w:color w:val="auto"/>
            </w:rPr>
            <w:tab/>
          </w:r>
          <w:r>
            <w:rPr>
              <w:color w:val="auto"/>
            </w:rPr>
            <w:fldChar w:fldCharType="begin"/>
          </w:r>
          <w:r>
            <w:rPr>
              <w:color w:val="auto"/>
            </w:rPr>
            <w:instrText xml:space="preserve"> PAGEREF _Toc28584 \h </w:instrText>
          </w:r>
          <w:r>
            <w:rPr>
              <w:color w:val="auto"/>
            </w:rPr>
            <w:fldChar w:fldCharType="separate"/>
          </w:r>
          <w:r>
            <w:rPr>
              <w:color w:val="auto"/>
            </w:rPr>
            <w:t>10</w:t>
          </w:r>
          <w:r>
            <w:rPr>
              <w:color w:val="auto"/>
            </w:rPr>
            <w:fldChar w:fldCharType="end"/>
          </w:r>
          <w:r>
            <w:rPr>
              <w:color w:val="auto"/>
            </w:rPr>
            <w:fldChar w:fldCharType="end"/>
          </w:r>
        </w:p>
        <w:p>
          <w:pPr>
            <w:pStyle w:val="23"/>
            <w:tabs>
              <w:tab w:val="right" w:leader="dot" w:pos="8791"/>
            </w:tabs>
            <w:rPr>
              <w:color w:val="auto"/>
            </w:rPr>
          </w:pPr>
          <w:r>
            <w:rPr>
              <w:color w:val="auto"/>
            </w:rPr>
            <w:fldChar w:fldCharType="begin"/>
          </w:r>
          <w:r>
            <w:rPr>
              <w:color w:val="auto"/>
            </w:rPr>
            <w:instrText xml:space="preserve"> HYPERLINK \l _Toc14964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1.7 </w:t>
          </w:r>
          <w:r>
            <w:rPr>
              <w:rFonts w:hint="eastAsia" w:asciiTheme="minorEastAsia" w:hAnsiTheme="minorEastAsia" w:eastAsiaTheme="minorEastAsia" w:cstheme="minorEastAsia"/>
              <w:color w:val="auto"/>
              <w:szCs w:val="24"/>
            </w:rPr>
            <w:t>项目实施必要性</w:t>
          </w:r>
          <w:r>
            <w:rPr>
              <w:color w:val="auto"/>
            </w:rPr>
            <w:tab/>
          </w:r>
          <w:r>
            <w:rPr>
              <w:color w:val="auto"/>
            </w:rPr>
            <w:fldChar w:fldCharType="begin"/>
          </w:r>
          <w:r>
            <w:rPr>
              <w:color w:val="auto"/>
            </w:rPr>
            <w:instrText xml:space="preserve"> PAGEREF _Toc14964 \h </w:instrText>
          </w:r>
          <w:r>
            <w:rPr>
              <w:color w:val="auto"/>
            </w:rPr>
            <w:fldChar w:fldCharType="separate"/>
          </w:r>
          <w:r>
            <w:rPr>
              <w:color w:val="auto"/>
            </w:rPr>
            <w:t>10</w:t>
          </w:r>
          <w:r>
            <w:rPr>
              <w:color w:val="auto"/>
            </w:rPr>
            <w:fldChar w:fldCharType="end"/>
          </w:r>
          <w:r>
            <w:rPr>
              <w:color w:val="auto"/>
            </w:rPr>
            <w:fldChar w:fldCharType="end"/>
          </w:r>
        </w:p>
        <w:p>
          <w:pPr>
            <w:pStyle w:val="23"/>
            <w:tabs>
              <w:tab w:val="right" w:leader="dot" w:pos="8791"/>
            </w:tabs>
            <w:rPr>
              <w:color w:val="auto"/>
            </w:rPr>
          </w:pPr>
          <w:r>
            <w:rPr>
              <w:color w:val="auto"/>
            </w:rPr>
            <w:fldChar w:fldCharType="begin"/>
          </w:r>
          <w:r>
            <w:rPr>
              <w:color w:val="auto"/>
            </w:rPr>
            <w:instrText xml:space="preserve"> HYPERLINK \l _Toc91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1.8 </w:t>
          </w:r>
          <w:r>
            <w:rPr>
              <w:rFonts w:hint="eastAsia" w:asciiTheme="minorEastAsia" w:hAnsiTheme="minorEastAsia" w:eastAsiaTheme="minorEastAsia" w:cstheme="minorEastAsia"/>
              <w:color w:val="auto"/>
              <w:szCs w:val="24"/>
            </w:rPr>
            <w:t>结论及主要经济指标</w:t>
          </w:r>
          <w:r>
            <w:rPr>
              <w:color w:val="auto"/>
            </w:rPr>
            <w:tab/>
          </w:r>
          <w:r>
            <w:rPr>
              <w:color w:val="auto"/>
            </w:rPr>
            <w:fldChar w:fldCharType="begin"/>
          </w:r>
          <w:r>
            <w:rPr>
              <w:color w:val="auto"/>
            </w:rPr>
            <w:instrText xml:space="preserve"> PAGEREF _Toc91 \h </w:instrText>
          </w:r>
          <w:r>
            <w:rPr>
              <w:color w:val="auto"/>
            </w:rPr>
            <w:fldChar w:fldCharType="separate"/>
          </w:r>
          <w:r>
            <w:rPr>
              <w:color w:val="auto"/>
            </w:rPr>
            <w:t>12</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_Toc12853 </w:instrText>
          </w:r>
          <w:r>
            <w:rPr>
              <w:color w:val="auto"/>
            </w:rPr>
            <w:fldChar w:fldCharType="separate"/>
          </w:r>
          <w:r>
            <w:rPr>
              <w:rFonts w:hint="eastAsia"/>
              <w:color w:val="auto"/>
            </w:rPr>
            <w:t>二、城市概况</w:t>
          </w:r>
          <w:r>
            <w:rPr>
              <w:color w:val="auto"/>
            </w:rPr>
            <w:tab/>
          </w:r>
          <w:r>
            <w:rPr>
              <w:color w:val="auto"/>
            </w:rPr>
            <w:fldChar w:fldCharType="begin"/>
          </w:r>
          <w:r>
            <w:rPr>
              <w:color w:val="auto"/>
            </w:rPr>
            <w:instrText xml:space="preserve"> PAGEREF _Toc12853 \h </w:instrText>
          </w:r>
          <w:r>
            <w:rPr>
              <w:color w:val="auto"/>
            </w:rPr>
            <w:fldChar w:fldCharType="separate"/>
          </w:r>
          <w:r>
            <w:rPr>
              <w:color w:val="auto"/>
            </w:rPr>
            <w:t>13</w:t>
          </w:r>
          <w:r>
            <w:rPr>
              <w:color w:val="auto"/>
            </w:rPr>
            <w:fldChar w:fldCharType="end"/>
          </w:r>
          <w:r>
            <w:rPr>
              <w:color w:val="auto"/>
            </w:rPr>
            <w:fldChar w:fldCharType="end"/>
          </w:r>
        </w:p>
        <w:p>
          <w:pPr>
            <w:pStyle w:val="23"/>
            <w:tabs>
              <w:tab w:val="right" w:leader="dot" w:pos="8791"/>
            </w:tabs>
            <w:rPr>
              <w:color w:val="auto"/>
            </w:rPr>
          </w:pPr>
          <w:r>
            <w:rPr>
              <w:color w:val="auto"/>
            </w:rPr>
            <w:fldChar w:fldCharType="begin"/>
          </w:r>
          <w:r>
            <w:rPr>
              <w:color w:val="auto"/>
            </w:rPr>
            <w:instrText xml:space="preserve"> HYPERLINK \l _Toc28327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2.1 </w:t>
          </w:r>
          <w:r>
            <w:rPr>
              <w:rFonts w:hint="eastAsia" w:asciiTheme="minorEastAsia" w:hAnsiTheme="minorEastAsia" w:eastAsiaTheme="minorEastAsia" w:cstheme="minorEastAsia"/>
              <w:color w:val="auto"/>
              <w:szCs w:val="24"/>
            </w:rPr>
            <w:t>城市性质及规模</w:t>
          </w:r>
          <w:r>
            <w:rPr>
              <w:color w:val="auto"/>
            </w:rPr>
            <w:tab/>
          </w:r>
          <w:r>
            <w:rPr>
              <w:color w:val="auto"/>
            </w:rPr>
            <w:fldChar w:fldCharType="begin"/>
          </w:r>
          <w:r>
            <w:rPr>
              <w:color w:val="auto"/>
            </w:rPr>
            <w:instrText xml:space="preserve"> PAGEREF _Toc28327 \h </w:instrText>
          </w:r>
          <w:r>
            <w:rPr>
              <w:color w:val="auto"/>
            </w:rPr>
            <w:fldChar w:fldCharType="separate"/>
          </w:r>
          <w:r>
            <w:rPr>
              <w:color w:val="auto"/>
            </w:rPr>
            <w:t>13</w:t>
          </w:r>
          <w:r>
            <w:rPr>
              <w:color w:val="auto"/>
            </w:rPr>
            <w:fldChar w:fldCharType="end"/>
          </w:r>
          <w:r>
            <w:rPr>
              <w:color w:val="auto"/>
            </w:rPr>
            <w:fldChar w:fldCharType="end"/>
          </w:r>
        </w:p>
        <w:p>
          <w:pPr>
            <w:pStyle w:val="23"/>
            <w:tabs>
              <w:tab w:val="right" w:leader="dot" w:pos="8791"/>
            </w:tabs>
            <w:rPr>
              <w:color w:val="auto"/>
            </w:rPr>
          </w:pPr>
          <w:r>
            <w:rPr>
              <w:color w:val="auto"/>
            </w:rPr>
            <w:fldChar w:fldCharType="begin"/>
          </w:r>
          <w:r>
            <w:rPr>
              <w:color w:val="auto"/>
            </w:rPr>
            <w:instrText xml:space="preserve"> HYPERLINK \l _Toc27965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2.2 </w:t>
          </w:r>
          <w:r>
            <w:rPr>
              <w:rFonts w:hint="eastAsia" w:asciiTheme="minorEastAsia" w:hAnsiTheme="minorEastAsia" w:eastAsiaTheme="minorEastAsia" w:cstheme="minorEastAsia"/>
              <w:color w:val="auto"/>
              <w:szCs w:val="24"/>
            </w:rPr>
            <w:t>城市自然环境</w:t>
          </w:r>
          <w:r>
            <w:rPr>
              <w:color w:val="auto"/>
            </w:rPr>
            <w:tab/>
          </w:r>
          <w:r>
            <w:rPr>
              <w:color w:val="auto"/>
            </w:rPr>
            <w:fldChar w:fldCharType="begin"/>
          </w:r>
          <w:r>
            <w:rPr>
              <w:color w:val="auto"/>
            </w:rPr>
            <w:instrText xml:space="preserve"> PAGEREF _Toc27965 \h </w:instrText>
          </w:r>
          <w:r>
            <w:rPr>
              <w:color w:val="auto"/>
            </w:rPr>
            <w:fldChar w:fldCharType="separate"/>
          </w:r>
          <w:r>
            <w:rPr>
              <w:color w:val="auto"/>
            </w:rPr>
            <w:t>18</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_Toc6122 </w:instrText>
          </w:r>
          <w:r>
            <w:rPr>
              <w:color w:val="auto"/>
            </w:rPr>
            <w:fldChar w:fldCharType="separate"/>
          </w:r>
          <w:r>
            <w:rPr>
              <w:rFonts w:hint="eastAsia"/>
              <w:color w:val="auto"/>
            </w:rPr>
            <w:t>三、给排水现状及相关规划</w:t>
          </w:r>
          <w:r>
            <w:rPr>
              <w:color w:val="auto"/>
            </w:rPr>
            <w:tab/>
          </w:r>
          <w:r>
            <w:rPr>
              <w:color w:val="auto"/>
            </w:rPr>
            <w:fldChar w:fldCharType="begin"/>
          </w:r>
          <w:r>
            <w:rPr>
              <w:color w:val="auto"/>
            </w:rPr>
            <w:instrText xml:space="preserve"> PAGEREF _Toc6122 \h </w:instrText>
          </w:r>
          <w:r>
            <w:rPr>
              <w:color w:val="auto"/>
            </w:rPr>
            <w:fldChar w:fldCharType="separate"/>
          </w:r>
          <w:r>
            <w:rPr>
              <w:color w:val="auto"/>
            </w:rPr>
            <w:t>21</w:t>
          </w:r>
          <w:r>
            <w:rPr>
              <w:color w:val="auto"/>
            </w:rPr>
            <w:fldChar w:fldCharType="end"/>
          </w:r>
          <w:r>
            <w:rPr>
              <w:color w:val="auto"/>
            </w:rPr>
            <w:fldChar w:fldCharType="end"/>
          </w:r>
        </w:p>
        <w:p>
          <w:pPr>
            <w:pStyle w:val="23"/>
            <w:tabs>
              <w:tab w:val="right" w:leader="dot" w:pos="8791"/>
            </w:tabs>
            <w:rPr>
              <w:color w:val="auto"/>
            </w:rPr>
          </w:pPr>
          <w:r>
            <w:rPr>
              <w:color w:val="auto"/>
            </w:rPr>
            <w:fldChar w:fldCharType="begin"/>
          </w:r>
          <w:r>
            <w:rPr>
              <w:color w:val="auto"/>
            </w:rPr>
            <w:instrText xml:space="preserve"> HYPERLINK \l _Toc7685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3.1 </w:t>
          </w:r>
          <w:r>
            <w:rPr>
              <w:rFonts w:hint="eastAsia" w:asciiTheme="minorEastAsia" w:hAnsiTheme="minorEastAsia" w:eastAsiaTheme="minorEastAsia" w:cstheme="minorEastAsia"/>
              <w:color w:val="auto"/>
              <w:szCs w:val="24"/>
            </w:rPr>
            <w:t>城乡给水现状</w:t>
          </w:r>
          <w:r>
            <w:rPr>
              <w:color w:val="auto"/>
            </w:rPr>
            <w:tab/>
          </w:r>
          <w:r>
            <w:rPr>
              <w:color w:val="auto"/>
            </w:rPr>
            <w:fldChar w:fldCharType="begin"/>
          </w:r>
          <w:r>
            <w:rPr>
              <w:color w:val="auto"/>
            </w:rPr>
            <w:instrText xml:space="preserve"> PAGEREF _Toc7685 \h </w:instrText>
          </w:r>
          <w:r>
            <w:rPr>
              <w:color w:val="auto"/>
            </w:rPr>
            <w:fldChar w:fldCharType="separate"/>
          </w:r>
          <w:r>
            <w:rPr>
              <w:color w:val="auto"/>
            </w:rPr>
            <w:t>21</w:t>
          </w:r>
          <w:r>
            <w:rPr>
              <w:color w:val="auto"/>
            </w:rPr>
            <w:fldChar w:fldCharType="end"/>
          </w:r>
          <w:r>
            <w:rPr>
              <w:color w:val="auto"/>
            </w:rPr>
            <w:fldChar w:fldCharType="end"/>
          </w:r>
        </w:p>
        <w:p>
          <w:pPr>
            <w:pStyle w:val="23"/>
            <w:tabs>
              <w:tab w:val="right" w:leader="dot" w:pos="8791"/>
            </w:tabs>
            <w:rPr>
              <w:color w:val="auto"/>
            </w:rPr>
          </w:pPr>
          <w:r>
            <w:rPr>
              <w:color w:val="auto"/>
            </w:rPr>
            <w:fldChar w:fldCharType="begin"/>
          </w:r>
          <w:r>
            <w:rPr>
              <w:color w:val="auto"/>
            </w:rPr>
            <w:instrText xml:space="preserve"> HYPERLINK \l _Toc19713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3.2 </w:t>
          </w:r>
          <w:r>
            <w:rPr>
              <w:rFonts w:hint="eastAsia" w:asciiTheme="minorEastAsia" w:hAnsiTheme="minorEastAsia" w:eastAsiaTheme="minorEastAsia" w:cstheme="minorEastAsia"/>
              <w:color w:val="auto"/>
              <w:szCs w:val="24"/>
            </w:rPr>
            <w:t>城镇排水现状</w:t>
          </w:r>
          <w:r>
            <w:rPr>
              <w:color w:val="auto"/>
            </w:rPr>
            <w:tab/>
          </w:r>
          <w:r>
            <w:rPr>
              <w:color w:val="auto"/>
            </w:rPr>
            <w:fldChar w:fldCharType="begin"/>
          </w:r>
          <w:r>
            <w:rPr>
              <w:color w:val="auto"/>
            </w:rPr>
            <w:instrText xml:space="preserve"> PAGEREF _Toc19713 \h </w:instrText>
          </w:r>
          <w:r>
            <w:rPr>
              <w:color w:val="auto"/>
            </w:rPr>
            <w:fldChar w:fldCharType="separate"/>
          </w:r>
          <w:r>
            <w:rPr>
              <w:color w:val="auto"/>
            </w:rPr>
            <w:t>23</w:t>
          </w:r>
          <w:r>
            <w:rPr>
              <w:color w:val="auto"/>
            </w:rPr>
            <w:fldChar w:fldCharType="end"/>
          </w:r>
          <w:r>
            <w:rPr>
              <w:color w:val="auto"/>
            </w:rPr>
            <w:fldChar w:fldCharType="end"/>
          </w:r>
        </w:p>
        <w:p>
          <w:pPr>
            <w:pStyle w:val="23"/>
            <w:tabs>
              <w:tab w:val="right" w:leader="dot" w:pos="8791"/>
            </w:tabs>
            <w:rPr>
              <w:color w:val="auto"/>
            </w:rPr>
          </w:pPr>
          <w:r>
            <w:rPr>
              <w:color w:val="auto"/>
            </w:rPr>
            <w:fldChar w:fldCharType="begin"/>
          </w:r>
          <w:r>
            <w:rPr>
              <w:color w:val="auto"/>
            </w:rPr>
            <w:instrText xml:space="preserve"> HYPERLINK \l _Toc16662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3.3 </w:t>
          </w:r>
          <w:r>
            <w:rPr>
              <w:rFonts w:hint="eastAsia" w:asciiTheme="minorEastAsia" w:hAnsiTheme="minorEastAsia" w:eastAsiaTheme="minorEastAsia" w:cstheme="minorEastAsia"/>
              <w:color w:val="auto"/>
              <w:szCs w:val="24"/>
            </w:rPr>
            <w:t>农村排水现状</w:t>
          </w:r>
          <w:r>
            <w:rPr>
              <w:color w:val="auto"/>
            </w:rPr>
            <w:tab/>
          </w:r>
          <w:r>
            <w:rPr>
              <w:color w:val="auto"/>
            </w:rPr>
            <w:fldChar w:fldCharType="begin"/>
          </w:r>
          <w:r>
            <w:rPr>
              <w:color w:val="auto"/>
            </w:rPr>
            <w:instrText xml:space="preserve"> PAGEREF _Toc16662 \h </w:instrText>
          </w:r>
          <w:r>
            <w:rPr>
              <w:color w:val="auto"/>
            </w:rPr>
            <w:fldChar w:fldCharType="separate"/>
          </w:r>
          <w:r>
            <w:rPr>
              <w:color w:val="auto"/>
            </w:rPr>
            <w:t>37</w:t>
          </w:r>
          <w:r>
            <w:rPr>
              <w:color w:val="auto"/>
            </w:rPr>
            <w:fldChar w:fldCharType="end"/>
          </w:r>
          <w:r>
            <w:rPr>
              <w:color w:val="auto"/>
            </w:rPr>
            <w:fldChar w:fldCharType="end"/>
          </w:r>
        </w:p>
        <w:p>
          <w:pPr>
            <w:pStyle w:val="23"/>
            <w:tabs>
              <w:tab w:val="right" w:leader="dot" w:pos="8791"/>
            </w:tabs>
            <w:rPr>
              <w:color w:val="auto"/>
            </w:rPr>
          </w:pPr>
          <w:r>
            <w:rPr>
              <w:color w:val="auto"/>
            </w:rPr>
            <w:fldChar w:fldCharType="begin"/>
          </w:r>
          <w:r>
            <w:rPr>
              <w:color w:val="auto"/>
            </w:rPr>
            <w:instrText xml:space="preserve"> HYPERLINK \l _Toc21225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3.4 </w:t>
          </w:r>
          <w:r>
            <w:rPr>
              <w:rFonts w:hint="eastAsia" w:asciiTheme="minorEastAsia" w:hAnsiTheme="minorEastAsia" w:eastAsiaTheme="minorEastAsia" w:cstheme="minorEastAsia"/>
              <w:color w:val="auto"/>
              <w:szCs w:val="24"/>
            </w:rPr>
            <w:t>存在问题</w:t>
          </w:r>
          <w:r>
            <w:rPr>
              <w:color w:val="auto"/>
            </w:rPr>
            <w:tab/>
          </w:r>
          <w:r>
            <w:rPr>
              <w:color w:val="auto"/>
            </w:rPr>
            <w:fldChar w:fldCharType="begin"/>
          </w:r>
          <w:r>
            <w:rPr>
              <w:color w:val="auto"/>
            </w:rPr>
            <w:instrText xml:space="preserve"> PAGEREF _Toc21225 \h </w:instrText>
          </w:r>
          <w:r>
            <w:rPr>
              <w:color w:val="auto"/>
            </w:rPr>
            <w:fldChar w:fldCharType="separate"/>
          </w:r>
          <w:r>
            <w:rPr>
              <w:color w:val="auto"/>
            </w:rPr>
            <w:t>38</w:t>
          </w:r>
          <w:r>
            <w:rPr>
              <w:color w:val="auto"/>
            </w:rPr>
            <w:fldChar w:fldCharType="end"/>
          </w:r>
          <w:r>
            <w:rPr>
              <w:color w:val="auto"/>
            </w:rPr>
            <w:fldChar w:fldCharType="end"/>
          </w:r>
        </w:p>
        <w:p>
          <w:pPr>
            <w:pStyle w:val="23"/>
            <w:tabs>
              <w:tab w:val="right" w:leader="dot" w:pos="8791"/>
            </w:tabs>
            <w:rPr>
              <w:color w:val="auto"/>
            </w:rPr>
          </w:pPr>
          <w:r>
            <w:rPr>
              <w:color w:val="auto"/>
            </w:rPr>
            <w:fldChar w:fldCharType="begin"/>
          </w:r>
          <w:r>
            <w:rPr>
              <w:color w:val="auto"/>
            </w:rPr>
            <w:instrText xml:space="preserve"> HYPERLINK \l _Toc16301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3.5 </w:t>
          </w:r>
          <w:r>
            <w:rPr>
              <w:rFonts w:hint="eastAsia" w:asciiTheme="minorEastAsia" w:hAnsiTheme="minorEastAsia" w:eastAsiaTheme="minorEastAsia" w:cstheme="minorEastAsia"/>
              <w:color w:val="auto"/>
              <w:szCs w:val="24"/>
            </w:rPr>
            <w:t>相关规划概况</w:t>
          </w:r>
          <w:r>
            <w:rPr>
              <w:color w:val="auto"/>
            </w:rPr>
            <w:tab/>
          </w:r>
          <w:r>
            <w:rPr>
              <w:color w:val="auto"/>
            </w:rPr>
            <w:fldChar w:fldCharType="begin"/>
          </w:r>
          <w:r>
            <w:rPr>
              <w:color w:val="auto"/>
            </w:rPr>
            <w:instrText xml:space="preserve"> PAGEREF _Toc16301 \h </w:instrText>
          </w:r>
          <w:r>
            <w:rPr>
              <w:color w:val="auto"/>
            </w:rPr>
            <w:fldChar w:fldCharType="separate"/>
          </w:r>
          <w:r>
            <w:rPr>
              <w:color w:val="auto"/>
            </w:rPr>
            <w:t>38</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_Toc3414 </w:instrText>
          </w:r>
          <w:r>
            <w:rPr>
              <w:color w:val="auto"/>
            </w:rPr>
            <w:fldChar w:fldCharType="separate"/>
          </w:r>
          <w:r>
            <w:rPr>
              <w:rFonts w:hint="eastAsia"/>
              <w:color w:val="auto"/>
            </w:rPr>
            <w:t>四 、方案论证</w:t>
          </w:r>
          <w:r>
            <w:rPr>
              <w:color w:val="auto"/>
            </w:rPr>
            <w:tab/>
          </w:r>
          <w:r>
            <w:rPr>
              <w:color w:val="auto"/>
            </w:rPr>
            <w:fldChar w:fldCharType="begin"/>
          </w:r>
          <w:r>
            <w:rPr>
              <w:color w:val="auto"/>
            </w:rPr>
            <w:instrText xml:space="preserve"> PAGEREF _Toc3414 \h </w:instrText>
          </w:r>
          <w:r>
            <w:rPr>
              <w:color w:val="auto"/>
            </w:rPr>
            <w:fldChar w:fldCharType="separate"/>
          </w:r>
          <w:r>
            <w:rPr>
              <w:color w:val="auto"/>
            </w:rPr>
            <w:t>47</w:t>
          </w:r>
          <w:r>
            <w:rPr>
              <w:color w:val="auto"/>
            </w:rPr>
            <w:fldChar w:fldCharType="end"/>
          </w:r>
          <w:r>
            <w:rPr>
              <w:color w:val="auto"/>
            </w:rPr>
            <w:fldChar w:fldCharType="end"/>
          </w:r>
        </w:p>
        <w:p>
          <w:pPr>
            <w:pStyle w:val="23"/>
            <w:tabs>
              <w:tab w:val="right" w:leader="dot" w:pos="8791"/>
            </w:tabs>
            <w:rPr>
              <w:color w:val="auto"/>
            </w:rPr>
          </w:pPr>
          <w:r>
            <w:rPr>
              <w:color w:val="auto"/>
            </w:rPr>
            <w:fldChar w:fldCharType="begin"/>
          </w:r>
          <w:r>
            <w:rPr>
              <w:color w:val="auto"/>
            </w:rPr>
            <w:instrText xml:space="preserve"> HYPERLINK \l _Toc14450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4.1 </w:t>
          </w:r>
          <w:r>
            <w:rPr>
              <w:rFonts w:hint="eastAsia" w:asciiTheme="minorEastAsia" w:hAnsiTheme="minorEastAsia" w:eastAsiaTheme="minorEastAsia" w:cstheme="minorEastAsia"/>
              <w:color w:val="auto"/>
              <w:szCs w:val="24"/>
            </w:rPr>
            <w:t>实施范围</w:t>
          </w:r>
          <w:r>
            <w:rPr>
              <w:color w:val="auto"/>
            </w:rPr>
            <w:tab/>
          </w:r>
          <w:r>
            <w:rPr>
              <w:color w:val="auto"/>
            </w:rPr>
            <w:fldChar w:fldCharType="begin"/>
          </w:r>
          <w:r>
            <w:rPr>
              <w:color w:val="auto"/>
            </w:rPr>
            <w:instrText xml:space="preserve"> PAGEREF _Toc14450 \h </w:instrText>
          </w:r>
          <w:r>
            <w:rPr>
              <w:color w:val="auto"/>
            </w:rPr>
            <w:fldChar w:fldCharType="separate"/>
          </w:r>
          <w:r>
            <w:rPr>
              <w:color w:val="auto"/>
            </w:rPr>
            <w:t>47</w:t>
          </w:r>
          <w:r>
            <w:rPr>
              <w:color w:val="auto"/>
            </w:rPr>
            <w:fldChar w:fldCharType="end"/>
          </w:r>
          <w:r>
            <w:rPr>
              <w:color w:val="auto"/>
            </w:rPr>
            <w:fldChar w:fldCharType="end"/>
          </w:r>
        </w:p>
        <w:p>
          <w:pPr>
            <w:pStyle w:val="23"/>
            <w:tabs>
              <w:tab w:val="right" w:leader="dot" w:pos="8791"/>
            </w:tabs>
            <w:rPr>
              <w:color w:val="auto"/>
            </w:rPr>
          </w:pPr>
          <w:r>
            <w:rPr>
              <w:color w:val="auto"/>
            </w:rPr>
            <w:fldChar w:fldCharType="begin"/>
          </w:r>
          <w:r>
            <w:rPr>
              <w:color w:val="auto"/>
            </w:rPr>
            <w:instrText xml:space="preserve"> HYPERLINK \l _Toc19210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4.2 </w:t>
          </w:r>
          <w:r>
            <w:rPr>
              <w:rFonts w:hint="eastAsia" w:asciiTheme="minorEastAsia" w:hAnsiTheme="minorEastAsia" w:eastAsiaTheme="minorEastAsia" w:cstheme="minorEastAsia"/>
              <w:color w:val="auto"/>
              <w:szCs w:val="24"/>
              <w:lang w:val="en-US"/>
            </w:rPr>
            <w:t>项目内容</w:t>
          </w:r>
          <w:r>
            <w:rPr>
              <w:color w:val="auto"/>
            </w:rPr>
            <w:tab/>
          </w:r>
          <w:r>
            <w:rPr>
              <w:color w:val="auto"/>
            </w:rPr>
            <w:fldChar w:fldCharType="begin"/>
          </w:r>
          <w:r>
            <w:rPr>
              <w:color w:val="auto"/>
            </w:rPr>
            <w:instrText xml:space="preserve"> PAGEREF _Toc19210 \h </w:instrText>
          </w:r>
          <w:r>
            <w:rPr>
              <w:color w:val="auto"/>
            </w:rPr>
            <w:fldChar w:fldCharType="separate"/>
          </w:r>
          <w:r>
            <w:rPr>
              <w:color w:val="auto"/>
            </w:rPr>
            <w:t>47</w:t>
          </w:r>
          <w:r>
            <w:rPr>
              <w:color w:val="auto"/>
            </w:rPr>
            <w:fldChar w:fldCharType="end"/>
          </w:r>
          <w:r>
            <w:rPr>
              <w:color w:val="auto"/>
            </w:rPr>
            <w:fldChar w:fldCharType="end"/>
          </w:r>
        </w:p>
        <w:p>
          <w:pPr>
            <w:pStyle w:val="23"/>
            <w:tabs>
              <w:tab w:val="right" w:leader="dot" w:pos="8791"/>
            </w:tabs>
            <w:rPr>
              <w:color w:val="auto"/>
            </w:rPr>
          </w:pPr>
          <w:r>
            <w:rPr>
              <w:color w:val="auto"/>
            </w:rPr>
            <w:fldChar w:fldCharType="begin"/>
          </w:r>
          <w:r>
            <w:rPr>
              <w:color w:val="auto"/>
            </w:rPr>
            <w:instrText xml:space="preserve"> HYPERLINK \l _Toc9963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4.3 </w:t>
          </w:r>
          <w:r>
            <w:rPr>
              <w:rFonts w:hint="eastAsia" w:asciiTheme="minorEastAsia" w:hAnsiTheme="minorEastAsia" w:eastAsiaTheme="minorEastAsia" w:cstheme="minorEastAsia"/>
              <w:color w:val="auto"/>
              <w:szCs w:val="24"/>
              <w:lang w:val="en-US"/>
            </w:rPr>
            <w:t>项目产出要求</w:t>
          </w:r>
          <w:r>
            <w:rPr>
              <w:color w:val="auto"/>
            </w:rPr>
            <w:tab/>
          </w:r>
          <w:r>
            <w:rPr>
              <w:color w:val="auto"/>
            </w:rPr>
            <w:fldChar w:fldCharType="begin"/>
          </w:r>
          <w:r>
            <w:rPr>
              <w:color w:val="auto"/>
            </w:rPr>
            <w:instrText xml:space="preserve"> PAGEREF _Toc9963 \h </w:instrText>
          </w:r>
          <w:r>
            <w:rPr>
              <w:color w:val="auto"/>
            </w:rPr>
            <w:fldChar w:fldCharType="separate"/>
          </w:r>
          <w:r>
            <w:rPr>
              <w:color w:val="auto"/>
            </w:rPr>
            <w:t>47</w:t>
          </w:r>
          <w:r>
            <w:rPr>
              <w:color w:val="auto"/>
            </w:rPr>
            <w:fldChar w:fldCharType="end"/>
          </w:r>
          <w:r>
            <w:rPr>
              <w:color w:val="auto"/>
            </w:rPr>
            <w:fldChar w:fldCharType="end"/>
          </w:r>
        </w:p>
        <w:p>
          <w:pPr>
            <w:pStyle w:val="23"/>
            <w:tabs>
              <w:tab w:val="right" w:leader="dot" w:pos="8791"/>
            </w:tabs>
            <w:rPr>
              <w:color w:val="auto"/>
            </w:rPr>
          </w:pPr>
          <w:r>
            <w:rPr>
              <w:color w:val="auto"/>
            </w:rPr>
            <w:fldChar w:fldCharType="begin"/>
          </w:r>
          <w:r>
            <w:rPr>
              <w:color w:val="auto"/>
            </w:rPr>
            <w:instrText xml:space="preserve"> HYPERLINK \l _Toc10748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4.4 </w:t>
          </w:r>
          <w:r>
            <w:rPr>
              <w:rFonts w:hint="eastAsia" w:asciiTheme="minorEastAsia" w:hAnsiTheme="minorEastAsia" w:eastAsiaTheme="minorEastAsia" w:cstheme="minorEastAsia"/>
              <w:color w:val="auto"/>
              <w:szCs w:val="24"/>
              <w:lang w:val="en-US"/>
            </w:rPr>
            <w:t>排水体制论证</w:t>
          </w:r>
          <w:r>
            <w:rPr>
              <w:color w:val="auto"/>
            </w:rPr>
            <w:tab/>
          </w:r>
          <w:r>
            <w:rPr>
              <w:color w:val="auto"/>
            </w:rPr>
            <w:fldChar w:fldCharType="begin"/>
          </w:r>
          <w:r>
            <w:rPr>
              <w:color w:val="auto"/>
            </w:rPr>
            <w:instrText xml:space="preserve"> PAGEREF _Toc10748 \h </w:instrText>
          </w:r>
          <w:r>
            <w:rPr>
              <w:color w:val="auto"/>
            </w:rPr>
            <w:fldChar w:fldCharType="separate"/>
          </w:r>
          <w:r>
            <w:rPr>
              <w:color w:val="auto"/>
            </w:rPr>
            <w:t>49</w:t>
          </w:r>
          <w:r>
            <w:rPr>
              <w:color w:val="auto"/>
            </w:rPr>
            <w:fldChar w:fldCharType="end"/>
          </w:r>
          <w:r>
            <w:rPr>
              <w:color w:val="auto"/>
            </w:rPr>
            <w:fldChar w:fldCharType="end"/>
          </w:r>
        </w:p>
        <w:p>
          <w:pPr>
            <w:pStyle w:val="23"/>
            <w:tabs>
              <w:tab w:val="right" w:leader="dot" w:pos="8791"/>
            </w:tabs>
            <w:rPr>
              <w:color w:val="auto"/>
            </w:rPr>
          </w:pPr>
          <w:r>
            <w:rPr>
              <w:color w:val="auto"/>
            </w:rPr>
            <w:fldChar w:fldCharType="begin"/>
          </w:r>
          <w:r>
            <w:rPr>
              <w:color w:val="auto"/>
            </w:rPr>
            <w:instrText xml:space="preserve"> HYPERLINK \l _Toc10137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4.5 </w:t>
          </w:r>
          <w:r>
            <w:rPr>
              <w:rFonts w:hint="eastAsia" w:asciiTheme="minorEastAsia" w:hAnsiTheme="minorEastAsia" w:eastAsiaTheme="minorEastAsia" w:cstheme="minorEastAsia"/>
              <w:color w:val="auto"/>
              <w:szCs w:val="24"/>
              <w:lang w:val="en-US"/>
            </w:rPr>
            <w:t>污水量预测及建设规模确定</w:t>
          </w:r>
          <w:r>
            <w:rPr>
              <w:color w:val="auto"/>
            </w:rPr>
            <w:tab/>
          </w:r>
          <w:r>
            <w:rPr>
              <w:color w:val="auto"/>
            </w:rPr>
            <w:fldChar w:fldCharType="begin"/>
          </w:r>
          <w:r>
            <w:rPr>
              <w:color w:val="auto"/>
            </w:rPr>
            <w:instrText xml:space="preserve"> PAGEREF _Toc10137 \h </w:instrText>
          </w:r>
          <w:r>
            <w:rPr>
              <w:color w:val="auto"/>
            </w:rPr>
            <w:fldChar w:fldCharType="separate"/>
          </w:r>
          <w:r>
            <w:rPr>
              <w:color w:val="auto"/>
            </w:rPr>
            <w:t>50</w:t>
          </w:r>
          <w:r>
            <w:rPr>
              <w:color w:val="auto"/>
            </w:rPr>
            <w:fldChar w:fldCharType="end"/>
          </w:r>
          <w:r>
            <w:rPr>
              <w:color w:val="auto"/>
            </w:rPr>
            <w:fldChar w:fldCharType="end"/>
          </w:r>
        </w:p>
        <w:p>
          <w:pPr>
            <w:pStyle w:val="23"/>
            <w:tabs>
              <w:tab w:val="right" w:leader="dot" w:pos="8791"/>
            </w:tabs>
            <w:rPr>
              <w:color w:val="auto"/>
            </w:rPr>
          </w:pPr>
          <w:r>
            <w:rPr>
              <w:color w:val="auto"/>
            </w:rPr>
            <w:fldChar w:fldCharType="begin"/>
          </w:r>
          <w:r>
            <w:rPr>
              <w:color w:val="auto"/>
            </w:rPr>
            <w:instrText xml:space="preserve"> HYPERLINK \l _Toc31112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4.6 </w:t>
          </w:r>
          <w:r>
            <w:rPr>
              <w:rFonts w:hint="eastAsia" w:asciiTheme="minorEastAsia" w:hAnsiTheme="minorEastAsia" w:eastAsiaTheme="minorEastAsia" w:cstheme="minorEastAsia"/>
              <w:color w:val="auto"/>
              <w:szCs w:val="24"/>
            </w:rPr>
            <w:t>进出水水质标准</w:t>
          </w:r>
          <w:r>
            <w:rPr>
              <w:color w:val="auto"/>
            </w:rPr>
            <w:tab/>
          </w:r>
          <w:r>
            <w:rPr>
              <w:color w:val="auto"/>
            </w:rPr>
            <w:fldChar w:fldCharType="begin"/>
          </w:r>
          <w:r>
            <w:rPr>
              <w:color w:val="auto"/>
            </w:rPr>
            <w:instrText xml:space="preserve"> PAGEREF _Toc31112 \h </w:instrText>
          </w:r>
          <w:r>
            <w:rPr>
              <w:color w:val="auto"/>
            </w:rPr>
            <w:fldChar w:fldCharType="separate"/>
          </w:r>
          <w:r>
            <w:rPr>
              <w:color w:val="auto"/>
            </w:rPr>
            <w:t>53</w:t>
          </w:r>
          <w:r>
            <w:rPr>
              <w:color w:val="auto"/>
            </w:rPr>
            <w:fldChar w:fldCharType="end"/>
          </w:r>
          <w:r>
            <w:rPr>
              <w:color w:val="auto"/>
            </w:rPr>
            <w:fldChar w:fldCharType="end"/>
          </w:r>
        </w:p>
        <w:p>
          <w:pPr>
            <w:pStyle w:val="23"/>
            <w:tabs>
              <w:tab w:val="right" w:leader="dot" w:pos="8791"/>
            </w:tabs>
            <w:rPr>
              <w:color w:val="auto"/>
            </w:rPr>
          </w:pPr>
          <w:r>
            <w:rPr>
              <w:color w:val="auto"/>
            </w:rPr>
            <w:fldChar w:fldCharType="begin"/>
          </w:r>
          <w:r>
            <w:rPr>
              <w:color w:val="auto"/>
            </w:rPr>
            <w:instrText xml:space="preserve"> HYPERLINK \l _Toc17881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4.7 </w:t>
          </w:r>
          <w:r>
            <w:rPr>
              <w:rFonts w:hint="eastAsia" w:asciiTheme="minorEastAsia" w:hAnsiTheme="minorEastAsia" w:eastAsiaTheme="minorEastAsia" w:cstheme="minorEastAsia"/>
              <w:color w:val="auto"/>
              <w:szCs w:val="24"/>
            </w:rPr>
            <w:t>项目选址</w:t>
          </w:r>
          <w:r>
            <w:rPr>
              <w:color w:val="auto"/>
            </w:rPr>
            <w:tab/>
          </w:r>
          <w:r>
            <w:rPr>
              <w:color w:val="auto"/>
            </w:rPr>
            <w:fldChar w:fldCharType="begin"/>
          </w:r>
          <w:r>
            <w:rPr>
              <w:color w:val="auto"/>
            </w:rPr>
            <w:instrText xml:space="preserve"> PAGEREF _Toc17881 \h </w:instrText>
          </w:r>
          <w:r>
            <w:rPr>
              <w:color w:val="auto"/>
            </w:rPr>
            <w:fldChar w:fldCharType="separate"/>
          </w:r>
          <w:r>
            <w:rPr>
              <w:color w:val="auto"/>
            </w:rPr>
            <w:t>53</w:t>
          </w:r>
          <w:r>
            <w:rPr>
              <w:color w:val="auto"/>
            </w:rPr>
            <w:fldChar w:fldCharType="end"/>
          </w:r>
          <w:r>
            <w:rPr>
              <w:color w:val="auto"/>
            </w:rPr>
            <w:fldChar w:fldCharType="end"/>
          </w:r>
        </w:p>
        <w:p>
          <w:pPr>
            <w:pStyle w:val="23"/>
            <w:tabs>
              <w:tab w:val="right" w:leader="dot" w:pos="8791"/>
            </w:tabs>
            <w:rPr>
              <w:color w:val="auto"/>
            </w:rPr>
          </w:pPr>
          <w:r>
            <w:rPr>
              <w:color w:val="auto"/>
            </w:rPr>
            <w:fldChar w:fldCharType="begin"/>
          </w:r>
          <w:r>
            <w:rPr>
              <w:color w:val="auto"/>
            </w:rPr>
            <w:instrText xml:space="preserve"> HYPERLINK \l _Toc29499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4.8 </w:t>
          </w:r>
          <w:r>
            <w:rPr>
              <w:rFonts w:hint="eastAsia" w:asciiTheme="minorEastAsia" w:hAnsiTheme="minorEastAsia" w:eastAsiaTheme="minorEastAsia" w:cstheme="minorEastAsia"/>
              <w:color w:val="auto"/>
              <w:szCs w:val="24"/>
            </w:rPr>
            <w:t>农村污水处理设施工艺选择</w:t>
          </w:r>
          <w:r>
            <w:rPr>
              <w:color w:val="auto"/>
            </w:rPr>
            <w:tab/>
          </w:r>
          <w:r>
            <w:rPr>
              <w:color w:val="auto"/>
            </w:rPr>
            <w:fldChar w:fldCharType="begin"/>
          </w:r>
          <w:r>
            <w:rPr>
              <w:color w:val="auto"/>
            </w:rPr>
            <w:instrText xml:space="preserve"> PAGEREF _Toc29499 \h </w:instrText>
          </w:r>
          <w:r>
            <w:rPr>
              <w:color w:val="auto"/>
            </w:rPr>
            <w:fldChar w:fldCharType="separate"/>
          </w:r>
          <w:r>
            <w:rPr>
              <w:color w:val="auto"/>
            </w:rPr>
            <w:t>54</w:t>
          </w:r>
          <w:r>
            <w:rPr>
              <w:color w:val="auto"/>
            </w:rPr>
            <w:fldChar w:fldCharType="end"/>
          </w:r>
          <w:r>
            <w:rPr>
              <w:color w:val="auto"/>
            </w:rPr>
            <w:fldChar w:fldCharType="end"/>
          </w:r>
        </w:p>
        <w:p>
          <w:pPr>
            <w:pStyle w:val="23"/>
            <w:tabs>
              <w:tab w:val="right" w:leader="dot" w:pos="8791"/>
            </w:tabs>
            <w:rPr>
              <w:color w:val="auto"/>
            </w:rPr>
          </w:pPr>
          <w:r>
            <w:rPr>
              <w:color w:val="auto"/>
            </w:rPr>
            <w:fldChar w:fldCharType="begin"/>
          </w:r>
          <w:r>
            <w:rPr>
              <w:color w:val="auto"/>
            </w:rPr>
            <w:instrText xml:space="preserve"> HYPERLINK \l _Toc27141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4.9 </w:t>
          </w:r>
          <w:r>
            <w:rPr>
              <w:rFonts w:hint="eastAsia" w:asciiTheme="minorEastAsia" w:hAnsiTheme="minorEastAsia" w:eastAsiaTheme="minorEastAsia" w:cstheme="minorEastAsia"/>
              <w:color w:val="auto"/>
              <w:szCs w:val="24"/>
            </w:rPr>
            <w:t>污泥处理工艺选择</w:t>
          </w:r>
          <w:r>
            <w:rPr>
              <w:color w:val="auto"/>
            </w:rPr>
            <w:tab/>
          </w:r>
          <w:r>
            <w:rPr>
              <w:color w:val="auto"/>
            </w:rPr>
            <w:fldChar w:fldCharType="begin"/>
          </w:r>
          <w:r>
            <w:rPr>
              <w:color w:val="auto"/>
            </w:rPr>
            <w:instrText xml:space="preserve"> PAGEREF _Toc27141 \h </w:instrText>
          </w:r>
          <w:r>
            <w:rPr>
              <w:color w:val="auto"/>
            </w:rPr>
            <w:fldChar w:fldCharType="separate"/>
          </w:r>
          <w:r>
            <w:rPr>
              <w:color w:val="auto"/>
            </w:rPr>
            <w:t>58</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_Toc9986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4.10 </w:t>
          </w:r>
          <w:r>
            <w:rPr>
              <w:rFonts w:hint="eastAsia" w:asciiTheme="minorEastAsia" w:hAnsiTheme="minorEastAsia" w:eastAsiaTheme="minorEastAsia" w:cstheme="minorEastAsia"/>
              <w:color w:val="auto"/>
              <w:szCs w:val="24"/>
            </w:rPr>
            <w:t>管材选择</w:t>
          </w:r>
          <w:r>
            <w:rPr>
              <w:color w:val="auto"/>
            </w:rPr>
            <w:tab/>
          </w:r>
          <w:r>
            <w:rPr>
              <w:color w:val="auto"/>
            </w:rPr>
            <w:fldChar w:fldCharType="begin"/>
          </w:r>
          <w:r>
            <w:rPr>
              <w:color w:val="auto"/>
            </w:rPr>
            <w:instrText xml:space="preserve"> PAGEREF _Toc9986 \h </w:instrText>
          </w:r>
          <w:r>
            <w:rPr>
              <w:color w:val="auto"/>
            </w:rPr>
            <w:fldChar w:fldCharType="separate"/>
          </w:r>
          <w:r>
            <w:rPr>
              <w:color w:val="auto"/>
            </w:rPr>
            <w:t>60</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_Toc29036 </w:instrText>
          </w:r>
          <w:r>
            <w:rPr>
              <w:color w:val="auto"/>
            </w:rPr>
            <w:fldChar w:fldCharType="separate"/>
          </w:r>
          <w:r>
            <w:rPr>
              <w:rFonts w:hint="eastAsia"/>
              <w:color w:val="auto"/>
            </w:rPr>
            <w:t>五 、项目</w:t>
          </w:r>
          <w:r>
            <w:rPr>
              <w:rFonts w:hint="eastAsia"/>
              <w:color w:val="auto"/>
              <w:lang w:val="en-US"/>
            </w:rPr>
            <w:t>设计</w:t>
          </w:r>
          <w:r>
            <w:rPr>
              <w:rFonts w:hint="eastAsia"/>
              <w:color w:val="auto"/>
            </w:rPr>
            <w:t>方案</w:t>
          </w:r>
          <w:r>
            <w:rPr>
              <w:color w:val="auto"/>
            </w:rPr>
            <w:tab/>
          </w:r>
          <w:r>
            <w:rPr>
              <w:color w:val="auto"/>
            </w:rPr>
            <w:fldChar w:fldCharType="begin"/>
          </w:r>
          <w:r>
            <w:rPr>
              <w:color w:val="auto"/>
            </w:rPr>
            <w:instrText xml:space="preserve"> PAGEREF _Toc29036 \h </w:instrText>
          </w:r>
          <w:r>
            <w:rPr>
              <w:color w:val="auto"/>
            </w:rPr>
            <w:fldChar w:fldCharType="separate"/>
          </w:r>
          <w:r>
            <w:rPr>
              <w:color w:val="auto"/>
            </w:rPr>
            <w:t>63</w:t>
          </w:r>
          <w:r>
            <w:rPr>
              <w:color w:val="auto"/>
            </w:rPr>
            <w:fldChar w:fldCharType="end"/>
          </w:r>
          <w:r>
            <w:rPr>
              <w:color w:val="auto"/>
            </w:rPr>
            <w:fldChar w:fldCharType="end"/>
          </w:r>
        </w:p>
        <w:p>
          <w:pPr>
            <w:pStyle w:val="23"/>
            <w:tabs>
              <w:tab w:val="right" w:leader="dot" w:pos="8791"/>
            </w:tabs>
            <w:rPr>
              <w:color w:val="auto"/>
            </w:rPr>
          </w:pPr>
          <w:r>
            <w:rPr>
              <w:color w:val="auto"/>
            </w:rPr>
            <w:fldChar w:fldCharType="begin"/>
          </w:r>
          <w:r>
            <w:rPr>
              <w:color w:val="auto"/>
            </w:rPr>
            <w:instrText xml:space="preserve"> HYPERLINK \l _Toc7613 </w:instrText>
          </w:r>
          <w:r>
            <w:rPr>
              <w:color w:val="auto"/>
            </w:rPr>
            <w:fldChar w:fldCharType="separate"/>
          </w:r>
          <w:r>
            <w:rPr>
              <w:rFonts w:hint="eastAsia" w:ascii="黑体" w:hAnsi="黑体" w:eastAsia="黑体" w:cs="黑体"/>
              <w:color w:val="auto"/>
              <w:szCs w:val="28"/>
            </w:rPr>
            <w:t>5.</w:t>
          </w:r>
          <w:r>
            <w:rPr>
              <w:rFonts w:hint="eastAsia" w:ascii="黑体" w:hAnsi="黑体" w:eastAsia="黑体" w:cs="黑体"/>
              <w:bCs/>
              <w:color w:val="auto"/>
              <w:szCs w:val="28"/>
            </w:rPr>
            <w:t xml:space="preserve">1 </w:t>
          </w:r>
          <w:r>
            <w:rPr>
              <w:rFonts w:hint="eastAsia" w:asciiTheme="minorEastAsia" w:hAnsiTheme="minorEastAsia" w:eastAsiaTheme="minorEastAsia" w:cstheme="minorEastAsia"/>
              <w:bCs/>
              <w:color w:val="auto"/>
              <w:szCs w:val="24"/>
              <w:lang w:val="en-US"/>
            </w:rPr>
            <w:t>设计原则</w:t>
          </w:r>
          <w:r>
            <w:rPr>
              <w:color w:val="auto"/>
            </w:rPr>
            <w:tab/>
          </w:r>
          <w:r>
            <w:rPr>
              <w:color w:val="auto"/>
            </w:rPr>
            <w:fldChar w:fldCharType="begin"/>
          </w:r>
          <w:r>
            <w:rPr>
              <w:color w:val="auto"/>
            </w:rPr>
            <w:instrText xml:space="preserve"> PAGEREF _Toc7613 \h </w:instrText>
          </w:r>
          <w:r>
            <w:rPr>
              <w:color w:val="auto"/>
            </w:rPr>
            <w:fldChar w:fldCharType="separate"/>
          </w:r>
          <w:r>
            <w:rPr>
              <w:color w:val="auto"/>
            </w:rPr>
            <w:t>63</w:t>
          </w:r>
          <w:r>
            <w:rPr>
              <w:color w:val="auto"/>
            </w:rPr>
            <w:fldChar w:fldCharType="end"/>
          </w:r>
          <w:r>
            <w:rPr>
              <w:color w:val="auto"/>
            </w:rPr>
            <w:fldChar w:fldCharType="end"/>
          </w:r>
        </w:p>
        <w:p>
          <w:pPr>
            <w:pStyle w:val="23"/>
            <w:tabs>
              <w:tab w:val="right" w:leader="dot" w:pos="8791"/>
            </w:tabs>
            <w:rPr>
              <w:color w:val="auto"/>
            </w:rPr>
          </w:pPr>
          <w:r>
            <w:rPr>
              <w:color w:val="auto"/>
            </w:rPr>
            <w:fldChar w:fldCharType="begin"/>
          </w:r>
          <w:r>
            <w:rPr>
              <w:color w:val="auto"/>
            </w:rPr>
            <w:instrText xml:space="preserve"> HYPERLINK \l _Toc5440 </w:instrText>
          </w:r>
          <w:r>
            <w:rPr>
              <w:color w:val="auto"/>
            </w:rPr>
            <w:fldChar w:fldCharType="separate"/>
          </w:r>
          <w:r>
            <w:rPr>
              <w:rFonts w:hint="eastAsia" w:ascii="黑体" w:hAnsi="黑体" w:eastAsia="黑体" w:cs="黑体"/>
              <w:color w:val="auto"/>
              <w:szCs w:val="28"/>
            </w:rPr>
            <w:t>5.</w:t>
          </w:r>
          <w:r>
            <w:rPr>
              <w:rFonts w:hint="eastAsia" w:ascii="黑体" w:hAnsi="黑体" w:eastAsia="黑体" w:cs="黑体"/>
              <w:bCs/>
              <w:color w:val="auto"/>
              <w:szCs w:val="28"/>
              <w:lang w:val="en-US"/>
            </w:rPr>
            <w:t>2</w:t>
          </w:r>
          <w:r>
            <w:rPr>
              <w:rFonts w:hint="eastAsia" w:ascii="黑体" w:hAnsi="黑体" w:eastAsia="黑体" w:cs="黑体"/>
              <w:bCs/>
              <w:color w:val="auto"/>
              <w:szCs w:val="28"/>
            </w:rPr>
            <w:t xml:space="preserve"> </w:t>
          </w:r>
          <w:r>
            <w:rPr>
              <w:rFonts w:hint="eastAsia" w:asciiTheme="minorEastAsia" w:hAnsiTheme="minorEastAsia" w:eastAsiaTheme="minorEastAsia" w:cstheme="minorEastAsia"/>
              <w:bCs/>
              <w:color w:val="auto"/>
              <w:szCs w:val="24"/>
              <w:lang w:val="en-US"/>
            </w:rPr>
            <w:t>方案内容</w:t>
          </w:r>
          <w:r>
            <w:rPr>
              <w:color w:val="auto"/>
            </w:rPr>
            <w:tab/>
          </w:r>
          <w:r>
            <w:rPr>
              <w:color w:val="auto"/>
            </w:rPr>
            <w:fldChar w:fldCharType="begin"/>
          </w:r>
          <w:r>
            <w:rPr>
              <w:color w:val="auto"/>
            </w:rPr>
            <w:instrText xml:space="preserve"> PAGEREF _Toc5440 \h </w:instrText>
          </w:r>
          <w:r>
            <w:rPr>
              <w:color w:val="auto"/>
            </w:rPr>
            <w:fldChar w:fldCharType="separate"/>
          </w:r>
          <w:r>
            <w:rPr>
              <w:color w:val="auto"/>
            </w:rPr>
            <w:t>63</w:t>
          </w:r>
          <w:r>
            <w:rPr>
              <w:color w:val="auto"/>
            </w:rPr>
            <w:fldChar w:fldCharType="end"/>
          </w:r>
          <w:r>
            <w:rPr>
              <w:color w:val="auto"/>
            </w:rPr>
            <w:fldChar w:fldCharType="end"/>
          </w:r>
        </w:p>
        <w:p>
          <w:pPr>
            <w:pStyle w:val="23"/>
            <w:tabs>
              <w:tab w:val="right" w:leader="dot" w:pos="8791"/>
            </w:tabs>
            <w:rPr>
              <w:color w:val="auto"/>
            </w:rPr>
          </w:pPr>
          <w:r>
            <w:rPr>
              <w:color w:val="auto"/>
            </w:rPr>
            <w:fldChar w:fldCharType="begin"/>
          </w:r>
          <w:r>
            <w:rPr>
              <w:color w:val="auto"/>
            </w:rPr>
            <w:instrText xml:space="preserve"> HYPERLINK \l _Toc2496 </w:instrText>
          </w:r>
          <w:r>
            <w:rPr>
              <w:color w:val="auto"/>
            </w:rPr>
            <w:fldChar w:fldCharType="separate"/>
          </w:r>
          <w:r>
            <w:rPr>
              <w:rFonts w:hint="eastAsia" w:ascii="黑体" w:hAnsi="黑体" w:eastAsia="黑体" w:cs="黑体"/>
              <w:color w:val="auto"/>
              <w:szCs w:val="28"/>
            </w:rPr>
            <w:t>5.</w:t>
          </w:r>
          <w:r>
            <w:rPr>
              <w:rFonts w:hint="eastAsia" w:ascii="黑体" w:hAnsi="黑体" w:eastAsia="黑体" w:cs="黑体"/>
              <w:color w:val="auto"/>
              <w:szCs w:val="28"/>
              <w:lang w:val="en-US"/>
            </w:rPr>
            <w:t xml:space="preserve">3 </w:t>
          </w:r>
          <w:r>
            <w:rPr>
              <w:rFonts w:hint="eastAsia" w:asciiTheme="minorEastAsia" w:hAnsiTheme="minorEastAsia" w:eastAsiaTheme="minorEastAsia" w:cstheme="minorEastAsia"/>
              <w:color w:val="auto"/>
              <w:szCs w:val="24"/>
              <w:lang w:val="en-US"/>
            </w:rPr>
            <w:t>方案片区划分</w:t>
          </w:r>
          <w:r>
            <w:rPr>
              <w:color w:val="auto"/>
            </w:rPr>
            <w:tab/>
          </w:r>
          <w:r>
            <w:rPr>
              <w:color w:val="auto"/>
            </w:rPr>
            <w:fldChar w:fldCharType="begin"/>
          </w:r>
          <w:r>
            <w:rPr>
              <w:color w:val="auto"/>
            </w:rPr>
            <w:instrText xml:space="preserve"> PAGEREF _Toc2496 \h </w:instrText>
          </w:r>
          <w:r>
            <w:rPr>
              <w:color w:val="auto"/>
            </w:rPr>
            <w:fldChar w:fldCharType="separate"/>
          </w:r>
          <w:r>
            <w:rPr>
              <w:color w:val="auto"/>
            </w:rPr>
            <w:t>63</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_Toc24824 </w:instrText>
          </w:r>
          <w:r>
            <w:rPr>
              <w:color w:val="auto"/>
            </w:rPr>
            <w:fldChar w:fldCharType="separate"/>
          </w:r>
          <w:r>
            <w:rPr>
              <w:rFonts w:hint="eastAsia"/>
              <w:color w:val="auto"/>
            </w:rPr>
            <w:t>六 、项目设计</w:t>
          </w:r>
          <w:r>
            <w:rPr>
              <w:color w:val="auto"/>
            </w:rPr>
            <w:tab/>
          </w:r>
          <w:r>
            <w:rPr>
              <w:color w:val="auto"/>
            </w:rPr>
            <w:fldChar w:fldCharType="begin"/>
          </w:r>
          <w:r>
            <w:rPr>
              <w:color w:val="auto"/>
            </w:rPr>
            <w:instrText xml:space="preserve"> PAGEREF _Toc24824 \h </w:instrText>
          </w:r>
          <w:r>
            <w:rPr>
              <w:color w:val="auto"/>
            </w:rPr>
            <w:fldChar w:fldCharType="separate"/>
          </w:r>
          <w:r>
            <w:rPr>
              <w:color w:val="auto"/>
            </w:rPr>
            <w:t>65</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_Toc30873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6.1 </w:t>
          </w:r>
          <w:r>
            <w:rPr>
              <w:rFonts w:hint="eastAsia" w:asciiTheme="minorEastAsia" w:hAnsiTheme="minorEastAsia" w:eastAsiaTheme="minorEastAsia" w:cstheme="minorEastAsia"/>
              <w:color w:val="auto"/>
              <w:szCs w:val="24"/>
            </w:rPr>
            <w:t>污水管渠设计</w:t>
          </w:r>
          <w:r>
            <w:rPr>
              <w:color w:val="auto"/>
            </w:rPr>
            <w:tab/>
          </w:r>
          <w:r>
            <w:rPr>
              <w:color w:val="auto"/>
            </w:rPr>
            <w:fldChar w:fldCharType="begin"/>
          </w:r>
          <w:r>
            <w:rPr>
              <w:color w:val="auto"/>
            </w:rPr>
            <w:instrText xml:space="preserve"> PAGEREF _Toc30873 \h </w:instrText>
          </w:r>
          <w:r>
            <w:rPr>
              <w:color w:val="auto"/>
            </w:rPr>
            <w:fldChar w:fldCharType="separate"/>
          </w:r>
          <w:r>
            <w:rPr>
              <w:color w:val="auto"/>
            </w:rPr>
            <w:t>65</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_Toc26510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6.2 </w:t>
          </w:r>
          <w:r>
            <w:rPr>
              <w:rFonts w:hint="eastAsia" w:asciiTheme="minorEastAsia" w:hAnsiTheme="minorEastAsia" w:eastAsiaTheme="minorEastAsia" w:cstheme="minorEastAsia"/>
              <w:color w:val="auto"/>
              <w:szCs w:val="24"/>
            </w:rPr>
            <w:t>污水处理站设计</w:t>
          </w:r>
          <w:r>
            <w:rPr>
              <w:color w:val="auto"/>
            </w:rPr>
            <w:tab/>
          </w:r>
          <w:r>
            <w:rPr>
              <w:color w:val="auto"/>
            </w:rPr>
            <w:fldChar w:fldCharType="begin"/>
          </w:r>
          <w:r>
            <w:rPr>
              <w:color w:val="auto"/>
            </w:rPr>
            <w:instrText xml:space="preserve"> PAGEREF _Toc26510 \h </w:instrText>
          </w:r>
          <w:r>
            <w:rPr>
              <w:color w:val="auto"/>
            </w:rPr>
            <w:fldChar w:fldCharType="separate"/>
          </w:r>
          <w:r>
            <w:rPr>
              <w:color w:val="auto"/>
            </w:rPr>
            <w:t>68</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_Toc4116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6.3 </w:t>
          </w:r>
          <w:r>
            <w:rPr>
              <w:rFonts w:hint="eastAsia" w:asciiTheme="minorEastAsia" w:hAnsiTheme="minorEastAsia" w:eastAsiaTheme="minorEastAsia" w:cstheme="minorEastAsia"/>
              <w:color w:val="auto"/>
              <w:szCs w:val="24"/>
            </w:rPr>
            <w:t>电气设计</w:t>
          </w:r>
          <w:r>
            <w:rPr>
              <w:color w:val="auto"/>
            </w:rPr>
            <w:tab/>
          </w:r>
          <w:r>
            <w:rPr>
              <w:color w:val="auto"/>
            </w:rPr>
            <w:fldChar w:fldCharType="begin"/>
          </w:r>
          <w:r>
            <w:rPr>
              <w:color w:val="auto"/>
            </w:rPr>
            <w:instrText xml:space="preserve"> PAGEREF _Toc4116 \h </w:instrText>
          </w:r>
          <w:r>
            <w:rPr>
              <w:color w:val="auto"/>
            </w:rPr>
            <w:fldChar w:fldCharType="separate"/>
          </w:r>
          <w:r>
            <w:rPr>
              <w:color w:val="auto"/>
            </w:rPr>
            <w:t>156</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_Toc12675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6.4 </w:t>
          </w:r>
          <w:r>
            <w:rPr>
              <w:rFonts w:hint="eastAsia" w:asciiTheme="minorEastAsia" w:hAnsiTheme="minorEastAsia" w:eastAsiaTheme="minorEastAsia" w:cstheme="minorEastAsia"/>
              <w:color w:val="auto"/>
              <w:szCs w:val="24"/>
            </w:rPr>
            <w:t>自控设计</w:t>
          </w:r>
          <w:r>
            <w:rPr>
              <w:color w:val="auto"/>
            </w:rPr>
            <w:tab/>
          </w:r>
          <w:r>
            <w:rPr>
              <w:color w:val="auto"/>
            </w:rPr>
            <w:fldChar w:fldCharType="begin"/>
          </w:r>
          <w:r>
            <w:rPr>
              <w:color w:val="auto"/>
            </w:rPr>
            <w:instrText xml:space="preserve"> PAGEREF _Toc12675 \h </w:instrText>
          </w:r>
          <w:r>
            <w:rPr>
              <w:color w:val="auto"/>
            </w:rPr>
            <w:fldChar w:fldCharType="separate"/>
          </w:r>
          <w:r>
            <w:rPr>
              <w:color w:val="auto"/>
            </w:rPr>
            <w:t>158</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_Toc19106 </w:instrText>
          </w:r>
          <w:r>
            <w:rPr>
              <w:color w:val="auto"/>
            </w:rPr>
            <w:fldChar w:fldCharType="separate"/>
          </w:r>
          <w:r>
            <w:rPr>
              <w:rFonts w:hint="eastAsia"/>
              <w:color w:val="auto"/>
            </w:rPr>
            <w:t>七 、项目管理及实施计划</w:t>
          </w:r>
          <w:r>
            <w:rPr>
              <w:color w:val="auto"/>
            </w:rPr>
            <w:tab/>
          </w:r>
          <w:r>
            <w:rPr>
              <w:color w:val="auto"/>
            </w:rPr>
            <w:fldChar w:fldCharType="begin"/>
          </w:r>
          <w:r>
            <w:rPr>
              <w:color w:val="auto"/>
            </w:rPr>
            <w:instrText xml:space="preserve"> PAGEREF _Toc19106 \h </w:instrText>
          </w:r>
          <w:r>
            <w:rPr>
              <w:color w:val="auto"/>
            </w:rPr>
            <w:fldChar w:fldCharType="separate"/>
          </w:r>
          <w:r>
            <w:rPr>
              <w:color w:val="auto"/>
            </w:rPr>
            <w:t>160</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_Toc23471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7.1 </w:t>
          </w:r>
          <w:r>
            <w:rPr>
              <w:rFonts w:hint="eastAsia" w:asciiTheme="minorEastAsia" w:hAnsiTheme="minorEastAsia" w:eastAsiaTheme="minorEastAsia" w:cstheme="minorEastAsia"/>
              <w:color w:val="auto"/>
              <w:szCs w:val="24"/>
            </w:rPr>
            <w:t>实施原则</w:t>
          </w:r>
          <w:r>
            <w:rPr>
              <w:color w:val="auto"/>
            </w:rPr>
            <w:tab/>
          </w:r>
          <w:r>
            <w:rPr>
              <w:color w:val="auto"/>
            </w:rPr>
            <w:fldChar w:fldCharType="begin"/>
          </w:r>
          <w:r>
            <w:rPr>
              <w:color w:val="auto"/>
            </w:rPr>
            <w:instrText xml:space="preserve"> PAGEREF _Toc23471 \h </w:instrText>
          </w:r>
          <w:r>
            <w:rPr>
              <w:color w:val="auto"/>
            </w:rPr>
            <w:fldChar w:fldCharType="separate"/>
          </w:r>
          <w:r>
            <w:rPr>
              <w:color w:val="auto"/>
            </w:rPr>
            <w:t>160</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_Toc21824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7.2 </w:t>
          </w:r>
          <w:r>
            <w:rPr>
              <w:rFonts w:hint="eastAsia" w:asciiTheme="minorEastAsia" w:hAnsiTheme="minorEastAsia" w:eastAsiaTheme="minorEastAsia" w:cstheme="minorEastAsia"/>
              <w:color w:val="auto"/>
              <w:szCs w:val="24"/>
            </w:rPr>
            <w:t>人员编制</w:t>
          </w:r>
          <w:r>
            <w:rPr>
              <w:color w:val="auto"/>
            </w:rPr>
            <w:tab/>
          </w:r>
          <w:r>
            <w:rPr>
              <w:color w:val="auto"/>
            </w:rPr>
            <w:fldChar w:fldCharType="begin"/>
          </w:r>
          <w:r>
            <w:rPr>
              <w:color w:val="auto"/>
            </w:rPr>
            <w:instrText xml:space="preserve"> PAGEREF _Toc21824 \h </w:instrText>
          </w:r>
          <w:r>
            <w:rPr>
              <w:color w:val="auto"/>
            </w:rPr>
            <w:fldChar w:fldCharType="separate"/>
          </w:r>
          <w:r>
            <w:rPr>
              <w:color w:val="auto"/>
            </w:rPr>
            <w:t>162</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_Toc23699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7.3 </w:t>
          </w:r>
          <w:r>
            <w:rPr>
              <w:rFonts w:hint="eastAsia" w:asciiTheme="minorEastAsia" w:hAnsiTheme="minorEastAsia" w:eastAsiaTheme="minorEastAsia" w:cstheme="minorEastAsia"/>
              <w:color w:val="auto"/>
              <w:szCs w:val="24"/>
            </w:rPr>
            <w:t>项目实施计划</w:t>
          </w:r>
          <w:r>
            <w:rPr>
              <w:color w:val="auto"/>
            </w:rPr>
            <w:tab/>
          </w:r>
          <w:r>
            <w:rPr>
              <w:color w:val="auto"/>
            </w:rPr>
            <w:fldChar w:fldCharType="begin"/>
          </w:r>
          <w:r>
            <w:rPr>
              <w:color w:val="auto"/>
            </w:rPr>
            <w:instrText xml:space="preserve"> PAGEREF _Toc23699 \h </w:instrText>
          </w:r>
          <w:r>
            <w:rPr>
              <w:color w:val="auto"/>
            </w:rPr>
            <w:fldChar w:fldCharType="separate"/>
          </w:r>
          <w:r>
            <w:rPr>
              <w:color w:val="auto"/>
            </w:rPr>
            <w:t>163</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_Toc15352 </w:instrText>
          </w:r>
          <w:r>
            <w:rPr>
              <w:color w:val="auto"/>
            </w:rPr>
            <w:fldChar w:fldCharType="separate"/>
          </w:r>
          <w:r>
            <w:rPr>
              <w:rFonts w:hint="default"/>
              <w:color w:val="auto"/>
            </w:rPr>
            <w:t xml:space="preserve">八、 </w:t>
          </w:r>
          <w:r>
            <w:rPr>
              <w:rFonts w:hint="eastAsia"/>
              <w:color w:val="auto"/>
            </w:rPr>
            <w:t>环境保护</w:t>
          </w:r>
          <w:r>
            <w:rPr>
              <w:color w:val="auto"/>
            </w:rPr>
            <w:tab/>
          </w:r>
          <w:r>
            <w:rPr>
              <w:color w:val="auto"/>
            </w:rPr>
            <w:fldChar w:fldCharType="begin"/>
          </w:r>
          <w:r>
            <w:rPr>
              <w:color w:val="auto"/>
            </w:rPr>
            <w:instrText xml:space="preserve"> PAGEREF _Toc15352 \h </w:instrText>
          </w:r>
          <w:r>
            <w:rPr>
              <w:color w:val="auto"/>
            </w:rPr>
            <w:fldChar w:fldCharType="separate"/>
          </w:r>
          <w:r>
            <w:rPr>
              <w:color w:val="auto"/>
            </w:rPr>
            <w:t>165</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_Toc2397 </w:instrText>
          </w:r>
          <w:r>
            <w:rPr>
              <w:color w:val="auto"/>
            </w:rPr>
            <w:fldChar w:fldCharType="separate"/>
          </w:r>
          <w:r>
            <w:rPr>
              <w:rFonts w:hint="eastAsia"/>
              <w:color w:val="auto"/>
              <w:szCs w:val="30"/>
            </w:rPr>
            <w:t>8.1</w:t>
          </w:r>
          <w:r>
            <w:rPr>
              <w:rFonts w:hint="eastAsia"/>
              <w:color w:val="auto"/>
              <w:szCs w:val="30"/>
              <w:lang w:val="en-US"/>
            </w:rPr>
            <w:t xml:space="preserve"> </w:t>
          </w:r>
          <w:r>
            <w:rPr>
              <w:rFonts w:hint="eastAsia" w:asciiTheme="minorEastAsia" w:hAnsiTheme="minorEastAsia" w:eastAsiaTheme="minorEastAsia" w:cstheme="minorEastAsia"/>
              <w:color w:val="auto"/>
              <w:szCs w:val="24"/>
            </w:rPr>
            <w:t>分析依据</w:t>
          </w:r>
          <w:r>
            <w:rPr>
              <w:color w:val="auto"/>
            </w:rPr>
            <w:tab/>
          </w:r>
          <w:r>
            <w:rPr>
              <w:color w:val="auto"/>
            </w:rPr>
            <w:fldChar w:fldCharType="begin"/>
          </w:r>
          <w:r>
            <w:rPr>
              <w:color w:val="auto"/>
            </w:rPr>
            <w:instrText xml:space="preserve"> PAGEREF _Toc2397 \h </w:instrText>
          </w:r>
          <w:r>
            <w:rPr>
              <w:color w:val="auto"/>
            </w:rPr>
            <w:fldChar w:fldCharType="separate"/>
          </w:r>
          <w:r>
            <w:rPr>
              <w:color w:val="auto"/>
            </w:rPr>
            <w:t>165</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_Toc15206 </w:instrText>
          </w:r>
          <w:r>
            <w:rPr>
              <w:color w:val="auto"/>
            </w:rPr>
            <w:fldChar w:fldCharType="separate"/>
          </w:r>
          <w:r>
            <w:rPr>
              <w:rFonts w:hint="eastAsia"/>
              <w:color w:val="auto"/>
              <w:szCs w:val="30"/>
            </w:rPr>
            <w:t>8.2</w:t>
          </w:r>
          <w:r>
            <w:rPr>
              <w:rFonts w:hint="eastAsia"/>
              <w:color w:val="auto"/>
              <w:szCs w:val="30"/>
              <w:lang w:val="en-US"/>
            </w:rPr>
            <w:t xml:space="preserve"> </w:t>
          </w:r>
          <w:r>
            <w:rPr>
              <w:rFonts w:hint="eastAsia" w:asciiTheme="minorEastAsia" w:hAnsiTheme="minorEastAsia" w:eastAsiaTheme="minorEastAsia" w:cstheme="minorEastAsia"/>
              <w:color w:val="auto"/>
              <w:szCs w:val="24"/>
            </w:rPr>
            <w:t>建设项目周围环境现状</w:t>
          </w:r>
          <w:r>
            <w:rPr>
              <w:color w:val="auto"/>
            </w:rPr>
            <w:tab/>
          </w:r>
          <w:r>
            <w:rPr>
              <w:color w:val="auto"/>
            </w:rPr>
            <w:fldChar w:fldCharType="begin"/>
          </w:r>
          <w:r>
            <w:rPr>
              <w:color w:val="auto"/>
            </w:rPr>
            <w:instrText xml:space="preserve"> PAGEREF _Toc15206 \h </w:instrText>
          </w:r>
          <w:r>
            <w:rPr>
              <w:color w:val="auto"/>
            </w:rPr>
            <w:fldChar w:fldCharType="separate"/>
          </w:r>
          <w:r>
            <w:rPr>
              <w:color w:val="auto"/>
            </w:rPr>
            <w:t>165</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_Toc32722 </w:instrText>
          </w:r>
          <w:r>
            <w:rPr>
              <w:color w:val="auto"/>
            </w:rPr>
            <w:fldChar w:fldCharType="separate"/>
          </w:r>
          <w:r>
            <w:rPr>
              <w:rFonts w:hint="eastAsia"/>
              <w:color w:val="auto"/>
              <w:szCs w:val="30"/>
            </w:rPr>
            <w:t>8.3</w:t>
          </w:r>
          <w:r>
            <w:rPr>
              <w:rFonts w:hint="eastAsia"/>
              <w:color w:val="auto"/>
              <w:szCs w:val="30"/>
              <w:lang w:val="en-US"/>
            </w:rPr>
            <w:t xml:space="preserve"> </w:t>
          </w:r>
          <w:r>
            <w:rPr>
              <w:rFonts w:hint="eastAsia" w:asciiTheme="minorEastAsia" w:hAnsiTheme="minorEastAsia" w:eastAsiaTheme="minorEastAsia" w:cstheme="minorEastAsia"/>
              <w:color w:val="auto"/>
              <w:szCs w:val="24"/>
            </w:rPr>
            <w:t>建设期对环境的影响</w:t>
          </w:r>
          <w:r>
            <w:rPr>
              <w:color w:val="auto"/>
            </w:rPr>
            <w:tab/>
          </w:r>
          <w:r>
            <w:rPr>
              <w:color w:val="auto"/>
            </w:rPr>
            <w:fldChar w:fldCharType="begin"/>
          </w:r>
          <w:r>
            <w:rPr>
              <w:color w:val="auto"/>
            </w:rPr>
            <w:instrText xml:space="preserve"> PAGEREF _Toc32722 \h </w:instrText>
          </w:r>
          <w:r>
            <w:rPr>
              <w:color w:val="auto"/>
            </w:rPr>
            <w:fldChar w:fldCharType="separate"/>
          </w:r>
          <w:r>
            <w:rPr>
              <w:color w:val="auto"/>
            </w:rPr>
            <w:t>165</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_Toc26475 </w:instrText>
          </w:r>
          <w:r>
            <w:rPr>
              <w:color w:val="auto"/>
            </w:rPr>
            <w:fldChar w:fldCharType="separate"/>
          </w:r>
          <w:r>
            <w:rPr>
              <w:rFonts w:hint="default"/>
              <w:color w:val="auto"/>
            </w:rPr>
            <w:t xml:space="preserve">九、 </w:t>
          </w:r>
          <w:r>
            <w:rPr>
              <w:rFonts w:hint="eastAsia"/>
              <w:color w:val="auto"/>
            </w:rPr>
            <w:t>资源利用与能源耗用分析</w:t>
          </w:r>
          <w:r>
            <w:rPr>
              <w:color w:val="auto"/>
            </w:rPr>
            <w:tab/>
          </w:r>
          <w:r>
            <w:rPr>
              <w:color w:val="auto"/>
            </w:rPr>
            <w:fldChar w:fldCharType="begin"/>
          </w:r>
          <w:r>
            <w:rPr>
              <w:color w:val="auto"/>
            </w:rPr>
            <w:instrText xml:space="preserve"> PAGEREF _Toc26475 \h </w:instrText>
          </w:r>
          <w:r>
            <w:rPr>
              <w:color w:val="auto"/>
            </w:rPr>
            <w:fldChar w:fldCharType="separate"/>
          </w:r>
          <w:r>
            <w:rPr>
              <w:color w:val="auto"/>
            </w:rPr>
            <w:t>170</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_Toc1208 </w:instrText>
          </w:r>
          <w:r>
            <w:rPr>
              <w:color w:val="auto"/>
            </w:rPr>
            <w:fldChar w:fldCharType="separate"/>
          </w:r>
          <w:r>
            <w:rPr>
              <w:rFonts w:hint="eastAsia"/>
              <w:color w:val="auto"/>
              <w:szCs w:val="30"/>
            </w:rPr>
            <w:t>9.1</w:t>
          </w:r>
          <w:r>
            <w:rPr>
              <w:rFonts w:hint="eastAsia"/>
              <w:color w:val="auto"/>
              <w:szCs w:val="30"/>
              <w:lang w:val="en-US"/>
            </w:rPr>
            <w:t xml:space="preserve"> </w:t>
          </w:r>
          <w:r>
            <w:rPr>
              <w:rFonts w:hint="eastAsia" w:asciiTheme="minorEastAsia" w:hAnsiTheme="minorEastAsia" w:eastAsiaTheme="minorEastAsia" w:cstheme="minorEastAsia"/>
              <w:color w:val="auto"/>
              <w:szCs w:val="24"/>
            </w:rPr>
            <w:t>资源和原材料</w:t>
          </w:r>
          <w:r>
            <w:rPr>
              <w:color w:val="auto"/>
            </w:rPr>
            <w:tab/>
          </w:r>
          <w:r>
            <w:rPr>
              <w:color w:val="auto"/>
            </w:rPr>
            <w:fldChar w:fldCharType="begin"/>
          </w:r>
          <w:r>
            <w:rPr>
              <w:color w:val="auto"/>
            </w:rPr>
            <w:instrText xml:space="preserve"> PAGEREF _Toc1208 \h </w:instrText>
          </w:r>
          <w:r>
            <w:rPr>
              <w:color w:val="auto"/>
            </w:rPr>
            <w:fldChar w:fldCharType="separate"/>
          </w:r>
          <w:r>
            <w:rPr>
              <w:color w:val="auto"/>
            </w:rPr>
            <w:t>170</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_Toc6261 </w:instrText>
          </w:r>
          <w:r>
            <w:rPr>
              <w:color w:val="auto"/>
            </w:rPr>
            <w:fldChar w:fldCharType="separate"/>
          </w:r>
          <w:r>
            <w:rPr>
              <w:rFonts w:hint="eastAsia"/>
              <w:color w:val="auto"/>
              <w:szCs w:val="30"/>
            </w:rPr>
            <w:t>9.2</w:t>
          </w:r>
          <w:r>
            <w:rPr>
              <w:rFonts w:hint="eastAsia"/>
              <w:color w:val="auto"/>
              <w:szCs w:val="30"/>
              <w:lang w:val="en-US"/>
            </w:rPr>
            <w:t xml:space="preserve"> </w:t>
          </w:r>
          <w:r>
            <w:rPr>
              <w:rFonts w:hint="eastAsia" w:asciiTheme="minorEastAsia" w:hAnsiTheme="minorEastAsia" w:eastAsiaTheme="minorEastAsia" w:cstheme="minorEastAsia"/>
              <w:color w:val="auto"/>
              <w:szCs w:val="24"/>
            </w:rPr>
            <w:t>编制依据</w:t>
          </w:r>
          <w:r>
            <w:rPr>
              <w:color w:val="auto"/>
            </w:rPr>
            <w:tab/>
          </w:r>
          <w:r>
            <w:rPr>
              <w:color w:val="auto"/>
            </w:rPr>
            <w:fldChar w:fldCharType="begin"/>
          </w:r>
          <w:r>
            <w:rPr>
              <w:color w:val="auto"/>
            </w:rPr>
            <w:instrText xml:space="preserve"> PAGEREF _Toc6261 \h </w:instrText>
          </w:r>
          <w:r>
            <w:rPr>
              <w:color w:val="auto"/>
            </w:rPr>
            <w:fldChar w:fldCharType="separate"/>
          </w:r>
          <w:r>
            <w:rPr>
              <w:color w:val="auto"/>
            </w:rPr>
            <w:t>170</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_Toc8833 </w:instrText>
          </w:r>
          <w:r>
            <w:rPr>
              <w:color w:val="auto"/>
            </w:rPr>
            <w:fldChar w:fldCharType="separate"/>
          </w:r>
          <w:r>
            <w:rPr>
              <w:rFonts w:hint="eastAsia"/>
              <w:color w:val="auto"/>
              <w:szCs w:val="30"/>
            </w:rPr>
            <w:t>9.3</w:t>
          </w:r>
          <w:r>
            <w:rPr>
              <w:rFonts w:hint="eastAsia"/>
              <w:color w:val="auto"/>
              <w:szCs w:val="30"/>
              <w:lang w:val="en-US"/>
            </w:rPr>
            <w:t xml:space="preserve"> </w:t>
          </w:r>
          <w:r>
            <w:rPr>
              <w:rFonts w:hint="eastAsia" w:asciiTheme="minorEastAsia" w:hAnsiTheme="minorEastAsia" w:eastAsiaTheme="minorEastAsia" w:cstheme="minorEastAsia"/>
              <w:color w:val="auto"/>
              <w:szCs w:val="24"/>
            </w:rPr>
            <w:t>污水处理站能耗特征</w:t>
          </w:r>
          <w:r>
            <w:rPr>
              <w:color w:val="auto"/>
            </w:rPr>
            <w:tab/>
          </w:r>
          <w:r>
            <w:rPr>
              <w:color w:val="auto"/>
            </w:rPr>
            <w:fldChar w:fldCharType="begin"/>
          </w:r>
          <w:r>
            <w:rPr>
              <w:color w:val="auto"/>
            </w:rPr>
            <w:instrText xml:space="preserve"> PAGEREF _Toc8833 \h </w:instrText>
          </w:r>
          <w:r>
            <w:rPr>
              <w:color w:val="auto"/>
            </w:rPr>
            <w:fldChar w:fldCharType="separate"/>
          </w:r>
          <w:r>
            <w:rPr>
              <w:color w:val="auto"/>
            </w:rPr>
            <w:t>171</w:t>
          </w:r>
          <w:r>
            <w:rPr>
              <w:color w:val="auto"/>
            </w:rPr>
            <w:fldChar w:fldCharType="end"/>
          </w:r>
          <w:r>
            <w:rPr>
              <w:color w:val="auto"/>
            </w:rPr>
            <w:fldChar w:fldCharType="end"/>
          </w:r>
        </w:p>
        <w:p>
          <w:pPr>
            <w:pStyle w:val="19"/>
            <w:tabs>
              <w:tab w:val="right" w:leader="dot" w:pos="8791"/>
            </w:tabs>
            <w:jc w:val="left"/>
            <w:rPr>
              <w:color w:val="auto"/>
            </w:rPr>
          </w:pPr>
          <w:r>
            <w:rPr>
              <w:color w:val="auto"/>
            </w:rPr>
            <w:fldChar w:fldCharType="begin"/>
          </w:r>
          <w:r>
            <w:rPr>
              <w:color w:val="auto"/>
            </w:rPr>
            <w:instrText xml:space="preserve"> HYPERLINK \l _Toc23555 </w:instrText>
          </w:r>
          <w:r>
            <w:rPr>
              <w:color w:val="auto"/>
            </w:rPr>
            <w:fldChar w:fldCharType="separate"/>
          </w:r>
          <w:r>
            <w:rPr>
              <w:rFonts w:hint="eastAsia"/>
              <w:color w:val="auto"/>
              <w:szCs w:val="30"/>
            </w:rPr>
            <w:t>9.4</w:t>
          </w:r>
          <w:r>
            <w:rPr>
              <w:rFonts w:hint="eastAsia"/>
              <w:color w:val="auto"/>
              <w:szCs w:val="30"/>
              <w:lang w:val="en-US"/>
            </w:rPr>
            <w:t xml:space="preserve"> </w:t>
          </w:r>
          <w:r>
            <w:rPr>
              <w:rFonts w:hint="eastAsia" w:asciiTheme="minorEastAsia" w:hAnsiTheme="minorEastAsia" w:eastAsiaTheme="minorEastAsia" w:cstheme="minorEastAsia"/>
              <w:color w:val="auto"/>
              <w:szCs w:val="24"/>
            </w:rPr>
            <w:t>预处理</w:t>
          </w:r>
          <w:r>
            <w:rPr>
              <w:color w:val="auto"/>
            </w:rPr>
            <w:tab/>
          </w:r>
          <w:r>
            <w:rPr>
              <w:color w:val="auto"/>
            </w:rPr>
            <w:fldChar w:fldCharType="begin"/>
          </w:r>
          <w:r>
            <w:rPr>
              <w:color w:val="auto"/>
            </w:rPr>
            <w:instrText xml:space="preserve"> PAGEREF _Toc23555 \h </w:instrText>
          </w:r>
          <w:r>
            <w:rPr>
              <w:color w:val="auto"/>
            </w:rPr>
            <w:fldChar w:fldCharType="separate"/>
          </w:r>
          <w:r>
            <w:rPr>
              <w:color w:val="auto"/>
            </w:rPr>
            <w:t>171</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_Toc29243 </w:instrText>
          </w:r>
          <w:r>
            <w:rPr>
              <w:color w:val="auto"/>
            </w:rPr>
            <w:fldChar w:fldCharType="separate"/>
          </w:r>
          <w:r>
            <w:rPr>
              <w:rFonts w:hint="eastAsia"/>
              <w:color w:val="auto"/>
              <w:szCs w:val="30"/>
            </w:rPr>
            <w:t>9.5</w:t>
          </w:r>
          <w:r>
            <w:rPr>
              <w:rFonts w:hint="eastAsia"/>
              <w:color w:val="auto"/>
              <w:szCs w:val="30"/>
              <w:lang w:val="en-US"/>
            </w:rPr>
            <w:t xml:space="preserve"> </w:t>
          </w:r>
          <w:r>
            <w:rPr>
              <w:rFonts w:hint="eastAsia" w:asciiTheme="minorEastAsia" w:hAnsiTheme="minorEastAsia" w:eastAsiaTheme="minorEastAsia" w:cstheme="minorEastAsia"/>
              <w:color w:val="auto"/>
              <w:szCs w:val="24"/>
            </w:rPr>
            <w:t>生化处理</w:t>
          </w:r>
          <w:r>
            <w:rPr>
              <w:color w:val="auto"/>
            </w:rPr>
            <w:tab/>
          </w:r>
          <w:r>
            <w:rPr>
              <w:color w:val="auto"/>
            </w:rPr>
            <w:fldChar w:fldCharType="begin"/>
          </w:r>
          <w:r>
            <w:rPr>
              <w:color w:val="auto"/>
            </w:rPr>
            <w:instrText xml:space="preserve"> PAGEREF _Toc29243 \h </w:instrText>
          </w:r>
          <w:r>
            <w:rPr>
              <w:color w:val="auto"/>
            </w:rPr>
            <w:fldChar w:fldCharType="separate"/>
          </w:r>
          <w:r>
            <w:rPr>
              <w:color w:val="auto"/>
            </w:rPr>
            <w:t>171</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_Toc19022 </w:instrText>
          </w:r>
          <w:r>
            <w:rPr>
              <w:color w:val="auto"/>
            </w:rPr>
            <w:fldChar w:fldCharType="separate"/>
          </w:r>
          <w:r>
            <w:rPr>
              <w:rFonts w:hint="eastAsia"/>
              <w:color w:val="auto"/>
              <w:szCs w:val="30"/>
            </w:rPr>
            <w:t>9.6</w:t>
          </w:r>
          <w:r>
            <w:rPr>
              <w:rFonts w:hint="eastAsia" w:asciiTheme="minorEastAsia" w:hAnsiTheme="minorEastAsia" w:eastAsiaTheme="minorEastAsia" w:cstheme="minorEastAsia"/>
              <w:color w:val="auto"/>
              <w:szCs w:val="24"/>
              <w:lang w:val="en-US"/>
            </w:rPr>
            <w:t xml:space="preserve"> </w:t>
          </w:r>
          <w:r>
            <w:rPr>
              <w:rFonts w:hint="eastAsia" w:asciiTheme="minorEastAsia" w:hAnsiTheme="minorEastAsia" w:eastAsiaTheme="minorEastAsia" w:cstheme="minorEastAsia"/>
              <w:color w:val="auto"/>
              <w:szCs w:val="24"/>
            </w:rPr>
            <w:t>污泥处理</w:t>
          </w:r>
          <w:r>
            <w:rPr>
              <w:color w:val="auto"/>
            </w:rPr>
            <w:tab/>
          </w:r>
          <w:r>
            <w:rPr>
              <w:color w:val="auto"/>
            </w:rPr>
            <w:fldChar w:fldCharType="begin"/>
          </w:r>
          <w:r>
            <w:rPr>
              <w:color w:val="auto"/>
            </w:rPr>
            <w:instrText xml:space="preserve"> PAGEREF _Toc19022 \h </w:instrText>
          </w:r>
          <w:r>
            <w:rPr>
              <w:color w:val="auto"/>
            </w:rPr>
            <w:fldChar w:fldCharType="separate"/>
          </w:r>
          <w:r>
            <w:rPr>
              <w:color w:val="auto"/>
            </w:rPr>
            <w:t>172</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_Toc2322 </w:instrText>
          </w:r>
          <w:r>
            <w:rPr>
              <w:color w:val="auto"/>
            </w:rPr>
            <w:fldChar w:fldCharType="separate"/>
          </w:r>
          <w:r>
            <w:rPr>
              <w:rFonts w:hint="eastAsia"/>
              <w:color w:val="auto"/>
              <w:szCs w:val="30"/>
            </w:rPr>
            <w:t>9.7</w:t>
          </w:r>
          <w:r>
            <w:rPr>
              <w:rFonts w:hint="eastAsia" w:asciiTheme="minorEastAsia" w:hAnsiTheme="minorEastAsia" w:eastAsiaTheme="minorEastAsia" w:cstheme="minorEastAsia"/>
              <w:color w:val="auto"/>
              <w:szCs w:val="24"/>
              <w:lang w:val="en-US"/>
            </w:rPr>
            <w:t xml:space="preserve"> </w:t>
          </w:r>
          <w:r>
            <w:rPr>
              <w:rFonts w:hint="eastAsia" w:asciiTheme="minorEastAsia" w:hAnsiTheme="minorEastAsia" w:eastAsiaTheme="minorEastAsia" w:cstheme="minorEastAsia"/>
              <w:color w:val="auto"/>
              <w:szCs w:val="24"/>
            </w:rPr>
            <w:t>节能措施</w:t>
          </w:r>
          <w:r>
            <w:rPr>
              <w:color w:val="auto"/>
            </w:rPr>
            <w:tab/>
          </w:r>
          <w:r>
            <w:rPr>
              <w:color w:val="auto"/>
            </w:rPr>
            <w:fldChar w:fldCharType="begin"/>
          </w:r>
          <w:r>
            <w:rPr>
              <w:color w:val="auto"/>
            </w:rPr>
            <w:instrText xml:space="preserve"> PAGEREF _Toc2322 \h </w:instrText>
          </w:r>
          <w:r>
            <w:rPr>
              <w:color w:val="auto"/>
            </w:rPr>
            <w:fldChar w:fldCharType="separate"/>
          </w:r>
          <w:r>
            <w:rPr>
              <w:color w:val="auto"/>
            </w:rPr>
            <w:t>175</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_Toc29249 </w:instrText>
          </w:r>
          <w:r>
            <w:rPr>
              <w:color w:val="auto"/>
            </w:rPr>
            <w:fldChar w:fldCharType="separate"/>
          </w:r>
          <w:r>
            <w:rPr>
              <w:rFonts w:hint="eastAsia"/>
              <w:color w:val="auto"/>
              <w:szCs w:val="30"/>
            </w:rPr>
            <w:t>9.8</w:t>
          </w:r>
          <w:r>
            <w:rPr>
              <w:rFonts w:hint="eastAsia"/>
              <w:color w:val="auto"/>
              <w:szCs w:val="30"/>
              <w:lang w:val="en-US"/>
            </w:rPr>
            <w:t xml:space="preserve"> </w:t>
          </w:r>
          <w:r>
            <w:rPr>
              <w:rFonts w:hint="eastAsia" w:asciiTheme="minorEastAsia" w:hAnsiTheme="minorEastAsia" w:eastAsiaTheme="minorEastAsia" w:cstheme="minorEastAsia"/>
              <w:color w:val="auto"/>
              <w:szCs w:val="24"/>
            </w:rPr>
            <w:t>施工期间节能措施</w:t>
          </w:r>
          <w:r>
            <w:rPr>
              <w:color w:val="auto"/>
            </w:rPr>
            <w:tab/>
          </w:r>
          <w:r>
            <w:rPr>
              <w:color w:val="auto"/>
            </w:rPr>
            <w:fldChar w:fldCharType="begin"/>
          </w:r>
          <w:r>
            <w:rPr>
              <w:color w:val="auto"/>
            </w:rPr>
            <w:instrText xml:space="preserve"> PAGEREF _Toc29249 \h </w:instrText>
          </w:r>
          <w:r>
            <w:rPr>
              <w:color w:val="auto"/>
            </w:rPr>
            <w:fldChar w:fldCharType="separate"/>
          </w:r>
          <w:r>
            <w:rPr>
              <w:color w:val="auto"/>
            </w:rPr>
            <w:t>175</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_Toc5871 </w:instrText>
          </w:r>
          <w:r>
            <w:rPr>
              <w:color w:val="auto"/>
            </w:rPr>
            <w:fldChar w:fldCharType="separate"/>
          </w:r>
          <w:r>
            <w:rPr>
              <w:rFonts w:hint="eastAsia"/>
              <w:color w:val="auto"/>
              <w:szCs w:val="30"/>
            </w:rPr>
            <w:t>9.9</w:t>
          </w:r>
          <w:r>
            <w:rPr>
              <w:rFonts w:hint="eastAsia" w:asciiTheme="minorEastAsia" w:hAnsiTheme="minorEastAsia" w:eastAsiaTheme="minorEastAsia" w:cstheme="minorEastAsia"/>
              <w:color w:val="auto"/>
              <w:szCs w:val="24"/>
              <w:lang w:val="en-US"/>
            </w:rPr>
            <w:t xml:space="preserve"> </w:t>
          </w:r>
          <w:r>
            <w:rPr>
              <w:rFonts w:hint="eastAsia" w:asciiTheme="minorEastAsia" w:hAnsiTheme="minorEastAsia" w:eastAsiaTheme="minorEastAsia" w:cstheme="minorEastAsia"/>
              <w:color w:val="auto"/>
              <w:szCs w:val="24"/>
            </w:rPr>
            <w:t>运营期节能措施</w:t>
          </w:r>
          <w:r>
            <w:rPr>
              <w:color w:val="auto"/>
            </w:rPr>
            <w:tab/>
          </w:r>
          <w:r>
            <w:rPr>
              <w:color w:val="auto"/>
            </w:rPr>
            <w:fldChar w:fldCharType="begin"/>
          </w:r>
          <w:r>
            <w:rPr>
              <w:color w:val="auto"/>
            </w:rPr>
            <w:instrText xml:space="preserve"> PAGEREF _Toc5871 \h </w:instrText>
          </w:r>
          <w:r>
            <w:rPr>
              <w:color w:val="auto"/>
            </w:rPr>
            <w:fldChar w:fldCharType="separate"/>
          </w:r>
          <w:r>
            <w:rPr>
              <w:color w:val="auto"/>
            </w:rPr>
            <w:t>175</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_Toc22053 </w:instrText>
          </w:r>
          <w:r>
            <w:rPr>
              <w:color w:val="auto"/>
            </w:rPr>
            <w:fldChar w:fldCharType="separate"/>
          </w:r>
          <w:r>
            <w:rPr>
              <w:rFonts w:hint="default"/>
              <w:color w:val="auto"/>
            </w:rPr>
            <w:t xml:space="preserve">十、 </w:t>
          </w:r>
          <w:r>
            <w:rPr>
              <w:rFonts w:hint="eastAsia"/>
              <w:color w:val="auto"/>
            </w:rPr>
            <w:t>消防设计</w:t>
          </w:r>
          <w:r>
            <w:rPr>
              <w:color w:val="auto"/>
            </w:rPr>
            <w:tab/>
          </w:r>
          <w:r>
            <w:rPr>
              <w:color w:val="auto"/>
            </w:rPr>
            <w:fldChar w:fldCharType="begin"/>
          </w:r>
          <w:r>
            <w:rPr>
              <w:color w:val="auto"/>
            </w:rPr>
            <w:instrText xml:space="preserve"> PAGEREF _Toc22053 \h </w:instrText>
          </w:r>
          <w:r>
            <w:rPr>
              <w:color w:val="auto"/>
            </w:rPr>
            <w:fldChar w:fldCharType="separate"/>
          </w:r>
          <w:r>
            <w:rPr>
              <w:color w:val="auto"/>
            </w:rPr>
            <w:t>179</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_Toc26355 </w:instrText>
          </w:r>
          <w:r>
            <w:rPr>
              <w:color w:val="auto"/>
            </w:rPr>
            <w:fldChar w:fldCharType="separate"/>
          </w:r>
          <w:r>
            <w:rPr>
              <w:rFonts w:hint="default" w:ascii="黑体" w:hAnsi="黑体" w:eastAsia="黑体" w:cs="黑体"/>
              <w:bCs/>
              <w:color w:val="auto"/>
              <w:spacing w:val="-2"/>
              <w:w w:val="99"/>
              <w:szCs w:val="30"/>
              <w:lang w:val="zh-CN" w:eastAsia="zh-CN" w:bidi="zh-CN"/>
            </w:rPr>
            <w:t xml:space="preserve">10.1 </w:t>
          </w:r>
          <w:r>
            <w:rPr>
              <w:rFonts w:hint="eastAsia" w:asciiTheme="minorEastAsia" w:hAnsiTheme="minorEastAsia" w:eastAsiaTheme="minorEastAsia" w:cstheme="minorEastAsia"/>
              <w:color w:val="auto"/>
              <w:szCs w:val="24"/>
            </w:rPr>
            <w:t>编制依据</w:t>
          </w:r>
          <w:r>
            <w:rPr>
              <w:color w:val="auto"/>
            </w:rPr>
            <w:tab/>
          </w:r>
          <w:r>
            <w:rPr>
              <w:color w:val="auto"/>
            </w:rPr>
            <w:fldChar w:fldCharType="begin"/>
          </w:r>
          <w:r>
            <w:rPr>
              <w:color w:val="auto"/>
            </w:rPr>
            <w:instrText xml:space="preserve"> PAGEREF _Toc26355 \h </w:instrText>
          </w:r>
          <w:r>
            <w:rPr>
              <w:color w:val="auto"/>
            </w:rPr>
            <w:fldChar w:fldCharType="separate"/>
          </w:r>
          <w:r>
            <w:rPr>
              <w:color w:val="auto"/>
            </w:rPr>
            <w:t>179</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_Toc1704 </w:instrText>
          </w:r>
          <w:r>
            <w:rPr>
              <w:color w:val="auto"/>
            </w:rPr>
            <w:fldChar w:fldCharType="separate"/>
          </w:r>
          <w:r>
            <w:rPr>
              <w:rFonts w:hint="default" w:ascii="黑体" w:hAnsi="黑体" w:eastAsia="黑体" w:cs="黑体"/>
              <w:bCs/>
              <w:color w:val="auto"/>
              <w:spacing w:val="-2"/>
              <w:w w:val="99"/>
              <w:szCs w:val="30"/>
              <w:lang w:val="zh-CN" w:eastAsia="zh-CN" w:bidi="zh-CN"/>
            </w:rPr>
            <w:t xml:space="preserve">10.2 </w:t>
          </w:r>
          <w:r>
            <w:rPr>
              <w:rFonts w:hint="eastAsia" w:asciiTheme="minorEastAsia" w:hAnsiTheme="minorEastAsia" w:eastAsiaTheme="minorEastAsia" w:cstheme="minorEastAsia"/>
              <w:color w:val="auto"/>
              <w:szCs w:val="24"/>
            </w:rPr>
            <w:t>防火等级</w:t>
          </w:r>
          <w:r>
            <w:rPr>
              <w:color w:val="auto"/>
            </w:rPr>
            <w:tab/>
          </w:r>
          <w:r>
            <w:rPr>
              <w:color w:val="auto"/>
            </w:rPr>
            <w:fldChar w:fldCharType="begin"/>
          </w:r>
          <w:r>
            <w:rPr>
              <w:color w:val="auto"/>
            </w:rPr>
            <w:instrText xml:space="preserve"> PAGEREF _Toc1704 \h </w:instrText>
          </w:r>
          <w:r>
            <w:rPr>
              <w:color w:val="auto"/>
            </w:rPr>
            <w:fldChar w:fldCharType="separate"/>
          </w:r>
          <w:r>
            <w:rPr>
              <w:color w:val="auto"/>
            </w:rPr>
            <w:t>179</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_Toc14558 </w:instrText>
          </w:r>
          <w:r>
            <w:rPr>
              <w:color w:val="auto"/>
            </w:rPr>
            <w:fldChar w:fldCharType="separate"/>
          </w:r>
          <w:r>
            <w:rPr>
              <w:rFonts w:hint="default" w:ascii="黑体" w:hAnsi="黑体" w:eastAsia="黑体" w:cs="黑体"/>
              <w:bCs/>
              <w:color w:val="auto"/>
              <w:spacing w:val="-2"/>
              <w:w w:val="99"/>
              <w:szCs w:val="30"/>
              <w:lang w:val="zh-CN" w:eastAsia="zh-CN" w:bidi="zh-CN"/>
            </w:rPr>
            <w:t xml:space="preserve">10.3 </w:t>
          </w:r>
          <w:r>
            <w:rPr>
              <w:rFonts w:hint="eastAsia" w:asciiTheme="minorEastAsia" w:hAnsiTheme="minorEastAsia" w:eastAsiaTheme="minorEastAsia" w:cstheme="minorEastAsia"/>
              <w:color w:val="auto"/>
              <w:szCs w:val="24"/>
            </w:rPr>
            <w:t>火灾及消防措施</w:t>
          </w:r>
          <w:r>
            <w:rPr>
              <w:color w:val="auto"/>
            </w:rPr>
            <w:tab/>
          </w:r>
          <w:r>
            <w:rPr>
              <w:color w:val="auto"/>
            </w:rPr>
            <w:fldChar w:fldCharType="begin"/>
          </w:r>
          <w:r>
            <w:rPr>
              <w:color w:val="auto"/>
            </w:rPr>
            <w:instrText xml:space="preserve"> PAGEREF _Toc14558 \h </w:instrText>
          </w:r>
          <w:r>
            <w:rPr>
              <w:color w:val="auto"/>
            </w:rPr>
            <w:fldChar w:fldCharType="separate"/>
          </w:r>
          <w:r>
            <w:rPr>
              <w:color w:val="auto"/>
            </w:rPr>
            <w:t>179</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_Toc5930 </w:instrText>
          </w:r>
          <w:r>
            <w:rPr>
              <w:color w:val="auto"/>
            </w:rPr>
            <w:fldChar w:fldCharType="separate"/>
          </w:r>
          <w:r>
            <w:rPr>
              <w:rFonts w:hint="default"/>
              <w:color w:val="auto"/>
            </w:rPr>
            <w:t xml:space="preserve">十一、 </w:t>
          </w:r>
          <w:r>
            <w:rPr>
              <w:rFonts w:hint="eastAsia"/>
              <w:color w:val="auto"/>
            </w:rPr>
            <w:t>安全生产</w:t>
          </w:r>
          <w:r>
            <w:rPr>
              <w:color w:val="auto"/>
            </w:rPr>
            <w:tab/>
          </w:r>
          <w:r>
            <w:rPr>
              <w:color w:val="auto"/>
            </w:rPr>
            <w:fldChar w:fldCharType="begin"/>
          </w:r>
          <w:r>
            <w:rPr>
              <w:color w:val="auto"/>
            </w:rPr>
            <w:instrText xml:space="preserve"> PAGEREF _Toc5930 \h </w:instrText>
          </w:r>
          <w:r>
            <w:rPr>
              <w:color w:val="auto"/>
            </w:rPr>
            <w:fldChar w:fldCharType="separate"/>
          </w:r>
          <w:r>
            <w:rPr>
              <w:color w:val="auto"/>
            </w:rPr>
            <w:t>181</w:t>
          </w:r>
          <w:r>
            <w:rPr>
              <w:color w:val="auto"/>
            </w:rPr>
            <w:fldChar w:fldCharType="end"/>
          </w:r>
          <w:r>
            <w:rPr>
              <w:color w:val="auto"/>
            </w:rPr>
            <w:fldChar w:fldCharType="end"/>
          </w:r>
        </w:p>
        <w:p>
          <w:pPr>
            <w:pStyle w:val="23"/>
            <w:tabs>
              <w:tab w:val="right" w:leader="dot" w:pos="8791"/>
            </w:tabs>
            <w:rPr>
              <w:color w:val="auto"/>
            </w:rPr>
          </w:pPr>
          <w:r>
            <w:rPr>
              <w:color w:val="auto"/>
            </w:rPr>
            <w:fldChar w:fldCharType="begin"/>
          </w:r>
          <w:r>
            <w:rPr>
              <w:color w:val="auto"/>
            </w:rPr>
            <w:instrText xml:space="preserve"> HYPERLINK \l _Toc25256 </w:instrText>
          </w:r>
          <w:r>
            <w:rPr>
              <w:color w:val="auto"/>
            </w:rPr>
            <w:fldChar w:fldCharType="separate"/>
          </w:r>
          <w:r>
            <w:rPr>
              <w:rFonts w:hint="default" w:ascii="黑体" w:hAnsi="黑体" w:eastAsia="黑体" w:cs="黑体"/>
              <w:bCs/>
              <w:color w:val="auto"/>
              <w:spacing w:val="-2"/>
              <w:w w:val="99"/>
              <w:szCs w:val="30"/>
              <w:lang w:val="zh-CN" w:eastAsia="zh-CN" w:bidi="zh-CN"/>
            </w:rPr>
            <w:t xml:space="preserve">11.1 </w:t>
          </w:r>
          <w:r>
            <w:rPr>
              <w:rFonts w:hint="eastAsia" w:asciiTheme="minorEastAsia" w:hAnsiTheme="minorEastAsia" w:eastAsiaTheme="minorEastAsia" w:cstheme="minorEastAsia"/>
              <w:color w:val="auto"/>
              <w:szCs w:val="24"/>
            </w:rPr>
            <w:t>设计原则</w:t>
          </w:r>
          <w:r>
            <w:rPr>
              <w:color w:val="auto"/>
            </w:rPr>
            <w:tab/>
          </w:r>
          <w:r>
            <w:rPr>
              <w:color w:val="auto"/>
            </w:rPr>
            <w:fldChar w:fldCharType="begin"/>
          </w:r>
          <w:r>
            <w:rPr>
              <w:color w:val="auto"/>
            </w:rPr>
            <w:instrText xml:space="preserve"> PAGEREF _Toc25256 \h </w:instrText>
          </w:r>
          <w:r>
            <w:rPr>
              <w:color w:val="auto"/>
            </w:rPr>
            <w:fldChar w:fldCharType="separate"/>
          </w:r>
          <w:r>
            <w:rPr>
              <w:color w:val="auto"/>
            </w:rPr>
            <w:t>181</w:t>
          </w:r>
          <w:r>
            <w:rPr>
              <w:color w:val="auto"/>
            </w:rPr>
            <w:fldChar w:fldCharType="end"/>
          </w:r>
          <w:r>
            <w:rPr>
              <w:color w:val="auto"/>
            </w:rPr>
            <w:fldChar w:fldCharType="end"/>
          </w:r>
        </w:p>
        <w:p>
          <w:pPr>
            <w:pStyle w:val="23"/>
            <w:tabs>
              <w:tab w:val="right" w:leader="dot" w:pos="8791"/>
            </w:tabs>
            <w:rPr>
              <w:color w:val="auto"/>
            </w:rPr>
          </w:pPr>
          <w:r>
            <w:rPr>
              <w:color w:val="auto"/>
            </w:rPr>
            <w:fldChar w:fldCharType="begin"/>
          </w:r>
          <w:r>
            <w:rPr>
              <w:color w:val="auto"/>
            </w:rPr>
            <w:instrText xml:space="preserve"> HYPERLINK \l _Toc15740 </w:instrText>
          </w:r>
          <w:r>
            <w:rPr>
              <w:color w:val="auto"/>
            </w:rPr>
            <w:fldChar w:fldCharType="separate"/>
          </w:r>
          <w:r>
            <w:rPr>
              <w:rFonts w:hint="default" w:ascii="黑体" w:hAnsi="黑体" w:eastAsia="黑体" w:cs="黑体"/>
              <w:bCs/>
              <w:color w:val="auto"/>
              <w:spacing w:val="-2"/>
              <w:w w:val="99"/>
              <w:szCs w:val="30"/>
              <w:lang w:val="zh-CN" w:eastAsia="zh-CN" w:bidi="zh-CN"/>
            </w:rPr>
            <w:t xml:space="preserve">11.2 </w:t>
          </w:r>
          <w:r>
            <w:rPr>
              <w:rFonts w:hint="eastAsia" w:asciiTheme="minorEastAsia" w:hAnsiTheme="minorEastAsia" w:eastAsiaTheme="minorEastAsia" w:cstheme="minorEastAsia"/>
              <w:color w:val="auto"/>
              <w:szCs w:val="24"/>
            </w:rPr>
            <w:t>编制依据</w:t>
          </w:r>
          <w:r>
            <w:rPr>
              <w:color w:val="auto"/>
            </w:rPr>
            <w:tab/>
          </w:r>
          <w:r>
            <w:rPr>
              <w:color w:val="auto"/>
            </w:rPr>
            <w:fldChar w:fldCharType="begin"/>
          </w:r>
          <w:r>
            <w:rPr>
              <w:color w:val="auto"/>
            </w:rPr>
            <w:instrText xml:space="preserve"> PAGEREF _Toc15740 \h </w:instrText>
          </w:r>
          <w:r>
            <w:rPr>
              <w:color w:val="auto"/>
            </w:rPr>
            <w:fldChar w:fldCharType="separate"/>
          </w:r>
          <w:r>
            <w:rPr>
              <w:color w:val="auto"/>
            </w:rPr>
            <w:t>181</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_Toc25547 </w:instrText>
          </w:r>
          <w:r>
            <w:rPr>
              <w:color w:val="auto"/>
            </w:rPr>
            <w:fldChar w:fldCharType="separate"/>
          </w:r>
          <w:r>
            <w:rPr>
              <w:rFonts w:hint="default" w:ascii="黑体" w:hAnsi="黑体" w:eastAsia="黑体" w:cs="黑体"/>
              <w:bCs/>
              <w:color w:val="auto"/>
              <w:spacing w:val="-2"/>
              <w:w w:val="99"/>
              <w:szCs w:val="30"/>
              <w:lang w:val="zh-CN" w:eastAsia="zh-CN" w:bidi="zh-CN"/>
            </w:rPr>
            <w:t xml:space="preserve">11.3 </w:t>
          </w:r>
          <w:r>
            <w:rPr>
              <w:rFonts w:hint="eastAsia" w:asciiTheme="minorEastAsia" w:hAnsiTheme="minorEastAsia" w:eastAsiaTheme="minorEastAsia" w:cstheme="minorEastAsia"/>
              <w:color w:val="auto"/>
              <w:szCs w:val="24"/>
            </w:rPr>
            <w:t>劳动安全措施</w:t>
          </w:r>
          <w:r>
            <w:rPr>
              <w:color w:val="auto"/>
            </w:rPr>
            <w:tab/>
          </w:r>
          <w:r>
            <w:rPr>
              <w:color w:val="auto"/>
            </w:rPr>
            <w:fldChar w:fldCharType="begin"/>
          </w:r>
          <w:r>
            <w:rPr>
              <w:color w:val="auto"/>
            </w:rPr>
            <w:instrText xml:space="preserve"> PAGEREF _Toc25547 \h </w:instrText>
          </w:r>
          <w:r>
            <w:rPr>
              <w:color w:val="auto"/>
            </w:rPr>
            <w:fldChar w:fldCharType="separate"/>
          </w:r>
          <w:r>
            <w:rPr>
              <w:color w:val="auto"/>
            </w:rPr>
            <w:t>181</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_Toc16489 </w:instrText>
          </w:r>
          <w:r>
            <w:rPr>
              <w:color w:val="auto"/>
            </w:rPr>
            <w:fldChar w:fldCharType="separate"/>
          </w:r>
          <w:r>
            <w:rPr>
              <w:rFonts w:hint="default"/>
              <w:color w:val="auto"/>
            </w:rPr>
            <w:t xml:space="preserve">十二、 </w:t>
          </w:r>
          <w:r>
            <w:rPr>
              <w:rFonts w:hint="eastAsia"/>
              <w:color w:val="auto"/>
            </w:rPr>
            <w:t>投资估算与资金筹措</w:t>
          </w:r>
          <w:r>
            <w:rPr>
              <w:color w:val="auto"/>
            </w:rPr>
            <w:tab/>
          </w:r>
          <w:r>
            <w:rPr>
              <w:color w:val="auto"/>
            </w:rPr>
            <w:fldChar w:fldCharType="begin"/>
          </w:r>
          <w:r>
            <w:rPr>
              <w:color w:val="auto"/>
            </w:rPr>
            <w:instrText xml:space="preserve"> PAGEREF _Toc16489 \h </w:instrText>
          </w:r>
          <w:r>
            <w:rPr>
              <w:color w:val="auto"/>
            </w:rPr>
            <w:fldChar w:fldCharType="separate"/>
          </w:r>
          <w:r>
            <w:rPr>
              <w:color w:val="auto"/>
            </w:rPr>
            <w:t>183</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_Toc8220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13.1 </w:t>
          </w:r>
          <w:r>
            <w:rPr>
              <w:rFonts w:hint="eastAsia" w:asciiTheme="minorEastAsia" w:hAnsiTheme="minorEastAsia" w:eastAsiaTheme="minorEastAsia" w:cstheme="minorEastAsia"/>
              <w:color w:val="auto"/>
              <w:szCs w:val="24"/>
            </w:rPr>
            <w:t>投资估算</w:t>
          </w:r>
          <w:r>
            <w:rPr>
              <w:color w:val="auto"/>
            </w:rPr>
            <w:tab/>
          </w:r>
          <w:r>
            <w:rPr>
              <w:color w:val="auto"/>
            </w:rPr>
            <w:fldChar w:fldCharType="begin"/>
          </w:r>
          <w:r>
            <w:rPr>
              <w:color w:val="auto"/>
            </w:rPr>
            <w:instrText xml:space="preserve"> PAGEREF _Toc8220 \h </w:instrText>
          </w:r>
          <w:r>
            <w:rPr>
              <w:color w:val="auto"/>
            </w:rPr>
            <w:fldChar w:fldCharType="separate"/>
          </w:r>
          <w:r>
            <w:rPr>
              <w:color w:val="auto"/>
            </w:rPr>
            <w:t>183</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_Toc13258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13.2 </w:t>
          </w:r>
          <w:r>
            <w:rPr>
              <w:rFonts w:hint="eastAsia" w:asciiTheme="minorEastAsia" w:hAnsiTheme="minorEastAsia" w:eastAsiaTheme="minorEastAsia" w:cstheme="minorEastAsia"/>
              <w:color w:val="auto"/>
              <w:szCs w:val="24"/>
            </w:rPr>
            <w:t>资金筹措</w:t>
          </w:r>
          <w:r>
            <w:rPr>
              <w:color w:val="auto"/>
            </w:rPr>
            <w:tab/>
          </w:r>
          <w:r>
            <w:rPr>
              <w:color w:val="auto"/>
            </w:rPr>
            <w:fldChar w:fldCharType="begin"/>
          </w:r>
          <w:r>
            <w:rPr>
              <w:color w:val="auto"/>
            </w:rPr>
            <w:instrText xml:space="preserve"> PAGEREF _Toc13258 \h </w:instrText>
          </w:r>
          <w:r>
            <w:rPr>
              <w:color w:val="auto"/>
            </w:rPr>
            <w:fldChar w:fldCharType="separate"/>
          </w:r>
          <w:r>
            <w:rPr>
              <w:color w:val="auto"/>
            </w:rPr>
            <w:t>188</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_Toc26144 </w:instrText>
          </w:r>
          <w:r>
            <w:rPr>
              <w:color w:val="auto"/>
            </w:rPr>
            <w:fldChar w:fldCharType="separate"/>
          </w:r>
          <w:r>
            <w:rPr>
              <w:rFonts w:hint="default"/>
              <w:color w:val="auto"/>
            </w:rPr>
            <w:t xml:space="preserve">十三、 </w:t>
          </w:r>
          <w:r>
            <w:rPr>
              <w:rFonts w:hint="eastAsia"/>
              <w:color w:val="auto"/>
            </w:rPr>
            <w:t>财务评价</w:t>
          </w:r>
          <w:r>
            <w:rPr>
              <w:color w:val="auto"/>
            </w:rPr>
            <w:tab/>
          </w:r>
          <w:r>
            <w:rPr>
              <w:color w:val="auto"/>
            </w:rPr>
            <w:fldChar w:fldCharType="begin"/>
          </w:r>
          <w:r>
            <w:rPr>
              <w:color w:val="auto"/>
            </w:rPr>
            <w:instrText xml:space="preserve"> PAGEREF _Toc26144 \h </w:instrText>
          </w:r>
          <w:r>
            <w:rPr>
              <w:color w:val="auto"/>
            </w:rPr>
            <w:fldChar w:fldCharType="separate"/>
          </w:r>
          <w:r>
            <w:rPr>
              <w:color w:val="auto"/>
            </w:rPr>
            <w:t>189</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_Toc13807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14.1 </w:t>
          </w:r>
          <w:r>
            <w:rPr>
              <w:rFonts w:hint="eastAsia" w:asciiTheme="minorEastAsia" w:hAnsiTheme="minorEastAsia" w:eastAsiaTheme="minorEastAsia" w:cstheme="minorEastAsia"/>
              <w:color w:val="auto"/>
              <w:szCs w:val="24"/>
            </w:rPr>
            <w:t>编制依据</w:t>
          </w:r>
          <w:r>
            <w:rPr>
              <w:color w:val="auto"/>
            </w:rPr>
            <w:tab/>
          </w:r>
          <w:r>
            <w:rPr>
              <w:color w:val="auto"/>
            </w:rPr>
            <w:fldChar w:fldCharType="begin"/>
          </w:r>
          <w:r>
            <w:rPr>
              <w:color w:val="auto"/>
            </w:rPr>
            <w:instrText xml:space="preserve"> PAGEREF _Toc13807 \h </w:instrText>
          </w:r>
          <w:r>
            <w:rPr>
              <w:color w:val="auto"/>
            </w:rPr>
            <w:fldChar w:fldCharType="separate"/>
          </w:r>
          <w:r>
            <w:rPr>
              <w:color w:val="auto"/>
            </w:rPr>
            <w:t>189</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_Toc17721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14.2 </w:t>
          </w:r>
          <w:r>
            <w:rPr>
              <w:rFonts w:hint="eastAsia" w:asciiTheme="minorEastAsia" w:hAnsiTheme="minorEastAsia" w:eastAsiaTheme="minorEastAsia" w:cstheme="minorEastAsia"/>
              <w:color w:val="auto"/>
              <w:szCs w:val="24"/>
            </w:rPr>
            <w:t>编制说明</w:t>
          </w:r>
          <w:r>
            <w:rPr>
              <w:color w:val="auto"/>
            </w:rPr>
            <w:tab/>
          </w:r>
          <w:r>
            <w:rPr>
              <w:color w:val="auto"/>
            </w:rPr>
            <w:fldChar w:fldCharType="begin"/>
          </w:r>
          <w:r>
            <w:rPr>
              <w:color w:val="auto"/>
            </w:rPr>
            <w:instrText xml:space="preserve"> PAGEREF _Toc17721 \h </w:instrText>
          </w:r>
          <w:r>
            <w:rPr>
              <w:color w:val="auto"/>
            </w:rPr>
            <w:fldChar w:fldCharType="separate"/>
          </w:r>
          <w:r>
            <w:rPr>
              <w:color w:val="auto"/>
            </w:rPr>
            <w:t>189</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_Toc16808 </w:instrText>
          </w:r>
          <w:r>
            <w:rPr>
              <w:color w:val="auto"/>
            </w:rPr>
            <w:fldChar w:fldCharType="separate"/>
          </w:r>
          <w:r>
            <w:rPr>
              <w:rFonts w:hint="default" w:ascii="黑体" w:hAnsi="黑体" w:eastAsia="黑体" w:cs="黑体"/>
              <w:bCs/>
              <w:color w:val="auto"/>
              <w:spacing w:val="0"/>
              <w:w w:val="99"/>
              <w:szCs w:val="30"/>
              <w:lang w:val="zh-CN" w:eastAsia="zh-CN" w:bidi="zh-CN"/>
            </w:rPr>
            <w:t xml:space="preserve">14.3 </w:t>
          </w:r>
          <w:r>
            <w:rPr>
              <w:rFonts w:hint="eastAsia" w:asciiTheme="minorEastAsia" w:hAnsiTheme="minorEastAsia" w:eastAsiaTheme="minorEastAsia" w:cstheme="minorEastAsia"/>
              <w:color w:val="auto"/>
              <w:szCs w:val="24"/>
            </w:rPr>
            <w:t>运营成本分析</w:t>
          </w:r>
          <w:r>
            <w:rPr>
              <w:color w:val="auto"/>
            </w:rPr>
            <w:tab/>
          </w:r>
          <w:r>
            <w:rPr>
              <w:color w:val="auto"/>
            </w:rPr>
            <w:fldChar w:fldCharType="begin"/>
          </w:r>
          <w:r>
            <w:rPr>
              <w:color w:val="auto"/>
            </w:rPr>
            <w:instrText xml:space="preserve"> PAGEREF _Toc16808 \h </w:instrText>
          </w:r>
          <w:r>
            <w:rPr>
              <w:color w:val="auto"/>
            </w:rPr>
            <w:fldChar w:fldCharType="separate"/>
          </w:r>
          <w:r>
            <w:rPr>
              <w:color w:val="auto"/>
            </w:rPr>
            <w:t>189</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_Toc6696 </w:instrText>
          </w:r>
          <w:r>
            <w:rPr>
              <w:color w:val="auto"/>
            </w:rPr>
            <w:fldChar w:fldCharType="separate"/>
          </w:r>
          <w:r>
            <w:rPr>
              <w:rFonts w:hint="default"/>
              <w:color w:val="auto"/>
            </w:rPr>
            <w:t xml:space="preserve">十四、 </w:t>
          </w:r>
          <w:r>
            <w:rPr>
              <w:rFonts w:hint="eastAsia"/>
              <w:color w:val="auto"/>
            </w:rPr>
            <w:t>社会稳定风险分析</w:t>
          </w:r>
          <w:r>
            <w:rPr>
              <w:color w:val="auto"/>
            </w:rPr>
            <w:tab/>
          </w:r>
          <w:r>
            <w:rPr>
              <w:color w:val="auto"/>
            </w:rPr>
            <w:fldChar w:fldCharType="begin"/>
          </w:r>
          <w:r>
            <w:rPr>
              <w:color w:val="auto"/>
            </w:rPr>
            <w:instrText xml:space="preserve"> PAGEREF _Toc6696 \h </w:instrText>
          </w:r>
          <w:r>
            <w:rPr>
              <w:color w:val="auto"/>
            </w:rPr>
            <w:fldChar w:fldCharType="separate"/>
          </w:r>
          <w:r>
            <w:rPr>
              <w:color w:val="auto"/>
            </w:rPr>
            <w:t>192</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_Toc303 </w:instrText>
          </w:r>
          <w:r>
            <w:rPr>
              <w:color w:val="auto"/>
            </w:rPr>
            <w:fldChar w:fldCharType="separate"/>
          </w:r>
          <w:r>
            <w:rPr>
              <w:rFonts w:hint="default" w:ascii="黑体" w:hAnsi="黑体" w:eastAsia="黑体" w:cs="黑体"/>
              <w:bCs/>
              <w:color w:val="auto"/>
              <w:spacing w:val="0"/>
              <w:w w:val="99"/>
              <w:szCs w:val="30"/>
              <w:lang w:val="zh-CN" w:eastAsia="zh-CN" w:bidi="zh-CN"/>
            </w:rPr>
            <w:t>1</w:t>
          </w:r>
          <w:r>
            <w:rPr>
              <w:rFonts w:hint="eastAsia" w:cs="黑体"/>
              <w:bCs/>
              <w:color w:val="auto"/>
              <w:spacing w:val="0"/>
              <w:w w:val="99"/>
              <w:szCs w:val="30"/>
              <w:lang w:val="en-US" w:eastAsia="zh-CN" w:bidi="zh-CN"/>
            </w:rPr>
            <w:t>4</w:t>
          </w:r>
          <w:r>
            <w:rPr>
              <w:rFonts w:hint="default" w:ascii="黑体" w:hAnsi="黑体" w:eastAsia="黑体" w:cs="黑体"/>
              <w:bCs/>
              <w:color w:val="auto"/>
              <w:spacing w:val="0"/>
              <w:w w:val="99"/>
              <w:szCs w:val="30"/>
              <w:lang w:val="zh-CN" w:eastAsia="zh-CN" w:bidi="zh-CN"/>
            </w:rPr>
            <w:t xml:space="preserve">.1 </w:t>
          </w:r>
          <w:r>
            <w:rPr>
              <w:rFonts w:hint="eastAsia" w:asciiTheme="minorEastAsia" w:hAnsiTheme="minorEastAsia" w:eastAsiaTheme="minorEastAsia" w:cstheme="minorEastAsia"/>
              <w:color w:val="auto"/>
              <w:szCs w:val="24"/>
            </w:rPr>
            <w:t>编制依据</w:t>
          </w:r>
          <w:r>
            <w:rPr>
              <w:color w:val="auto"/>
            </w:rPr>
            <w:tab/>
          </w:r>
          <w:r>
            <w:rPr>
              <w:color w:val="auto"/>
            </w:rPr>
            <w:fldChar w:fldCharType="begin"/>
          </w:r>
          <w:r>
            <w:rPr>
              <w:color w:val="auto"/>
            </w:rPr>
            <w:instrText xml:space="preserve"> PAGEREF _Toc303 \h </w:instrText>
          </w:r>
          <w:r>
            <w:rPr>
              <w:color w:val="auto"/>
            </w:rPr>
            <w:fldChar w:fldCharType="separate"/>
          </w:r>
          <w:r>
            <w:rPr>
              <w:color w:val="auto"/>
            </w:rPr>
            <w:t>192</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_Toc11446 </w:instrText>
          </w:r>
          <w:r>
            <w:rPr>
              <w:color w:val="auto"/>
            </w:rPr>
            <w:fldChar w:fldCharType="separate"/>
          </w:r>
          <w:r>
            <w:rPr>
              <w:rFonts w:hint="default" w:ascii="黑体" w:hAnsi="黑体" w:eastAsia="黑体" w:cs="黑体"/>
              <w:bCs/>
              <w:color w:val="auto"/>
              <w:spacing w:val="0"/>
              <w:w w:val="99"/>
              <w:szCs w:val="30"/>
              <w:lang w:val="zh-CN" w:eastAsia="zh-CN" w:bidi="zh-CN"/>
            </w:rPr>
            <w:t>1</w:t>
          </w:r>
          <w:r>
            <w:rPr>
              <w:rFonts w:hint="eastAsia" w:cs="黑体"/>
              <w:bCs/>
              <w:color w:val="auto"/>
              <w:spacing w:val="0"/>
              <w:w w:val="99"/>
              <w:szCs w:val="30"/>
              <w:lang w:val="en-US" w:eastAsia="zh-CN" w:bidi="zh-CN"/>
            </w:rPr>
            <w:t>4</w:t>
          </w:r>
          <w:r>
            <w:rPr>
              <w:rFonts w:hint="default" w:ascii="黑体" w:hAnsi="黑体" w:eastAsia="黑体" w:cs="黑体"/>
              <w:bCs/>
              <w:color w:val="auto"/>
              <w:spacing w:val="0"/>
              <w:w w:val="99"/>
              <w:szCs w:val="30"/>
              <w:lang w:val="zh-CN" w:eastAsia="zh-CN" w:bidi="zh-CN"/>
            </w:rPr>
            <w:t xml:space="preserve">.2 </w:t>
          </w:r>
          <w:r>
            <w:rPr>
              <w:rFonts w:hint="eastAsia" w:asciiTheme="minorEastAsia" w:hAnsiTheme="minorEastAsia" w:eastAsiaTheme="minorEastAsia" w:cstheme="minorEastAsia"/>
              <w:color w:val="auto"/>
              <w:szCs w:val="24"/>
              <w:lang w:val="en-US"/>
            </w:rPr>
            <w:t>风险调查</w:t>
          </w:r>
          <w:r>
            <w:rPr>
              <w:color w:val="auto"/>
            </w:rPr>
            <w:tab/>
          </w:r>
          <w:r>
            <w:rPr>
              <w:color w:val="auto"/>
            </w:rPr>
            <w:fldChar w:fldCharType="begin"/>
          </w:r>
          <w:r>
            <w:rPr>
              <w:color w:val="auto"/>
            </w:rPr>
            <w:instrText xml:space="preserve"> PAGEREF _Toc11446 \h </w:instrText>
          </w:r>
          <w:r>
            <w:rPr>
              <w:color w:val="auto"/>
            </w:rPr>
            <w:fldChar w:fldCharType="separate"/>
          </w:r>
          <w:r>
            <w:rPr>
              <w:color w:val="auto"/>
            </w:rPr>
            <w:t>192</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_Toc12734 </w:instrText>
          </w:r>
          <w:r>
            <w:rPr>
              <w:color w:val="auto"/>
            </w:rPr>
            <w:fldChar w:fldCharType="separate"/>
          </w:r>
          <w:r>
            <w:rPr>
              <w:rFonts w:hint="default" w:ascii="黑体" w:hAnsi="黑体" w:eastAsia="黑体" w:cs="黑体"/>
              <w:bCs/>
              <w:color w:val="auto"/>
              <w:spacing w:val="0"/>
              <w:w w:val="99"/>
              <w:szCs w:val="30"/>
              <w:lang w:val="zh-CN" w:eastAsia="zh-CN" w:bidi="zh-CN"/>
            </w:rPr>
            <w:t>1</w:t>
          </w:r>
          <w:r>
            <w:rPr>
              <w:rFonts w:hint="eastAsia" w:cs="黑体"/>
              <w:bCs/>
              <w:color w:val="auto"/>
              <w:spacing w:val="0"/>
              <w:w w:val="99"/>
              <w:szCs w:val="30"/>
              <w:lang w:val="en-US" w:eastAsia="zh-CN" w:bidi="zh-CN"/>
            </w:rPr>
            <w:t>4</w:t>
          </w:r>
          <w:r>
            <w:rPr>
              <w:rFonts w:hint="default" w:ascii="黑体" w:hAnsi="黑体" w:eastAsia="黑体" w:cs="黑体"/>
              <w:bCs/>
              <w:color w:val="auto"/>
              <w:spacing w:val="0"/>
              <w:w w:val="99"/>
              <w:szCs w:val="30"/>
              <w:lang w:val="zh-CN" w:eastAsia="zh-CN" w:bidi="zh-CN"/>
            </w:rPr>
            <w:t xml:space="preserve">.3 </w:t>
          </w:r>
          <w:r>
            <w:rPr>
              <w:rFonts w:hint="eastAsia" w:asciiTheme="minorEastAsia" w:hAnsiTheme="minorEastAsia" w:eastAsiaTheme="minorEastAsia" w:cstheme="minorEastAsia"/>
              <w:color w:val="auto"/>
              <w:szCs w:val="24"/>
            </w:rPr>
            <w:t>风险评价</w:t>
          </w:r>
          <w:r>
            <w:rPr>
              <w:color w:val="auto"/>
            </w:rPr>
            <w:tab/>
          </w:r>
          <w:r>
            <w:rPr>
              <w:color w:val="auto"/>
            </w:rPr>
            <w:fldChar w:fldCharType="begin"/>
          </w:r>
          <w:r>
            <w:rPr>
              <w:color w:val="auto"/>
            </w:rPr>
            <w:instrText xml:space="preserve"> PAGEREF _Toc12734 \h </w:instrText>
          </w:r>
          <w:r>
            <w:rPr>
              <w:color w:val="auto"/>
            </w:rPr>
            <w:fldChar w:fldCharType="separate"/>
          </w:r>
          <w:r>
            <w:rPr>
              <w:color w:val="auto"/>
            </w:rPr>
            <w:t>192</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_Toc20350 </w:instrText>
          </w:r>
          <w:r>
            <w:rPr>
              <w:color w:val="auto"/>
            </w:rPr>
            <w:fldChar w:fldCharType="separate"/>
          </w:r>
          <w:r>
            <w:rPr>
              <w:rFonts w:hint="default" w:ascii="黑体" w:hAnsi="黑体" w:eastAsia="黑体" w:cs="黑体"/>
              <w:bCs/>
              <w:color w:val="auto"/>
              <w:spacing w:val="0"/>
              <w:w w:val="99"/>
              <w:szCs w:val="30"/>
              <w:lang w:val="zh-CN" w:eastAsia="zh-CN" w:bidi="zh-CN"/>
            </w:rPr>
            <w:t>1</w:t>
          </w:r>
          <w:r>
            <w:rPr>
              <w:rFonts w:hint="eastAsia" w:cs="黑体"/>
              <w:bCs/>
              <w:color w:val="auto"/>
              <w:spacing w:val="0"/>
              <w:w w:val="99"/>
              <w:szCs w:val="30"/>
              <w:lang w:val="en-US" w:eastAsia="zh-CN" w:bidi="zh-CN"/>
            </w:rPr>
            <w:t>4</w:t>
          </w:r>
          <w:r>
            <w:rPr>
              <w:rFonts w:hint="default" w:ascii="黑体" w:hAnsi="黑体" w:eastAsia="黑体" w:cs="黑体"/>
              <w:bCs/>
              <w:color w:val="auto"/>
              <w:spacing w:val="0"/>
              <w:w w:val="99"/>
              <w:szCs w:val="30"/>
              <w:lang w:val="zh-CN" w:eastAsia="zh-CN" w:bidi="zh-CN"/>
            </w:rPr>
            <w:t xml:space="preserve">.4 </w:t>
          </w:r>
          <w:r>
            <w:rPr>
              <w:rFonts w:hint="eastAsia" w:asciiTheme="minorEastAsia" w:hAnsiTheme="minorEastAsia" w:eastAsiaTheme="minorEastAsia" w:cstheme="minorEastAsia"/>
              <w:color w:val="auto"/>
              <w:szCs w:val="24"/>
            </w:rPr>
            <w:t>风险防范与化解措施</w:t>
          </w:r>
          <w:r>
            <w:rPr>
              <w:color w:val="auto"/>
            </w:rPr>
            <w:tab/>
          </w:r>
          <w:r>
            <w:rPr>
              <w:color w:val="auto"/>
            </w:rPr>
            <w:fldChar w:fldCharType="begin"/>
          </w:r>
          <w:r>
            <w:rPr>
              <w:color w:val="auto"/>
            </w:rPr>
            <w:instrText xml:space="preserve"> PAGEREF _Toc20350 \h </w:instrText>
          </w:r>
          <w:r>
            <w:rPr>
              <w:color w:val="auto"/>
            </w:rPr>
            <w:fldChar w:fldCharType="separate"/>
          </w:r>
          <w:r>
            <w:rPr>
              <w:color w:val="auto"/>
            </w:rPr>
            <w:t>193</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_Toc25764 </w:instrText>
          </w:r>
          <w:r>
            <w:rPr>
              <w:color w:val="auto"/>
            </w:rPr>
            <w:fldChar w:fldCharType="separate"/>
          </w:r>
          <w:r>
            <w:rPr>
              <w:rFonts w:hint="default" w:ascii="黑体" w:hAnsi="黑体" w:eastAsia="黑体" w:cs="黑体"/>
              <w:bCs/>
              <w:color w:val="auto"/>
              <w:spacing w:val="0"/>
              <w:w w:val="99"/>
              <w:szCs w:val="30"/>
              <w:lang w:val="zh-CN" w:eastAsia="zh-CN" w:bidi="zh-CN"/>
            </w:rPr>
            <w:t>1</w:t>
          </w:r>
          <w:r>
            <w:rPr>
              <w:rFonts w:hint="eastAsia" w:cs="黑体"/>
              <w:bCs/>
              <w:color w:val="auto"/>
              <w:spacing w:val="0"/>
              <w:w w:val="99"/>
              <w:szCs w:val="30"/>
              <w:lang w:val="en-US" w:eastAsia="zh-CN" w:bidi="zh-CN"/>
            </w:rPr>
            <w:t>4</w:t>
          </w:r>
          <w:r>
            <w:rPr>
              <w:rFonts w:hint="default" w:ascii="黑体" w:hAnsi="黑体" w:eastAsia="黑体" w:cs="黑体"/>
              <w:bCs/>
              <w:color w:val="auto"/>
              <w:spacing w:val="0"/>
              <w:w w:val="99"/>
              <w:szCs w:val="30"/>
              <w:lang w:val="zh-CN" w:eastAsia="zh-CN" w:bidi="zh-CN"/>
            </w:rPr>
            <w:t xml:space="preserve">.5 </w:t>
          </w:r>
          <w:r>
            <w:rPr>
              <w:rFonts w:hint="eastAsia" w:asciiTheme="minorEastAsia" w:hAnsiTheme="minorEastAsia" w:eastAsiaTheme="minorEastAsia" w:cstheme="minorEastAsia"/>
              <w:color w:val="auto"/>
              <w:szCs w:val="24"/>
            </w:rPr>
            <w:t>风险分析结论</w:t>
          </w:r>
          <w:r>
            <w:rPr>
              <w:color w:val="auto"/>
            </w:rPr>
            <w:tab/>
          </w:r>
          <w:r>
            <w:rPr>
              <w:color w:val="auto"/>
            </w:rPr>
            <w:fldChar w:fldCharType="begin"/>
          </w:r>
          <w:r>
            <w:rPr>
              <w:color w:val="auto"/>
            </w:rPr>
            <w:instrText xml:space="preserve"> PAGEREF _Toc25764 \h </w:instrText>
          </w:r>
          <w:r>
            <w:rPr>
              <w:color w:val="auto"/>
            </w:rPr>
            <w:fldChar w:fldCharType="separate"/>
          </w:r>
          <w:r>
            <w:rPr>
              <w:color w:val="auto"/>
            </w:rPr>
            <w:t>195</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_Toc15152 </w:instrText>
          </w:r>
          <w:r>
            <w:rPr>
              <w:color w:val="auto"/>
            </w:rPr>
            <w:fldChar w:fldCharType="separate"/>
          </w:r>
          <w:r>
            <w:rPr>
              <w:rFonts w:hint="default"/>
              <w:color w:val="auto"/>
            </w:rPr>
            <w:t xml:space="preserve">十五、 </w:t>
          </w:r>
          <w:r>
            <w:rPr>
              <w:rFonts w:hint="eastAsia"/>
              <w:color w:val="auto"/>
            </w:rPr>
            <w:t>国民经济影响与社会效益评价</w:t>
          </w:r>
          <w:r>
            <w:rPr>
              <w:color w:val="auto"/>
            </w:rPr>
            <w:tab/>
          </w:r>
          <w:r>
            <w:rPr>
              <w:color w:val="auto"/>
            </w:rPr>
            <w:fldChar w:fldCharType="begin"/>
          </w:r>
          <w:r>
            <w:rPr>
              <w:color w:val="auto"/>
            </w:rPr>
            <w:instrText xml:space="preserve"> PAGEREF _Toc15152 \h </w:instrText>
          </w:r>
          <w:r>
            <w:rPr>
              <w:color w:val="auto"/>
            </w:rPr>
            <w:fldChar w:fldCharType="separate"/>
          </w:r>
          <w:r>
            <w:rPr>
              <w:color w:val="auto"/>
            </w:rPr>
            <w:t>197</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_Toc4613 </w:instrText>
          </w:r>
          <w:r>
            <w:rPr>
              <w:color w:val="auto"/>
            </w:rPr>
            <w:fldChar w:fldCharType="separate"/>
          </w:r>
          <w:r>
            <w:rPr>
              <w:rFonts w:hint="default" w:ascii="黑体" w:hAnsi="黑体" w:eastAsia="黑体" w:cs="黑体"/>
              <w:bCs/>
              <w:color w:val="auto"/>
              <w:spacing w:val="0"/>
              <w:w w:val="99"/>
              <w:szCs w:val="30"/>
              <w:lang w:val="zh-CN" w:eastAsia="zh-CN" w:bidi="zh-CN"/>
            </w:rPr>
            <w:t>1</w:t>
          </w:r>
          <w:r>
            <w:rPr>
              <w:rFonts w:hint="eastAsia" w:cs="黑体"/>
              <w:bCs/>
              <w:color w:val="auto"/>
              <w:spacing w:val="0"/>
              <w:w w:val="99"/>
              <w:szCs w:val="30"/>
              <w:lang w:val="en-US" w:eastAsia="zh-CN" w:bidi="zh-CN"/>
            </w:rPr>
            <w:t>5</w:t>
          </w:r>
          <w:r>
            <w:rPr>
              <w:rFonts w:hint="default" w:ascii="黑体" w:hAnsi="黑体" w:eastAsia="黑体" w:cs="黑体"/>
              <w:bCs/>
              <w:color w:val="auto"/>
              <w:spacing w:val="0"/>
              <w:w w:val="99"/>
              <w:szCs w:val="30"/>
              <w:lang w:val="zh-CN" w:eastAsia="zh-CN" w:bidi="zh-CN"/>
            </w:rPr>
            <w:t xml:space="preserve">.1 </w:t>
          </w:r>
          <w:r>
            <w:rPr>
              <w:rFonts w:hint="eastAsia" w:asciiTheme="minorEastAsia" w:hAnsiTheme="minorEastAsia" w:eastAsiaTheme="minorEastAsia" w:cstheme="minorEastAsia"/>
              <w:color w:val="auto"/>
              <w:szCs w:val="24"/>
            </w:rPr>
            <w:t>评价依据和期限</w:t>
          </w:r>
          <w:r>
            <w:rPr>
              <w:color w:val="auto"/>
            </w:rPr>
            <w:tab/>
          </w:r>
          <w:r>
            <w:rPr>
              <w:color w:val="auto"/>
            </w:rPr>
            <w:fldChar w:fldCharType="begin"/>
          </w:r>
          <w:r>
            <w:rPr>
              <w:color w:val="auto"/>
            </w:rPr>
            <w:instrText xml:space="preserve"> PAGEREF _Toc4613 \h </w:instrText>
          </w:r>
          <w:r>
            <w:rPr>
              <w:color w:val="auto"/>
            </w:rPr>
            <w:fldChar w:fldCharType="separate"/>
          </w:r>
          <w:r>
            <w:rPr>
              <w:color w:val="auto"/>
            </w:rPr>
            <w:t>197</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_Toc26822 </w:instrText>
          </w:r>
          <w:r>
            <w:rPr>
              <w:color w:val="auto"/>
            </w:rPr>
            <w:fldChar w:fldCharType="separate"/>
          </w:r>
          <w:r>
            <w:rPr>
              <w:rFonts w:hint="default" w:ascii="黑体" w:hAnsi="黑体" w:eastAsia="黑体" w:cs="黑体"/>
              <w:bCs/>
              <w:color w:val="auto"/>
              <w:spacing w:val="0"/>
              <w:w w:val="99"/>
              <w:szCs w:val="30"/>
              <w:lang w:val="zh-CN" w:eastAsia="zh-CN" w:bidi="zh-CN"/>
            </w:rPr>
            <w:t>1</w:t>
          </w:r>
          <w:r>
            <w:rPr>
              <w:rFonts w:hint="eastAsia" w:cs="黑体"/>
              <w:bCs/>
              <w:color w:val="auto"/>
              <w:spacing w:val="0"/>
              <w:w w:val="99"/>
              <w:szCs w:val="30"/>
              <w:lang w:val="en-US" w:eastAsia="zh-CN" w:bidi="zh-CN"/>
            </w:rPr>
            <w:t>5</w:t>
          </w:r>
          <w:r>
            <w:rPr>
              <w:rFonts w:hint="default" w:ascii="黑体" w:hAnsi="黑体" w:eastAsia="黑体" w:cs="黑体"/>
              <w:bCs/>
              <w:color w:val="auto"/>
              <w:spacing w:val="0"/>
              <w:w w:val="99"/>
              <w:szCs w:val="30"/>
              <w:lang w:val="zh-CN" w:eastAsia="zh-CN" w:bidi="zh-CN"/>
            </w:rPr>
            <w:t xml:space="preserve">.2 </w:t>
          </w:r>
          <w:r>
            <w:rPr>
              <w:rFonts w:hint="eastAsia" w:asciiTheme="minorEastAsia" w:hAnsiTheme="minorEastAsia" w:eastAsiaTheme="minorEastAsia" w:cstheme="minorEastAsia"/>
              <w:color w:val="auto"/>
              <w:szCs w:val="24"/>
            </w:rPr>
            <w:t>项目成本</w:t>
          </w:r>
          <w:r>
            <w:rPr>
              <w:color w:val="auto"/>
            </w:rPr>
            <w:tab/>
          </w:r>
          <w:r>
            <w:rPr>
              <w:color w:val="auto"/>
            </w:rPr>
            <w:fldChar w:fldCharType="begin"/>
          </w:r>
          <w:r>
            <w:rPr>
              <w:color w:val="auto"/>
            </w:rPr>
            <w:instrText xml:space="preserve"> PAGEREF _Toc26822 \h </w:instrText>
          </w:r>
          <w:r>
            <w:rPr>
              <w:color w:val="auto"/>
            </w:rPr>
            <w:fldChar w:fldCharType="separate"/>
          </w:r>
          <w:r>
            <w:rPr>
              <w:color w:val="auto"/>
            </w:rPr>
            <w:t>197</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_Toc21175 </w:instrText>
          </w:r>
          <w:r>
            <w:rPr>
              <w:color w:val="auto"/>
            </w:rPr>
            <w:fldChar w:fldCharType="separate"/>
          </w:r>
          <w:r>
            <w:rPr>
              <w:rFonts w:hint="default" w:ascii="黑体" w:hAnsi="黑体" w:eastAsia="黑体" w:cs="黑体"/>
              <w:bCs/>
              <w:color w:val="auto"/>
              <w:spacing w:val="0"/>
              <w:w w:val="99"/>
              <w:szCs w:val="30"/>
              <w:lang w:val="zh-CN" w:eastAsia="zh-CN" w:bidi="zh-CN"/>
            </w:rPr>
            <w:t>1</w:t>
          </w:r>
          <w:r>
            <w:rPr>
              <w:rFonts w:hint="eastAsia" w:cs="黑体"/>
              <w:bCs/>
              <w:color w:val="auto"/>
              <w:spacing w:val="0"/>
              <w:w w:val="99"/>
              <w:szCs w:val="30"/>
              <w:lang w:val="en-US" w:eastAsia="zh-CN" w:bidi="zh-CN"/>
            </w:rPr>
            <w:t>5</w:t>
          </w:r>
          <w:r>
            <w:rPr>
              <w:rFonts w:hint="default" w:ascii="黑体" w:hAnsi="黑体" w:eastAsia="黑体" w:cs="黑体"/>
              <w:bCs/>
              <w:color w:val="auto"/>
              <w:spacing w:val="0"/>
              <w:w w:val="99"/>
              <w:szCs w:val="30"/>
              <w:lang w:val="zh-CN" w:eastAsia="zh-CN" w:bidi="zh-CN"/>
            </w:rPr>
            <w:t xml:space="preserve">.3 </w:t>
          </w:r>
          <w:r>
            <w:rPr>
              <w:rFonts w:hint="eastAsia" w:asciiTheme="minorEastAsia" w:hAnsiTheme="minorEastAsia" w:eastAsiaTheme="minorEastAsia" w:cstheme="minorEastAsia"/>
              <w:color w:val="auto"/>
              <w:szCs w:val="24"/>
              <w:lang w:val="en-US"/>
            </w:rPr>
            <w:t>效益计算</w:t>
          </w:r>
          <w:r>
            <w:rPr>
              <w:color w:val="auto"/>
            </w:rPr>
            <w:tab/>
          </w:r>
          <w:r>
            <w:rPr>
              <w:color w:val="auto"/>
            </w:rPr>
            <w:fldChar w:fldCharType="begin"/>
          </w:r>
          <w:r>
            <w:rPr>
              <w:color w:val="auto"/>
            </w:rPr>
            <w:instrText xml:space="preserve"> PAGEREF _Toc21175 \h </w:instrText>
          </w:r>
          <w:r>
            <w:rPr>
              <w:color w:val="auto"/>
            </w:rPr>
            <w:fldChar w:fldCharType="separate"/>
          </w:r>
          <w:r>
            <w:rPr>
              <w:color w:val="auto"/>
            </w:rPr>
            <w:t>198</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_Toc2685 </w:instrText>
          </w:r>
          <w:r>
            <w:rPr>
              <w:color w:val="auto"/>
            </w:rPr>
            <w:fldChar w:fldCharType="separate"/>
          </w:r>
          <w:r>
            <w:rPr>
              <w:rFonts w:hint="default" w:ascii="黑体" w:hAnsi="黑体" w:eastAsia="黑体" w:cs="黑体"/>
              <w:bCs/>
              <w:color w:val="auto"/>
              <w:spacing w:val="0"/>
              <w:w w:val="99"/>
              <w:szCs w:val="30"/>
              <w:lang w:val="zh-CN" w:eastAsia="zh-CN" w:bidi="zh-CN"/>
            </w:rPr>
            <w:t>1</w:t>
          </w:r>
          <w:r>
            <w:rPr>
              <w:rFonts w:hint="eastAsia" w:cs="黑体"/>
              <w:bCs/>
              <w:color w:val="auto"/>
              <w:spacing w:val="0"/>
              <w:w w:val="99"/>
              <w:szCs w:val="30"/>
              <w:lang w:val="en-US" w:eastAsia="zh-CN" w:bidi="zh-CN"/>
            </w:rPr>
            <w:t>5.</w:t>
          </w:r>
          <w:r>
            <w:rPr>
              <w:rFonts w:hint="default" w:ascii="黑体" w:hAnsi="黑体" w:eastAsia="黑体" w:cs="黑体"/>
              <w:bCs/>
              <w:color w:val="auto"/>
              <w:spacing w:val="0"/>
              <w:w w:val="99"/>
              <w:szCs w:val="30"/>
              <w:lang w:val="zh-CN" w:eastAsia="zh-CN" w:bidi="zh-CN"/>
            </w:rPr>
            <w:t xml:space="preserve">4 </w:t>
          </w:r>
          <w:r>
            <w:rPr>
              <w:rFonts w:hint="eastAsia" w:asciiTheme="minorEastAsia" w:hAnsiTheme="minorEastAsia" w:eastAsiaTheme="minorEastAsia" w:cstheme="minorEastAsia"/>
              <w:color w:val="auto"/>
              <w:szCs w:val="24"/>
              <w:lang w:val="en-US"/>
            </w:rPr>
            <w:t>国民经济评价</w:t>
          </w:r>
          <w:r>
            <w:rPr>
              <w:color w:val="auto"/>
            </w:rPr>
            <w:tab/>
          </w:r>
          <w:r>
            <w:rPr>
              <w:color w:val="auto"/>
            </w:rPr>
            <w:fldChar w:fldCharType="begin"/>
          </w:r>
          <w:r>
            <w:rPr>
              <w:color w:val="auto"/>
            </w:rPr>
            <w:instrText xml:space="preserve"> PAGEREF _Toc2685 \h </w:instrText>
          </w:r>
          <w:r>
            <w:rPr>
              <w:color w:val="auto"/>
            </w:rPr>
            <w:fldChar w:fldCharType="separate"/>
          </w:r>
          <w:r>
            <w:rPr>
              <w:color w:val="auto"/>
            </w:rPr>
            <w:t>201</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_Toc463 </w:instrText>
          </w:r>
          <w:r>
            <w:rPr>
              <w:color w:val="auto"/>
            </w:rPr>
            <w:fldChar w:fldCharType="separate"/>
          </w:r>
          <w:r>
            <w:rPr>
              <w:rFonts w:hint="default" w:ascii="黑体" w:hAnsi="黑体" w:eastAsia="黑体" w:cs="黑体"/>
              <w:bCs/>
              <w:color w:val="auto"/>
              <w:spacing w:val="0"/>
              <w:w w:val="99"/>
              <w:szCs w:val="30"/>
              <w:lang w:val="zh-CN" w:eastAsia="zh-CN" w:bidi="zh-CN"/>
            </w:rPr>
            <w:t>1</w:t>
          </w:r>
          <w:r>
            <w:rPr>
              <w:rFonts w:hint="eastAsia" w:cs="黑体"/>
              <w:bCs/>
              <w:color w:val="auto"/>
              <w:spacing w:val="0"/>
              <w:w w:val="99"/>
              <w:szCs w:val="30"/>
              <w:lang w:val="en-US" w:eastAsia="zh-CN" w:bidi="zh-CN"/>
            </w:rPr>
            <w:t>5</w:t>
          </w:r>
          <w:r>
            <w:rPr>
              <w:rFonts w:hint="default" w:ascii="黑体" w:hAnsi="黑体" w:eastAsia="黑体" w:cs="黑体"/>
              <w:bCs/>
              <w:color w:val="auto"/>
              <w:spacing w:val="0"/>
              <w:w w:val="99"/>
              <w:szCs w:val="30"/>
              <w:lang w:val="zh-CN" w:eastAsia="zh-CN" w:bidi="zh-CN"/>
            </w:rPr>
            <w:t xml:space="preserve">.5 </w:t>
          </w:r>
          <w:r>
            <w:rPr>
              <w:rFonts w:hint="eastAsia" w:asciiTheme="minorEastAsia" w:hAnsiTheme="minorEastAsia" w:eastAsiaTheme="minorEastAsia" w:cstheme="minorEastAsia"/>
              <w:color w:val="auto"/>
              <w:szCs w:val="24"/>
            </w:rPr>
            <w:t>环境效益</w:t>
          </w:r>
          <w:r>
            <w:rPr>
              <w:color w:val="auto"/>
            </w:rPr>
            <w:tab/>
          </w:r>
          <w:r>
            <w:rPr>
              <w:color w:val="auto"/>
            </w:rPr>
            <w:fldChar w:fldCharType="begin"/>
          </w:r>
          <w:r>
            <w:rPr>
              <w:color w:val="auto"/>
            </w:rPr>
            <w:instrText xml:space="preserve"> PAGEREF _Toc463 \h </w:instrText>
          </w:r>
          <w:r>
            <w:rPr>
              <w:color w:val="auto"/>
            </w:rPr>
            <w:fldChar w:fldCharType="separate"/>
          </w:r>
          <w:r>
            <w:rPr>
              <w:color w:val="auto"/>
            </w:rPr>
            <w:t>204</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_Toc410 </w:instrText>
          </w:r>
          <w:r>
            <w:rPr>
              <w:color w:val="auto"/>
            </w:rPr>
            <w:fldChar w:fldCharType="separate"/>
          </w:r>
          <w:r>
            <w:rPr>
              <w:rFonts w:hint="default" w:ascii="黑体" w:hAnsi="黑体" w:eastAsia="黑体" w:cs="黑体"/>
              <w:bCs/>
              <w:color w:val="auto"/>
              <w:spacing w:val="0"/>
              <w:w w:val="99"/>
              <w:szCs w:val="30"/>
              <w:lang w:val="zh-CN" w:eastAsia="zh-CN" w:bidi="zh-CN"/>
            </w:rPr>
            <w:t>1</w:t>
          </w:r>
          <w:r>
            <w:rPr>
              <w:rFonts w:hint="eastAsia" w:cs="黑体"/>
              <w:bCs/>
              <w:color w:val="auto"/>
              <w:spacing w:val="0"/>
              <w:w w:val="99"/>
              <w:szCs w:val="30"/>
              <w:lang w:val="en-US" w:eastAsia="zh-CN" w:bidi="zh-CN"/>
            </w:rPr>
            <w:t>5</w:t>
          </w:r>
          <w:r>
            <w:rPr>
              <w:rFonts w:hint="default" w:ascii="黑体" w:hAnsi="黑体" w:eastAsia="黑体" w:cs="黑体"/>
              <w:bCs/>
              <w:color w:val="auto"/>
              <w:spacing w:val="0"/>
              <w:w w:val="99"/>
              <w:szCs w:val="30"/>
              <w:lang w:val="zh-CN" w:eastAsia="zh-CN" w:bidi="zh-CN"/>
            </w:rPr>
            <w:t xml:space="preserve">.6 </w:t>
          </w:r>
          <w:r>
            <w:rPr>
              <w:rFonts w:hint="eastAsia" w:asciiTheme="minorEastAsia" w:hAnsiTheme="minorEastAsia" w:eastAsiaTheme="minorEastAsia" w:cstheme="minorEastAsia"/>
              <w:color w:val="auto"/>
              <w:szCs w:val="24"/>
            </w:rPr>
            <w:t>社会效益</w:t>
          </w:r>
          <w:r>
            <w:rPr>
              <w:color w:val="auto"/>
            </w:rPr>
            <w:tab/>
          </w:r>
          <w:r>
            <w:rPr>
              <w:color w:val="auto"/>
            </w:rPr>
            <w:fldChar w:fldCharType="begin"/>
          </w:r>
          <w:r>
            <w:rPr>
              <w:color w:val="auto"/>
            </w:rPr>
            <w:instrText xml:space="preserve"> PAGEREF _Toc410 \h </w:instrText>
          </w:r>
          <w:r>
            <w:rPr>
              <w:color w:val="auto"/>
            </w:rPr>
            <w:fldChar w:fldCharType="separate"/>
          </w:r>
          <w:r>
            <w:rPr>
              <w:color w:val="auto"/>
            </w:rPr>
            <w:t>204</w:t>
          </w:r>
          <w:r>
            <w:rPr>
              <w:color w:val="auto"/>
            </w:rPr>
            <w:fldChar w:fldCharType="end"/>
          </w:r>
          <w:r>
            <w:rPr>
              <w:color w:val="auto"/>
            </w:rPr>
            <w:fldChar w:fldCharType="end"/>
          </w:r>
        </w:p>
        <w:p>
          <w:pPr>
            <w:pStyle w:val="19"/>
            <w:tabs>
              <w:tab w:val="right" w:leader="dot" w:pos="8791"/>
            </w:tabs>
            <w:jc w:val="left"/>
            <w:rPr>
              <w:color w:val="auto"/>
            </w:rPr>
          </w:pPr>
          <w:r>
            <w:rPr>
              <w:color w:val="auto"/>
            </w:rPr>
            <w:fldChar w:fldCharType="begin"/>
          </w:r>
          <w:r>
            <w:rPr>
              <w:color w:val="auto"/>
            </w:rPr>
            <w:instrText xml:space="preserve"> HYPERLINK \l _Toc19426 </w:instrText>
          </w:r>
          <w:r>
            <w:rPr>
              <w:color w:val="auto"/>
            </w:rPr>
            <w:fldChar w:fldCharType="separate"/>
          </w:r>
          <w:r>
            <w:rPr>
              <w:rFonts w:hint="default" w:ascii="黑体" w:hAnsi="黑体" w:eastAsia="黑体" w:cs="黑体"/>
              <w:bCs/>
              <w:color w:val="auto"/>
              <w:spacing w:val="0"/>
              <w:w w:val="99"/>
              <w:szCs w:val="30"/>
              <w:lang w:val="zh-CN" w:eastAsia="zh-CN" w:bidi="zh-CN"/>
            </w:rPr>
            <w:t>1</w:t>
          </w:r>
          <w:r>
            <w:rPr>
              <w:rFonts w:hint="eastAsia" w:cs="黑体"/>
              <w:bCs/>
              <w:color w:val="auto"/>
              <w:spacing w:val="0"/>
              <w:w w:val="99"/>
              <w:szCs w:val="30"/>
              <w:lang w:val="en-US" w:eastAsia="zh-CN" w:bidi="zh-CN"/>
            </w:rPr>
            <w:t>5</w:t>
          </w:r>
          <w:r>
            <w:rPr>
              <w:rFonts w:hint="default" w:ascii="黑体" w:hAnsi="黑体" w:eastAsia="黑体" w:cs="黑体"/>
              <w:bCs/>
              <w:color w:val="auto"/>
              <w:spacing w:val="0"/>
              <w:w w:val="99"/>
              <w:szCs w:val="30"/>
              <w:lang w:val="zh-CN" w:eastAsia="zh-CN" w:bidi="zh-CN"/>
            </w:rPr>
            <w:t xml:space="preserve">.7 </w:t>
          </w:r>
          <w:r>
            <w:rPr>
              <w:rFonts w:hint="eastAsia" w:asciiTheme="minorEastAsia" w:hAnsiTheme="minorEastAsia" w:eastAsiaTheme="minorEastAsia" w:cstheme="minorEastAsia"/>
              <w:color w:val="auto"/>
              <w:szCs w:val="24"/>
            </w:rPr>
            <w:t>结论</w:t>
          </w:r>
          <w:r>
            <w:rPr>
              <w:color w:val="auto"/>
            </w:rPr>
            <w:tab/>
          </w:r>
          <w:r>
            <w:rPr>
              <w:color w:val="auto"/>
            </w:rPr>
            <w:fldChar w:fldCharType="begin"/>
          </w:r>
          <w:r>
            <w:rPr>
              <w:color w:val="auto"/>
            </w:rPr>
            <w:instrText xml:space="preserve"> PAGEREF _Toc19426 \h </w:instrText>
          </w:r>
          <w:r>
            <w:rPr>
              <w:color w:val="auto"/>
            </w:rPr>
            <w:fldChar w:fldCharType="separate"/>
          </w:r>
          <w:r>
            <w:rPr>
              <w:color w:val="auto"/>
            </w:rPr>
            <w:t>204</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_Toc24381 </w:instrText>
          </w:r>
          <w:r>
            <w:rPr>
              <w:color w:val="auto"/>
            </w:rPr>
            <w:fldChar w:fldCharType="separate"/>
          </w:r>
          <w:r>
            <w:rPr>
              <w:rFonts w:hint="default"/>
              <w:color w:val="auto"/>
            </w:rPr>
            <w:t xml:space="preserve">十六、 </w:t>
          </w:r>
          <w:r>
            <w:rPr>
              <w:rFonts w:hint="eastAsia"/>
              <w:color w:val="auto"/>
            </w:rPr>
            <w:t>工程招标</w:t>
          </w:r>
          <w:r>
            <w:rPr>
              <w:color w:val="auto"/>
            </w:rPr>
            <w:tab/>
          </w:r>
          <w:r>
            <w:rPr>
              <w:color w:val="auto"/>
            </w:rPr>
            <w:fldChar w:fldCharType="begin"/>
          </w:r>
          <w:r>
            <w:rPr>
              <w:color w:val="auto"/>
            </w:rPr>
            <w:instrText xml:space="preserve"> PAGEREF _Toc24381 \h </w:instrText>
          </w:r>
          <w:r>
            <w:rPr>
              <w:color w:val="auto"/>
            </w:rPr>
            <w:fldChar w:fldCharType="separate"/>
          </w:r>
          <w:r>
            <w:rPr>
              <w:color w:val="auto"/>
            </w:rPr>
            <w:t>205</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_Toc8456 </w:instrText>
          </w:r>
          <w:r>
            <w:rPr>
              <w:color w:val="auto"/>
            </w:rPr>
            <w:fldChar w:fldCharType="separate"/>
          </w:r>
          <w:r>
            <w:rPr>
              <w:rFonts w:hint="default" w:ascii="黑体" w:hAnsi="黑体" w:eastAsia="黑体" w:cs="黑体"/>
              <w:bCs/>
              <w:color w:val="auto"/>
              <w:spacing w:val="0"/>
              <w:w w:val="99"/>
              <w:szCs w:val="30"/>
              <w:lang w:val="zh-CN" w:eastAsia="zh-CN" w:bidi="zh-CN"/>
            </w:rPr>
            <w:t>1</w:t>
          </w:r>
          <w:r>
            <w:rPr>
              <w:rFonts w:hint="eastAsia" w:cs="黑体"/>
              <w:bCs/>
              <w:color w:val="auto"/>
              <w:spacing w:val="0"/>
              <w:w w:val="99"/>
              <w:szCs w:val="30"/>
              <w:lang w:val="en-US" w:eastAsia="zh-CN" w:bidi="zh-CN"/>
            </w:rPr>
            <w:t>6</w:t>
          </w:r>
          <w:r>
            <w:rPr>
              <w:rFonts w:hint="default" w:ascii="黑体" w:hAnsi="黑体" w:eastAsia="黑体" w:cs="黑体"/>
              <w:bCs/>
              <w:color w:val="auto"/>
              <w:spacing w:val="0"/>
              <w:w w:val="99"/>
              <w:szCs w:val="30"/>
              <w:lang w:val="zh-CN" w:eastAsia="zh-CN" w:bidi="zh-CN"/>
            </w:rPr>
            <w:t xml:space="preserve">.1 </w:t>
          </w:r>
          <w:r>
            <w:rPr>
              <w:rFonts w:hint="eastAsia" w:asciiTheme="minorEastAsia" w:hAnsiTheme="minorEastAsia" w:eastAsiaTheme="minorEastAsia" w:cstheme="minorEastAsia"/>
              <w:color w:val="auto"/>
              <w:szCs w:val="24"/>
            </w:rPr>
            <w:t>招投标方案</w:t>
          </w:r>
          <w:r>
            <w:rPr>
              <w:color w:val="auto"/>
            </w:rPr>
            <w:tab/>
          </w:r>
          <w:r>
            <w:rPr>
              <w:color w:val="auto"/>
            </w:rPr>
            <w:fldChar w:fldCharType="begin"/>
          </w:r>
          <w:r>
            <w:rPr>
              <w:color w:val="auto"/>
            </w:rPr>
            <w:instrText xml:space="preserve"> PAGEREF _Toc8456 \h </w:instrText>
          </w:r>
          <w:r>
            <w:rPr>
              <w:color w:val="auto"/>
            </w:rPr>
            <w:fldChar w:fldCharType="separate"/>
          </w:r>
          <w:r>
            <w:rPr>
              <w:color w:val="auto"/>
            </w:rPr>
            <w:t>205</w:t>
          </w:r>
          <w:r>
            <w:rPr>
              <w:color w:val="auto"/>
            </w:rPr>
            <w:fldChar w:fldCharType="end"/>
          </w:r>
          <w:r>
            <w:rPr>
              <w:color w:val="auto"/>
            </w:rPr>
            <w:fldChar w:fldCharType="end"/>
          </w:r>
        </w:p>
        <w:p>
          <w:pPr>
            <w:pStyle w:val="19"/>
            <w:tabs>
              <w:tab w:val="right" w:leader="dot" w:pos="8791"/>
            </w:tabs>
            <w:rPr>
              <w:color w:val="auto"/>
            </w:rPr>
          </w:pPr>
          <w:r>
            <w:rPr>
              <w:color w:val="auto"/>
            </w:rPr>
            <w:fldChar w:fldCharType="begin"/>
          </w:r>
          <w:r>
            <w:rPr>
              <w:color w:val="auto"/>
            </w:rPr>
            <w:instrText xml:space="preserve"> HYPERLINK \l _Toc12487 </w:instrText>
          </w:r>
          <w:r>
            <w:rPr>
              <w:color w:val="auto"/>
            </w:rPr>
            <w:fldChar w:fldCharType="separate"/>
          </w:r>
          <w:r>
            <w:rPr>
              <w:rFonts w:hint="default"/>
              <w:color w:val="auto"/>
            </w:rPr>
            <w:t xml:space="preserve">十七、 </w:t>
          </w:r>
          <w:r>
            <w:rPr>
              <w:rFonts w:hint="eastAsia"/>
              <w:color w:val="auto"/>
            </w:rPr>
            <w:t>结论与建议</w:t>
          </w:r>
          <w:r>
            <w:rPr>
              <w:color w:val="auto"/>
            </w:rPr>
            <w:tab/>
          </w:r>
          <w:r>
            <w:rPr>
              <w:color w:val="auto"/>
            </w:rPr>
            <w:fldChar w:fldCharType="begin"/>
          </w:r>
          <w:r>
            <w:rPr>
              <w:color w:val="auto"/>
            </w:rPr>
            <w:instrText xml:space="preserve"> PAGEREF _Toc12487 \h </w:instrText>
          </w:r>
          <w:r>
            <w:rPr>
              <w:color w:val="auto"/>
            </w:rPr>
            <w:fldChar w:fldCharType="separate"/>
          </w:r>
          <w:r>
            <w:rPr>
              <w:color w:val="auto"/>
            </w:rPr>
            <w:t>207</w:t>
          </w:r>
          <w:r>
            <w:rPr>
              <w:color w:val="auto"/>
            </w:rPr>
            <w:fldChar w:fldCharType="end"/>
          </w:r>
          <w:r>
            <w:rPr>
              <w:color w:val="auto"/>
            </w:rPr>
            <w:fldChar w:fldCharType="end"/>
          </w:r>
        </w:p>
        <w:p>
          <w:pPr>
            <w:pStyle w:val="19"/>
            <w:tabs>
              <w:tab w:val="right" w:leader="dot" w:pos="8791"/>
            </w:tabs>
            <w:jc w:val="left"/>
            <w:rPr>
              <w:color w:val="auto"/>
            </w:rPr>
          </w:pPr>
          <w:r>
            <w:rPr>
              <w:color w:val="auto"/>
            </w:rPr>
            <w:fldChar w:fldCharType="begin"/>
          </w:r>
          <w:r>
            <w:rPr>
              <w:color w:val="auto"/>
            </w:rPr>
            <w:instrText xml:space="preserve"> HYPERLINK \l _Toc26646 </w:instrText>
          </w:r>
          <w:r>
            <w:rPr>
              <w:color w:val="auto"/>
            </w:rPr>
            <w:fldChar w:fldCharType="separate"/>
          </w:r>
          <w:r>
            <w:rPr>
              <w:rFonts w:hint="default" w:ascii="黑体" w:hAnsi="黑体" w:eastAsia="黑体" w:cs="黑体"/>
              <w:bCs/>
              <w:color w:val="auto"/>
              <w:spacing w:val="0"/>
              <w:w w:val="99"/>
              <w:szCs w:val="30"/>
              <w:lang w:val="zh-CN" w:eastAsia="zh-CN" w:bidi="zh-CN"/>
            </w:rPr>
            <w:t>1</w:t>
          </w:r>
          <w:r>
            <w:rPr>
              <w:rFonts w:hint="eastAsia" w:cs="黑体"/>
              <w:bCs/>
              <w:color w:val="auto"/>
              <w:spacing w:val="0"/>
              <w:w w:val="99"/>
              <w:szCs w:val="30"/>
              <w:lang w:val="en-US" w:eastAsia="zh-CN" w:bidi="zh-CN"/>
            </w:rPr>
            <w:t>7</w:t>
          </w:r>
          <w:r>
            <w:rPr>
              <w:rFonts w:hint="default" w:ascii="黑体" w:hAnsi="黑体" w:eastAsia="黑体" w:cs="黑体"/>
              <w:bCs/>
              <w:color w:val="auto"/>
              <w:spacing w:val="0"/>
              <w:w w:val="99"/>
              <w:szCs w:val="30"/>
              <w:lang w:val="zh-CN" w:eastAsia="zh-CN" w:bidi="zh-CN"/>
            </w:rPr>
            <w:t xml:space="preserve">.1 </w:t>
          </w:r>
          <w:r>
            <w:rPr>
              <w:rFonts w:hint="eastAsia" w:asciiTheme="minorEastAsia" w:hAnsiTheme="minorEastAsia" w:eastAsiaTheme="minorEastAsia" w:cstheme="minorEastAsia"/>
              <w:color w:val="auto"/>
              <w:szCs w:val="24"/>
            </w:rPr>
            <w:t>结论</w:t>
          </w:r>
          <w:r>
            <w:rPr>
              <w:color w:val="auto"/>
            </w:rPr>
            <w:tab/>
          </w:r>
          <w:r>
            <w:rPr>
              <w:color w:val="auto"/>
            </w:rPr>
            <w:fldChar w:fldCharType="begin"/>
          </w:r>
          <w:r>
            <w:rPr>
              <w:color w:val="auto"/>
            </w:rPr>
            <w:instrText xml:space="preserve"> PAGEREF _Toc26646 \h </w:instrText>
          </w:r>
          <w:r>
            <w:rPr>
              <w:color w:val="auto"/>
            </w:rPr>
            <w:fldChar w:fldCharType="separate"/>
          </w:r>
          <w:r>
            <w:rPr>
              <w:color w:val="auto"/>
            </w:rPr>
            <w:t>207</w:t>
          </w:r>
          <w:r>
            <w:rPr>
              <w:color w:val="auto"/>
            </w:rPr>
            <w:fldChar w:fldCharType="end"/>
          </w:r>
          <w:r>
            <w:rPr>
              <w:color w:val="auto"/>
            </w:rPr>
            <w:fldChar w:fldCharType="end"/>
          </w:r>
        </w:p>
        <w:p>
          <w:pPr>
            <w:pStyle w:val="19"/>
            <w:tabs>
              <w:tab w:val="right" w:leader="dot" w:pos="8791"/>
            </w:tabs>
            <w:jc w:val="left"/>
            <w:rPr>
              <w:color w:val="auto"/>
            </w:rPr>
          </w:pPr>
          <w:r>
            <w:rPr>
              <w:color w:val="auto"/>
            </w:rPr>
            <w:fldChar w:fldCharType="begin"/>
          </w:r>
          <w:r>
            <w:rPr>
              <w:color w:val="auto"/>
            </w:rPr>
            <w:instrText xml:space="preserve"> HYPERLINK \l _Toc7345 </w:instrText>
          </w:r>
          <w:r>
            <w:rPr>
              <w:color w:val="auto"/>
            </w:rPr>
            <w:fldChar w:fldCharType="separate"/>
          </w:r>
          <w:r>
            <w:rPr>
              <w:rFonts w:hint="default" w:ascii="黑体" w:hAnsi="黑体" w:eastAsia="黑体" w:cs="黑体"/>
              <w:bCs/>
              <w:color w:val="auto"/>
              <w:spacing w:val="0"/>
              <w:w w:val="99"/>
              <w:szCs w:val="30"/>
              <w:lang w:val="zh-CN" w:eastAsia="zh-CN" w:bidi="zh-CN"/>
            </w:rPr>
            <w:t>1</w:t>
          </w:r>
          <w:r>
            <w:rPr>
              <w:rFonts w:hint="eastAsia" w:cs="黑体"/>
              <w:bCs/>
              <w:color w:val="auto"/>
              <w:spacing w:val="0"/>
              <w:w w:val="99"/>
              <w:szCs w:val="30"/>
              <w:lang w:val="en-US" w:eastAsia="zh-CN" w:bidi="zh-CN"/>
            </w:rPr>
            <w:t>7</w:t>
          </w:r>
          <w:r>
            <w:rPr>
              <w:rFonts w:hint="default" w:ascii="黑体" w:hAnsi="黑体" w:eastAsia="黑体" w:cs="黑体"/>
              <w:bCs/>
              <w:color w:val="auto"/>
              <w:spacing w:val="0"/>
              <w:w w:val="99"/>
              <w:szCs w:val="30"/>
              <w:lang w:val="zh-CN" w:eastAsia="zh-CN" w:bidi="zh-CN"/>
            </w:rPr>
            <w:t xml:space="preserve">.2 </w:t>
          </w:r>
          <w:r>
            <w:rPr>
              <w:rFonts w:hint="eastAsia" w:asciiTheme="minorEastAsia" w:hAnsiTheme="minorEastAsia" w:eastAsiaTheme="minorEastAsia" w:cstheme="minorEastAsia"/>
              <w:color w:val="auto"/>
              <w:szCs w:val="24"/>
            </w:rPr>
            <w:t>建议</w:t>
          </w:r>
          <w:r>
            <w:rPr>
              <w:color w:val="auto"/>
            </w:rPr>
            <w:tab/>
          </w:r>
          <w:r>
            <w:rPr>
              <w:color w:val="auto"/>
            </w:rPr>
            <w:fldChar w:fldCharType="begin"/>
          </w:r>
          <w:r>
            <w:rPr>
              <w:color w:val="auto"/>
            </w:rPr>
            <w:instrText xml:space="preserve"> PAGEREF _Toc7345 \h </w:instrText>
          </w:r>
          <w:r>
            <w:rPr>
              <w:color w:val="auto"/>
            </w:rPr>
            <w:fldChar w:fldCharType="separate"/>
          </w:r>
          <w:r>
            <w:rPr>
              <w:color w:val="auto"/>
            </w:rPr>
            <w:t>207</w:t>
          </w:r>
          <w:r>
            <w:rPr>
              <w:color w:val="auto"/>
            </w:rPr>
            <w:fldChar w:fldCharType="end"/>
          </w:r>
          <w:r>
            <w:rPr>
              <w:color w:val="auto"/>
            </w:rPr>
            <w:fldChar w:fldCharType="end"/>
          </w:r>
        </w:p>
        <w:p>
          <w:pPr>
            <w:pStyle w:val="19"/>
            <w:tabs>
              <w:tab w:val="right" w:leader="dot" w:pos="8791"/>
            </w:tabs>
            <w:jc w:val="left"/>
            <w:rPr>
              <w:color w:val="auto"/>
            </w:rPr>
          </w:pPr>
          <w:r>
            <w:rPr>
              <w:color w:val="auto"/>
            </w:rPr>
            <w:fldChar w:fldCharType="begin"/>
          </w:r>
          <w:r>
            <w:rPr>
              <w:color w:val="auto"/>
            </w:rPr>
            <w:instrText xml:space="preserve"> HYPERLINK \l _Toc1211 </w:instrText>
          </w:r>
          <w:r>
            <w:rPr>
              <w:color w:val="auto"/>
            </w:rPr>
            <w:fldChar w:fldCharType="separate"/>
          </w:r>
          <w:r>
            <w:rPr>
              <w:rFonts w:hint="eastAsia"/>
              <w:color w:val="auto"/>
            </w:rPr>
            <w:t>附件</w:t>
          </w:r>
          <w:r>
            <w:rPr>
              <w:color w:val="auto"/>
            </w:rPr>
            <w:tab/>
          </w:r>
          <w:r>
            <w:rPr>
              <w:color w:val="auto"/>
            </w:rPr>
            <w:fldChar w:fldCharType="begin"/>
          </w:r>
          <w:r>
            <w:rPr>
              <w:color w:val="auto"/>
            </w:rPr>
            <w:instrText xml:space="preserve"> PAGEREF _Toc1211 \h </w:instrText>
          </w:r>
          <w:r>
            <w:rPr>
              <w:color w:val="auto"/>
            </w:rPr>
            <w:fldChar w:fldCharType="separate"/>
          </w:r>
          <w:r>
            <w:rPr>
              <w:color w:val="auto"/>
            </w:rPr>
            <w:t>209</w:t>
          </w:r>
          <w:r>
            <w:rPr>
              <w:color w:val="auto"/>
            </w:rPr>
            <w:fldChar w:fldCharType="end"/>
          </w:r>
          <w:r>
            <w:rPr>
              <w:color w:val="auto"/>
            </w:rPr>
            <w:fldChar w:fldCharType="end"/>
          </w:r>
        </w:p>
        <w:p>
          <w:pPr>
            <w:spacing w:line="360" w:lineRule="auto"/>
            <w:jc w:val="both"/>
            <w:rPr>
              <w:color w:val="auto"/>
            </w:rPr>
          </w:pPr>
          <w:r>
            <w:rPr>
              <w:color w:val="auto"/>
            </w:rPr>
            <w:fldChar w:fldCharType="end"/>
          </w:r>
        </w:p>
      </w:sdtContent>
    </w:sdt>
    <w:p>
      <w:pPr>
        <w:pStyle w:val="2"/>
        <w:spacing w:before="0" w:line="422" w:lineRule="auto"/>
        <w:ind w:left="0" w:firstLine="643" w:firstLineChars="200"/>
        <w:jc w:val="both"/>
        <w:rPr>
          <w:color w:val="auto"/>
        </w:rPr>
        <w:sectPr>
          <w:footerReference r:id="rId5" w:type="default"/>
          <w:type w:val="nextColumn"/>
          <w:pgSz w:w="11910" w:h="16840"/>
          <w:pgMar w:top="1418" w:right="1418" w:bottom="1418" w:left="1701" w:header="0" w:footer="512" w:gutter="0"/>
          <w:pgNumType w:start="1"/>
          <w:cols w:space="720" w:num="1"/>
        </w:sectPr>
      </w:pPr>
    </w:p>
    <w:p>
      <w:pPr>
        <w:pStyle w:val="2"/>
        <w:ind w:left="0" w:firstLine="3855" w:firstLineChars="1200"/>
        <w:rPr>
          <w:color w:val="auto"/>
        </w:rPr>
      </w:pPr>
      <w:bookmarkStart w:id="2" w:name="_Toc4941"/>
      <w:r>
        <w:rPr>
          <w:rFonts w:hint="eastAsia"/>
          <w:color w:val="auto"/>
        </w:rPr>
        <w:t>一、概述</w:t>
      </w:r>
      <w:bookmarkEnd w:id="1"/>
      <w:bookmarkEnd w:id="2"/>
    </w:p>
    <w:p>
      <w:pPr>
        <w:pStyle w:val="3"/>
        <w:numPr>
          <w:ilvl w:val="1"/>
          <w:numId w:val="2"/>
        </w:numPr>
        <w:tabs>
          <w:tab w:val="left" w:pos="1248"/>
        </w:tabs>
        <w:adjustRightInd/>
        <w:snapToGrid/>
        <w:spacing w:line="500" w:lineRule="exact"/>
        <w:jc w:val="both"/>
        <w:rPr>
          <w:rFonts w:asciiTheme="minorEastAsia" w:hAnsiTheme="minorEastAsia" w:eastAsiaTheme="minorEastAsia" w:cstheme="minorEastAsia"/>
          <w:color w:val="auto"/>
          <w:sz w:val="24"/>
          <w:szCs w:val="24"/>
        </w:rPr>
      </w:pPr>
      <w:bookmarkStart w:id="3" w:name="_Toc23767"/>
      <w:bookmarkStart w:id="4" w:name="_Toc9886"/>
      <w:r>
        <w:rPr>
          <w:rFonts w:hint="eastAsia" w:asciiTheme="minorEastAsia" w:hAnsiTheme="minorEastAsia" w:eastAsiaTheme="minorEastAsia" w:cstheme="minorEastAsia"/>
          <w:color w:val="auto"/>
          <w:sz w:val="24"/>
          <w:szCs w:val="24"/>
        </w:rPr>
        <w:t>项目背景</w:t>
      </w:r>
      <w:bookmarkEnd w:id="3"/>
      <w:bookmarkEnd w:id="4"/>
    </w:p>
    <w:p>
      <w:pPr>
        <w:pStyle w:val="10"/>
        <w:spacing w:line="500" w:lineRule="exact"/>
        <w:ind w:firstLine="440" w:firstLineChars="200"/>
        <w:jc w:val="both"/>
        <w:rPr>
          <w:rFonts w:asciiTheme="minorEastAsia" w:hAnsiTheme="minorEastAsia" w:eastAsiaTheme="minorEastAsia" w:cstheme="minorEastAsia"/>
          <w:color w:val="auto"/>
          <w:spacing w:val="-10"/>
          <w:sz w:val="24"/>
          <w:szCs w:val="24"/>
        </w:rPr>
      </w:pPr>
      <w:r>
        <w:rPr>
          <w:rFonts w:hint="eastAsia" w:asciiTheme="minorEastAsia" w:hAnsiTheme="minorEastAsia" w:eastAsiaTheme="minorEastAsia" w:cstheme="minorEastAsia"/>
          <w:color w:val="auto"/>
          <w:spacing w:val="-10"/>
          <w:sz w:val="24"/>
          <w:szCs w:val="24"/>
        </w:rPr>
        <w:t>党的十九大以来，为贯彻落实习近平生态文明思想在乡村发展中的新理念新思想新战略，我国乡村生态环境改善目标从“村</w:t>
      </w:r>
      <w:r>
        <w:rPr>
          <w:rFonts w:hint="eastAsia" w:asciiTheme="minorEastAsia" w:hAnsiTheme="minorEastAsia" w:eastAsiaTheme="minorEastAsia" w:cstheme="minorEastAsia"/>
          <w:color w:val="auto"/>
          <w:spacing w:val="-5"/>
          <w:sz w:val="24"/>
          <w:szCs w:val="24"/>
        </w:rPr>
        <w:t>容整洁”提升为“生态宜居”，国家围绕乡村振兴先后印发出</w:t>
      </w:r>
      <w:r>
        <w:rPr>
          <w:rFonts w:hint="eastAsia" w:asciiTheme="minorEastAsia" w:hAnsiTheme="minorEastAsia" w:eastAsiaTheme="minorEastAsia" w:cstheme="minorEastAsia"/>
          <w:color w:val="auto"/>
          <w:spacing w:val="-10"/>
          <w:sz w:val="24"/>
          <w:szCs w:val="24"/>
        </w:rPr>
        <w:t>台了《农村人居环境整治三年行动方案》、《乡村振兴战略规划</w:t>
      </w:r>
      <w:r>
        <w:rPr>
          <w:rFonts w:hint="eastAsia" w:asciiTheme="minorEastAsia" w:hAnsiTheme="minorEastAsia" w:eastAsiaTheme="minorEastAsia" w:cstheme="minorEastAsia"/>
          <w:color w:val="auto"/>
          <w:spacing w:val="-8"/>
          <w:sz w:val="24"/>
          <w:szCs w:val="24"/>
        </w:rPr>
        <w:t>（2018-2022</w:t>
      </w:r>
      <w:r>
        <w:rPr>
          <w:rFonts w:hint="eastAsia" w:asciiTheme="minorEastAsia" w:hAnsiTheme="minorEastAsia" w:eastAsiaTheme="minorEastAsia" w:cstheme="minorEastAsia"/>
          <w:color w:val="auto"/>
          <w:spacing w:val="2"/>
          <w:sz w:val="24"/>
          <w:szCs w:val="24"/>
        </w:rPr>
        <w:t>年</w:t>
      </w: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8"/>
          <w:sz w:val="24"/>
          <w:szCs w:val="24"/>
        </w:rPr>
        <w:t>农业农村污染治理攻坚战行动计划》等</w:t>
      </w:r>
      <w:r>
        <w:rPr>
          <w:rFonts w:hint="eastAsia" w:asciiTheme="minorEastAsia" w:hAnsiTheme="minorEastAsia" w:eastAsiaTheme="minorEastAsia" w:cstheme="minorEastAsia"/>
          <w:color w:val="auto"/>
          <w:spacing w:val="-10"/>
          <w:sz w:val="24"/>
          <w:szCs w:val="24"/>
        </w:rPr>
        <w:t>重要文件，对乡村人居环境整治、农业绿色发展、乡村生态保护与修复等方面作出具体部署。其中，农村生活污水治理是实施乡村振兴战略重大历史任务之一，是人居环境改善、保护生态环境、促进农村节能减排、提高农民生活品质的重要途径之一，是建设</w:t>
      </w:r>
      <w:r>
        <w:rPr>
          <w:rFonts w:hint="eastAsia" w:asciiTheme="minorEastAsia" w:hAnsiTheme="minorEastAsia" w:eastAsiaTheme="minorEastAsia" w:cstheme="minorEastAsia"/>
          <w:color w:val="auto"/>
          <w:spacing w:val="-8"/>
          <w:sz w:val="24"/>
          <w:szCs w:val="24"/>
        </w:rPr>
        <w:t>生态宜居的美丽乡村的重要内容之一。</w:t>
      </w:r>
      <w:r>
        <w:rPr>
          <w:rFonts w:hint="eastAsia" w:asciiTheme="minorEastAsia" w:hAnsiTheme="minorEastAsia" w:eastAsiaTheme="minorEastAsia" w:cstheme="minorEastAsia"/>
          <w:color w:val="auto"/>
          <w:spacing w:val="-7"/>
          <w:sz w:val="24"/>
          <w:szCs w:val="24"/>
        </w:rPr>
        <w:t>2019</w:t>
      </w:r>
      <w:r>
        <w:rPr>
          <w:rFonts w:hint="eastAsia" w:asciiTheme="minorEastAsia" w:hAnsiTheme="minorEastAsia" w:eastAsiaTheme="minorEastAsia" w:cstheme="minorEastAsia"/>
          <w:color w:val="auto"/>
          <w:spacing w:val="-3"/>
          <w:sz w:val="24"/>
          <w:szCs w:val="24"/>
        </w:rPr>
        <w:t>年</w:t>
      </w:r>
      <w:r>
        <w:rPr>
          <w:rFonts w:hint="eastAsia" w:asciiTheme="minorEastAsia" w:hAnsiTheme="minorEastAsia" w:eastAsiaTheme="minorEastAsia" w:cstheme="minorEastAsia"/>
          <w:color w:val="auto"/>
          <w:sz w:val="24"/>
          <w:szCs w:val="24"/>
        </w:rPr>
        <w:t>3</w:t>
      </w:r>
      <w:r>
        <w:rPr>
          <w:rFonts w:hint="eastAsia" w:asciiTheme="minorEastAsia" w:hAnsiTheme="minorEastAsia" w:eastAsiaTheme="minorEastAsia" w:cstheme="minorEastAsia"/>
          <w:color w:val="auto"/>
          <w:spacing w:val="-7"/>
          <w:sz w:val="24"/>
          <w:szCs w:val="24"/>
        </w:rPr>
        <w:t>月，生态环境</w:t>
      </w:r>
      <w:r>
        <w:rPr>
          <w:rFonts w:hint="eastAsia" w:asciiTheme="minorEastAsia" w:hAnsiTheme="minorEastAsia" w:eastAsiaTheme="minorEastAsia" w:cstheme="minorEastAsia"/>
          <w:color w:val="auto"/>
          <w:spacing w:val="-10"/>
          <w:sz w:val="24"/>
          <w:szCs w:val="24"/>
        </w:rPr>
        <w:t>部办公厅印发《关于进一步加强农业农村生态环境工作的指导意</w:t>
      </w:r>
      <w:r>
        <w:rPr>
          <w:rFonts w:hint="eastAsia" w:asciiTheme="minorEastAsia" w:hAnsiTheme="minorEastAsia" w:eastAsiaTheme="minorEastAsia" w:cstheme="minorEastAsia"/>
          <w:color w:val="auto"/>
          <w:spacing w:val="-2"/>
          <w:sz w:val="24"/>
          <w:szCs w:val="24"/>
        </w:rPr>
        <w:t>见》</w:t>
      </w:r>
      <w:r>
        <w:rPr>
          <w:rFonts w:hint="eastAsia" w:asciiTheme="minorEastAsia" w:hAnsiTheme="minorEastAsia" w:eastAsiaTheme="minorEastAsia" w:cstheme="minorEastAsia"/>
          <w:color w:val="auto"/>
          <w:spacing w:val="-3"/>
          <w:sz w:val="24"/>
          <w:szCs w:val="24"/>
        </w:rPr>
        <w:t>（环办土壤〔</w:t>
      </w:r>
      <w:r>
        <w:rPr>
          <w:rFonts w:hint="eastAsia" w:asciiTheme="minorEastAsia" w:hAnsiTheme="minorEastAsia" w:eastAsiaTheme="minorEastAsia" w:cstheme="minorEastAsia"/>
          <w:color w:val="auto"/>
          <w:spacing w:val="-8"/>
          <w:sz w:val="24"/>
          <w:szCs w:val="24"/>
        </w:rPr>
        <w:t>2019</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pacing w:val="-4"/>
          <w:sz w:val="24"/>
          <w:szCs w:val="24"/>
        </w:rPr>
        <w:t>24</w:t>
      </w:r>
      <w:r>
        <w:rPr>
          <w:rFonts w:hint="eastAsia" w:asciiTheme="minorEastAsia" w:hAnsiTheme="minorEastAsia" w:eastAsiaTheme="minorEastAsia" w:cstheme="minorEastAsia"/>
          <w:color w:val="auto"/>
          <w:spacing w:val="4"/>
          <w:sz w:val="24"/>
          <w:szCs w:val="24"/>
        </w:rPr>
        <w:t>号</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pacing w:val="-3"/>
          <w:sz w:val="24"/>
          <w:szCs w:val="24"/>
        </w:rPr>
        <w:t>，指导各地以县级行政区域为</w:t>
      </w:r>
      <w:r>
        <w:rPr>
          <w:rFonts w:hint="eastAsia" w:asciiTheme="minorEastAsia" w:hAnsiTheme="minorEastAsia" w:eastAsiaTheme="minorEastAsia" w:cstheme="minorEastAsia"/>
          <w:color w:val="auto"/>
          <w:spacing w:val="-8"/>
          <w:sz w:val="24"/>
          <w:szCs w:val="24"/>
        </w:rPr>
        <w:t>单元，科学规划和统筹治理农村的生活污水。</w:t>
      </w:r>
      <w:r>
        <w:rPr>
          <w:rFonts w:hint="eastAsia" w:asciiTheme="minorEastAsia" w:hAnsiTheme="minorEastAsia" w:eastAsiaTheme="minorEastAsia" w:cstheme="minorEastAsia"/>
          <w:color w:val="auto"/>
          <w:spacing w:val="-7"/>
          <w:sz w:val="24"/>
          <w:szCs w:val="24"/>
        </w:rPr>
        <w:t>2019</w:t>
      </w:r>
      <w:r>
        <w:rPr>
          <w:rFonts w:hint="eastAsia" w:asciiTheme="minorEastAsia" w:hAnsiTheme="minorEastAsia" w:eastAsiaTheme="minorEastAsia" w:cstheme="minorEastAsia"/>
          <w:color w:val="auto"/>
          <w:spacing w:val="-5"/>
          <w:sz w:val="24"/>
          <w:szCs w:val="24"/>
        </w:rPr>
        <w:t>年</w:t>
      </w:r>
      <w:r>
        <w:rPr>
          <w:rFonts w:hint="eastAsia" w:asciiTheme="minorEastAsia" w:hAnsiTheme="minorEastAsia" w:eastAsiaTheme="minorEastAsia" w:cstheme="minorEastAsia"/>
          <w:color w:val="auto"/>
          <w:sz w:val="24"/>
          <w:szCs w:val="24"/>
        </w:rPr>
        <w:t>7</w:t>
      </w:r>
      <w:r>
        <w:rPr>
          <w:rFonts w:hint="eastAsia" w:asciiTheme="minorEastAsia" w:hAnsiTheme="minorEastAsia" w:eastAsiaTheme="minorEastAsia" w:cstheme="minorEastAsia"/>
          <w:color w:val="auto"/>
          <w:spacing w:val="-6"/>
          <w:sz w:val="24"/>
          <w:szCs w:val="24"/>
        </w:rPr>
        <w:t>月，中</w:t>
      </w:r>
      <w:r>
        <w:rPr>
          <w:rFonts w:hint="eastAsia" w:asciiTheme="minorEastAsia" w:hAnsiTheme="minorEastAsia" w:eastAsiaTheme="minorEastAsia" w:cstheme="minorEastAsia"/>
          <w:color w:val="auto"/>
          <w:spacing w:val="-10"/>
          <w:sz w:val="24"/>
          <w:szCs w:val="24"/>
        </w:rPr>
        <w:t>央农办等九部门联合印发《关于推进农村生活污水治理的指导意</w:t>
      </w:r>
      <w:r>
        <w:rPr>
          <w:rFonts w:hint="eastAsia" w:asciiTheme="minorEastAsia" w:hAnsiTheme="minorEastAsia" w:eastAsiaTheme="minorEastAsia" w:cstheme="minorEastAsia"/>
          <w:color w:val="auto"/>
          <w:spacing w:val="-2"/>
          <w:sz w:val="24"/>
          <w:szCs w:val="24"/>
        </w:rPr>
        <w:t>见》</w:t>
      </w:r>
      <w:r>
        <w:rPr>
          <w:rFonts w:hint="eastAsia" w:asciiTheme="minorEastAsia" w:hAnsiTheme="minorEastAsia" w:eastAsiaTheme="minorEastAsia" w:cstheme="minorEastAsia"/>
          <w:color w:val="auto"/>
          <w:spacing w:val="-3"/>
          <w:sz w:val="24"/>
          <w:szCs w:val="24"/>
        </w:rPr>
        <w:t>（中农发〔</w:t>
      </w:r>
      <w:r>
        <w:rPr>
          <w:rFonts w:hint="eastAsia" w:asciiTheme="minorEastAsia" w:hAnsiTheme="minorEastAsia" w:eastAsiaTheme="minorEastAsia" w:cstheme="minorEastAsia"/>
          <w:color w:val="auto"/>
          <w:spacing w:val="-8"/>
          <w:sz w:val="24"/>
          <w:szCs w:val="24"/>
        </w:rPr>
        <w:t>2019</w:t>
      </w:r>
      <w:r>
        <w:rPr>
          <w:rFonts w:hint="eastAsia" w:asciiTheme="minorEastAsia" w:hAnsiTheme="minorEastAsia" w:eastAsiaTheme="minorEastAsia" w:cstheme="minorEastAsia"/>
          <w:color w:val="auto"/>
          <w:spacing w:val="-3"/>
          <w:sz w:val="24"/>
          <w:szCs w:val="24"/>
        </w:rPr>
        <w:t>〕</w:t>
      </w:r>
      <w:r>
        <w:rPr>
          <w:rFonts w:hint="eastAsia" w:asciiTheme="minorEastAsia" w:hAnsiTheme="minorEastAsia" w:eastAsiaTheme="minorEastAsia" w:cstheme="minorEastAsia"/>
          <w:color w:val="auto"/>
          <w:spacing w:val="-4"/>
          <w:sz w:val="24"/>
          <w:szCs w:val="24"/>
        </w:rPr>
        <w:t>14</w:t>
      </w:r>
      <w:r>
        <w:rPr>
          <w:rFonts w:hint="eastAsia" w:asciiTheme="minorEastAsia" w:hAnsiTheme="minorEastAsia" w:eastAsiaTheme="minorEastAsia" w:cstheme="minorEastAsia"/>
          <w:color w:val="auto"/>
          <w:spacing w:val="4"/>
          <w:sz w:val="24"/>
          <w:szCs w:val="24"/>
        </w:rPr>
        <w:t>号</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pacing w:val="-3"/>
          <w:sz w:val="24"/>
          <w:szCs w:val="24"/>
        </w:rPr>
        <w:t>，将“以县域为单位编制农村生</w:t>
      </w:r>
      <w:r>
        <w:rPr>
          <w:rFonts w:hint="eastAsia" w:asciiTheme="minorEastAsia" w:hAnsiTheme="minorEastAsia" w:eastAsiaTheme="minorEastAsia" w:cstheme="minorEastAsia"/>
          <w:color w:val="auto"/>
          <w:spacing w:val="-10"/>
          <w:sz w:val="24"/>
          <w:szCs w:val="24"/>
        </w:rPr>
        <w:t>活污水治理规划或方案”列入重点任务。为落实国家关于农村生</w:t>
      </w:r>
      <w:r>
        <w:rPr>
          <w:rFonts w:hint="eastAsia" w:asciiTheme="minorEastAsia" w:hAnsiTheme="minorEastAsia" w:eastAsiaTheme="minorEastAsia" w:cstheme="minorEastAsia"/>
          <w:color w:val="auto"/>
          <w:spacing w:val="-4"/>
          <w:sz w:val="24"/>
          <w:szCs w:val="24"/>
        </w:rPr>
        <w:t>活污水治理的工作部署，</w:t>
      </w:r>
      <w:r>
        <w:rPr>
          <w:rFonts w:hint="eastAsia" w:asciiTheme="minorEastAsia" w:hAnsiTheme="minorEastAsia" w:eastAsiaTheme="minorEastAsia" w:cstheme="minorEastAsia"/>
          <w:color w:val="auto"/>
          <w:spacing w:val="-6"/>
          <w:sz w:val="24"/>
          <w:szCs w:val="24"/>
        </w:rPr>
        <w:t>2019</w:t>
      </w:r>
      <w:r>
        <w:rPr>
          <w:rFonts w:hint="eastAsia" w:asciiTheme="minorEastAsia" w:hAnsiTheme="minorEastAsia" w:eastAsiaTheme="minorEastAsia" w:cstheme="minorEastAsia"/>
          <w:color w:val="auto"/>
          <w:sz w:val="24"/>
          <w:szCs w:val="24"/>
        </w:rPr>
        <w:t>年</w:t>
      </w:r>
      <w:r>
        <w:rPr>
          <w:rFonts w:hint="eastAsia" w:asciiTheme="minorEastAsia" w:hAnsiTheme="minorEastAsia" w:eastAsiaTheme="minorEastAsia" w:cstheme="minorEastAsia"/>
          <w:color w:val="auto"/>
          <w:spacing w:val="-4"/>
          <w:sz w:val="24"/>
          <w:szCs w:val="24"/>
        </w:rPr>
        <w:t>10</w:t>
      </w:r>
      <w:r>
        <w:rPr>
          <w:rFonts w:hint="eastAsia" w:asciiTheme="minorEastAsia" w:hAnsiTheme="minorEastAsia" w:eastAsiaTheme="minorEastAsia" w:cstheme="minorEastAsia"/>
          <w:color w:val="auto"/>
          <w:spacing w:val="-3"/>
          <w:sz w:val="24"/>
          <w:szCs w:val="24"/>
        </w:rPr>
        <w:t>月，省生态环境厅、农业</w:t>
      </w:r>
      <w:r>
        <w:rPr>
          <w:rFonts w:hint="eastAsia" w:asciiTheme="minorEastAsia" w:hAnsiTheme="minorEastAsia" w:eastAsiaTheme="minorEastAsia" w:cstheme="minorEastAsia"/>
          <w:color w:val="auto"/>
          <w:spacing w:val="-10"/>
          <w:sz w:val="24"/>
          <w:szCs w:val="24"/>
        </w:rPr>
        <w:t>农村厅、住房和城乡建设厅、水利厅联合印发《广东省农村生活</w:t>
      </w:r>
      <w:r>
        <w:rPr>
          <w:rFonts w:hint="eastAsia" w:asciiTheme="minorEastAsia" w:hAnsiTheme="minorEastAsia" w:eastAsiaTheme="minorEastAsia" w:cstheme="minorEastAsia"/>
          <w:color w:val="auto"/>
          <w:spacing w:val="-4"/>
          <w:sz w:val="24"/>
          <w:szCs w:val="24"/>
        </w:rPr>
        <w:t>污水治理攻坚实施方案</w:t>
      </w:r>
      <w:r>
        <w:rPr>
          <w:rFonts w:hint="eastAsia" w:asciiTheme="minorEastAsia" w:hAnsiTheme="minorEastAsia" w:eastAsiaTheme="minorEastAsia" w:cstheme="minorEastAsia"/>
          <w:color w:val="auto"/>
          <w:spacing w:val="-7"/>
          <w:sz w:val="24"/>
          <w:szCs w:val="24"/>
        </w:rPr>
        <w:t>（2019-2022）</w:t>
      </w:r>
      <w:r>
        <w:rPr>
          <w:rFonts w:hint="eastAsia" w:asciiTheme="minorEastAsia" w:hAnsiTheme="minorEastAsia" w:eastAsiaTheme="minorEastAsia" w:cstheme="minorEastAsia"/>
          <w:color w:val="auto"/>
          <w:spacing w:val="-3"/>
          <w:sz w:val="24"/>
          <w:szCs w:val="24"/>
        </w:rPr>
        <w:t>》，也对各地农村生活污</w:t>
      </w:r>
      <w:r>
        <w:rPr>
          <w:rFonts w:hint="eastAsia" w:asciiTheme="minorEastAsia" w:hAnsiTheme="minorEastAsia" w:eastAsiaTheme="minorEastAsia" w:cstheme="minorEastAsia"/>
          <w:color w:val="auto"/>
          <w:spacing w:val="-10"/>
          <w:sz w:val="24"/>
          <w:szCs w:val="24"/>
        </w:rPr>
        <w:t>水治理工作提出明确目标，要求各县（市、区）编制农村生活污水治理专项规划或方案。</w:t>
      </w:r>
    </w:p>
    <w:p>
      <w:pPr>
        <w:pStyle w:val="10"/>
        <w:spacing w:line="500" w:lineRule="exact"/>
        <w:ind w:firstLine="440" w:firstLineChars="200"/>
        <w:jc w:val="both"/>
        <w:rPr>
          <w:rFonts w:asciiTheme="minorEastAsia" w:hAnsiTheme="minorEastAsia" w:eastAsiaTheme="minorEastAsia" w:cstheme="minorEastAsia"/>
          <w:color w:val="auto"/>
          <w:spacing w:val="-10"/>
          <w:sz w:val="24"/>
          <w:szCs w:val="24"/>
        </w:rPr>
      </w:pPr>
      <w:r>
        <w:rPr>
          <w:rFonts w:hint="eastAsia" w:asciiTheme="minorEastAsia" w:hAnsiTheme="minorEastAsia" w:eastAsiaTheme="minorEastAsia" w:cstheme="minorEastAsia"/>
          <w:color w:val="auto"/>
          <w:spacing w:val="-10"/>
          <w:sz w:val="24"/>
          <w:szCs w:val="24"/>
        </w:rPr>
        <w:t>按照省委、省政府关于实施“三农”领域突出短板“九大攻</w:t>
      </w:r>
      <w:r>
        <w:rPr>
          <w:rFonts w:hint="eastAsia" w:asciiTheme="minorEastAsia" w:hAnsiTheme="minorEastAsia" w:eastAsiaTheme="minorEastAsia" w:cstheme="minorEastAsia"/>
          <w:color w:val="auto"/>
          <w:spacing w:val="-3"/>
          <w:sz w:val="24"/>
          <w:szCs w:val="24"/>
        </w:rPr>
        <w:t xml:space="preserve">坚”行动的部署， </w:t>
      </w:r>
      <w:r>
        <w:rPr>
          <w:rFonts w:hint="eastAsia" w:asciiTheme="minorEastAsia" w:hAnsiTheme="minorEastAsia" w:eastAsiaTheme="minorEastAsia" w:cstheme="minorEastAsia"/>
          <w:color w:val="auto"/>
          <w:spacing w:val="-7"/>
          <w:sz w:val="24"/>
          <w:szCs w:val="24"/>
        </w:rPr>
        <w:t>2021</w:t>
      </w:r>
      <w:r>
        <w:rPr>
          <w:rFonts w:hint="eastAsia" w:asciiTheme="minorEastAsia" w:hAnsiTheme="minorEastAsia" w:eastAsiaTheme="minorEastAsia" w:cstheme="minorEastAsia"/>
          <w:color w:val="auto"/>
          <w:spacing w:val="-1"/>
          <w:sz w:val="24"/>
          <w:szCs w:val="24"/>
        </w:rPr>
        <w:t>年</w:t>
      </w:r>
      <w:r>
        <w:rPr>
          <w:rFonts w:hint="eastAsia" w:asciiTheme="minorEastAsia" w:hAnsiTheme="minorEastAsia" w:eastAsiaTheme="minorEastAsia" w:cstheme="minorEastAsia"/>
          <w:color w:val="auto"/>
          <w:sz w:val="24"/>
          <w:szCs w:val="24"/>
        </w:rPr>
        <w:t>9</w:t>
      </w:r>
      <w:r>
        <w:rPr>
          <w:rFonts w:hint="eastAsia" w:asciiTheme="minorEastAsia" w:hAnsiTheme="minorEastAsia" w:eastAsiaTheme="minorEastAsia" w:cstheme="minorEastAsia"/>
          <w:color w:val="auto"/>
          <w:spacing w:val="-3"/>
          <w:sz w:val="24"/>
          <w:szCs w:val="24"/>
        </w:rPr>
        <w:t>月广东省人民政府发布了《深化</w:t>
      </w:r>
      <w:r>
        <w:rPr>
          <w:rFonts w:hint="eastAsia" w:asciiTheme="minorEastAsia" w:hAnsiTheme="minorEastAsia" w:eastAsiaTheme="minorEastAsia" w:cstheme="minorEastAsia"/>
          <w:color w:val="auto"/>
          <w:spacing w:val="-10"/>
          <w:sz w:val="24"/>
          <w:szCs w:val="24"/>
        </w:rPr>
        <w:t>我省农村生活污水治理攻坚行动方案的指导意见》，明确要求各地市要组织编制农村生活污水治理攻坚行动方案，并同步开展各县</w:t>
      </w:r>
      <w:r>
        <w:rPr>
          <w:rFonts w:hint="eastAsia" w:asciiTheme="minorEastAsia" w:hAnsiTheme="minorEastAsia" w:eastAsiaTheme="minorEastAsia" w:cstheme="minorEastAsia"/>
          <w:color w:val="auto"/>
          <w:spacing w:val="-8"/>
          <w:sz w:val="24"/>
          <w:szCs w:val="24"/>
        </w:rPr>
        <w:t>（</w:t>
      </w:r>
      <w:r>
        <w:rPr>
          <w:rFonts w:hint="eastAsia" w:asciiTheme="minorEastAsia" w:hAnsiTheme="minorEastAsia" w:eastAsiaTheme="minorEastAsia" w:cstheme="minorEastAsia"/>
          <w:color w:val="auto"/>
          <w:spacing w:val="-10"/>
          <w:sz w:val="24"/>
          <w:szCs w:val="24"/>
        </w:rPr>
        <w:t>市、区）县域农村生活污水治理专项规划，按照“一村一策”的要求，在开展全面调查，摸清底数的基础上，因地制宜，实事</w:t>
      </w:r>
      <w:r>
        <w:rPr>
          <w:rFonts w:hint="eastAsia" w:asciiTheme="minorEastAsia" w:hAnsiTheme="minorEastAsia" w:eastAsiaTheme="minorEastAsia" w:cstheme="minorEastAsia"/>
          <w:color w:val="auto"/>
          <w:spacing w:val="-5"/>
          <w:sz w:val="24"/>
          <w:szCs w:val="24"/>
        </w:rPr>
        <w:t>求是确定治理模式，根据村庄治理需求和环境敏感程度，确定</w:t>
      </w:r>
      <w:r>
        <w:rPr>
          <w:rFonts w:hint="eastAsia" w:asciiTheme="minorEastAsia" w:hAnsiTheme="minorEastAsia" w:eastAsiaTheme="minorEastAsia" w:cstheme="minorEastAsia"/>
          <w:color w:val="auto"/>
          <w:spacing w:val="-8"/>
          <w:sz w:val="24"/>
          <w:szCs w:val="24"/>
        </w:rPr>
        <w:t>治理时序。</w:t>
      </w:r>
    </w:p>
    <w:p>
      <w:pPr>
        <w:pStyle w:val="3"/>
        <w:numPr>
          <w:ilvl w:val="1"/>
          <w:numId w:val="2"/>
        </w:numPr>
        <w:tabs>
          <w:tab w:val="left" w:pos="1248"/>
        </w:tabs>
        <w:adjustRightInd/>
        <w:snapToGrid/>
        <w:spacing w:line="500" w:lineRule="exact"/>
        <w:jc w:val="both"/>
        <w:rPr>
          <w:rFonts w:asciiTheme="minorEastAsia" w:hAnsiTheme="minorEastAsia" w:eastAsiaTheme="minorEastAsia" w:cstheme="minorEastAsia"/>
          <w:color w:val="auto"/>
          <w:sz w:val="24"/>
          <w:szCs w:val="24"/>
        </w:rPr>
      </w:pPr>
      <w:bookmarkStart w:id="5" w:name="_Toc17196"/>
      <w:bookmarkStart w:id="6" w:name="_Toc7868"/>
      <w:r>
        <w:rPr>
          <w:rFonts w:hint="eastAsia" w:asciiTheme="minorEastAsia" w:hAnsiTheme="minorEastAsia" w:eastAsiaTheme="minorEastAsia" w:cstheme="minorEastAsia"/>
          <w:color w:val="auto"/>
          <w:sz w:val="24"/>
          <w:szCs w:val="24"/>
        </w:rPr>
        <w:t>项目名称</w:t>
      </w:r>
      <w:bookmarkEnd w:id="5"/>
      <w:bookmarkEnd w:id="6"/>
    </w:p>
    <w:p>
      <w:pPr>
        <w:pStyle w:val="10"/>
        <w:spacing w:line="500" w:lineRule="exact"/>
        <w:ind w:firstLine="440" w:firstLineChars="200"/>
        <w:jc w:val="both"/>
        <w:rPr>
          <w:rFonts w:asciiTheme="minorEastAsia" w:hAnsiTheme="minorEastAsia" w:eastAsiaTheme="minorEastAsia" w:cstheme="minorEastAsia"/>
          <w:color w:val="auto"/>
          <w:spacing w:val="-10"/>
          <w:sz w:val="24"/>
          <w:szCs w:val="24"/>
        </w:rPr>
      </w:pPr>
      <w:r>
        <w:rPr>
          <w:rFonts w:hint="eastAsia" w:asciiTheme="minorEastAsia" w:hAnsiTheme="minorEastAsia" w:eastAsiaTheme="minorEastAsia" w:cstheme="minorEastAsia"/>
          <w:color w:val="auto"/>
          <w:spacing w:val="-10"/>
          <w:sz w:val="24"/>
          <w:szCs w:val="24"/>
          <w:lang w:eastAsia="zh-CN"/>
        </w:rPr>
        <w:t>罗定市农村生活污水治理建设项目可行性研究报告（修编）</w:t>
      </w:r>
      <w:r>
        <w:rPr>
          <w:rFonts w:hint="eastAsia" w:asciiTheme="minorEastAsia" w:hAnsiTheme="minorEastAsia" w:eastAsiaTheme="minorEastAsia" w:cstheme="minorEastAsia"/>
          <w:color w:val="auto"/>
          <w:spacing w:val="-10"/>
          <w:sz w:val="24"/>
          <w:szCs w:val="24"/>
        </w:rPr>
        <w:t>。</w:t>
      </w:r>
    </w:p>
    <w:p>
      <w:pPr>
        <w:pStyle w:val="3"/>
        <w:numPr>
          <w:ilvl w:val="1"/>
          <w:numId w:val="2"/>
        </w:numPr>
        <w:tabs>
          <w:tab w:val="left" w:pos="1248"/>
        </w:tabs>
        <w:adjustRightInd/>
        <w:snapToGrid/>
        <w:spacing w:line="500" w:lineRule="exact"/>
        <w:jc w:val="both"/>
        <w:rPr>
          <w:rFonts w:asciiTheme="minorEastAsia" w:hAnsiTheme="minorEastAsia" w:eastAsiaTheme="minorEastAsia" w:cstheme="minorEastAsia"/>
          <w:color w:val="auto"/>
          <w:sz w:val="24"/>
          <w:szCs w:val="24"/>
        </w:rPr>
      </w:pPr>
      <w:bookmarkStart w:id="7" w:name="_Toc32278"/>
      <w:bookmarkStart w:id="8" w:name="_Toc11762"/>
      <w:r>
        <w:rPr>
          <w:rFonts w:hint="eastAsia" w:asciiTheme="minorEastAsia" w:hAnsiTheme="minorEastAsia" w:eastAsiaTheme="minorEastAsia" w:cstheme="minorEastAsia"/>
          <w:color w:val="auto"/>
          <w:sz w:val="24"/>
          <w:szCs w:val="24"/>
        </w:rPr>
        <w:t>实施机构</w:t>
      </w:r>
      <w:bookmarkEnd w:id="7"/>
      <w:bookmarkEnd w:id="8"/>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项目实施机构为云浮市生态环境局罗定分局（以下简称“罗定分局”）。</w:t>
      </w:r>
    </w:p>
    <w:p>
      <w:pPr>
        <w:pStyle w:val="3"/>
        <w:numPr>
          <w:ilvl w:val="1"/>
          <w:numId w:val="2"/>
        </w:numPr>
        <w:tabs>
          <w:tab w:val="left" w:pos="1248"/>
        </w:tabs>
        <w:adjustRightInd/>
        <w:snapToGrid/>
        <w:spacing w:line="500" w:lineRule="exact"/>
        <w:jc w:val="both"/>
        <w:rPr>
          <w:rFonts w:asciiTheme="minorEastAsia" w:hAnsiTheme="minorEastAsia" w:eastAsiaTheme="minorEastAsia" w:cstheme="minorEastAsia"/>
          <w:color w:val="auto"/>
          <w:sz w:val="24"/>
          <w:szCs w:val="24"/>
        </w:rPr>
      </w:pPr>
      <w:bookmarkStart w:id="9" w:name="_Toc8323"/>
      <w:bookmarkStart w:id="10" w:name="_Toc28442"/>
      <w:r>
        <w:rPr>
          <w:rFonts w:hint="eastAsia" w:asciiTheme="minorEastAsia" w:hAnsiTheme="minorEastAsia" w:eastAsiaTheme="minorEastAsia" w:cstheme="minorEastAsia"/>
          <w:color w:val="auto"/>
          <w:sz w:val="24"/>
          <w:szCs w:val="24"/>
        </w:rPr>
        <w:t>工作过程</w:t>
      </w:r>
      <w:bookmarkEnd w:id="9"/>
      <w:bookmarkEnd w:id="10"/>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广东省水利水电科学研究院受云浮市生态环境局罗定分局委托，担任</w:t>
      </w:r>
      <w:r>
        <w:rPr>
          <w:rFonts w:hint="eastAsia" w:asciiTheme="minorEastAsia" w:hAnsiTheme="minorEastAsia" w:eastAsiaTheme="minorEastAsia" w:cstheme="minorEastAsia"/>
          <w:color w:val="auto"/>
          <w:spacing w:val="-5"/>
          <w:sz w:val="24"/>
          <w:szCs w:val="24"/>
          <w:lang w:eastAsia="zh-CN"/>
        </w:rPr>
        <w:t>罗定市农村生活污水治理建设项目可行性研究报告（修编）</w:t>
      </w:r>
      <w:r>
        <w:rPr>
          <w:rFonts w:hint="eastAsia" w:asciiTheme="minorEastAsia" w:hAnsiTheme="minorEastAsia" w:eastAsiaTheme="minorEastAsia" w:cstheme="minorEastAsia"/>
          <w:color w:val="auto"/>
          <w:spacing w:val="-5"/>
          <w:sz w:val="24"/>
          <w:szCs w:val="24"/>
        </w:rPr>
        <w:t>编制单位。</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2022年10月下旬，广东省水利水电科学研究院相关技术人员参与由云浮市生态环境局罗定分局相关负责人组织的项目建设动员大会，开展项目的启动和对接工作，向各相关部门及乡镇负责人员分析</w:t>
      </w:r>
      <w:r>
        <w:rPr>
          <w:rFonts w:hint="eastAsia" w:asciiTheme="minorEastAsia" w:hAnsiTheme="minorEastAsia" w:eastAsiaTheme="minorEastAsia" w:cstheme="minorEastAsia"/>
          <w:color w:val="auto"/>
          <w:spacing w:val="-5"/>
          <w:sz w:val="24"/>
          <w:szCs w:val="24"/>
          <w:lang w:eastAsia="zh-CN"/>
        </w:rPr>
        <w:t>罗定市农村生活污水治理建设项目可行性研究</w:t>
      </w:r>
      <w:r>
        <w:rPr>
          <w:rFonts w:hint="eastAsia" w:asciiTheme="minorEastAsia" w:hAnsiTheme="minorEastAsia" w:eastAsiaTheme="minorEastAsia" w:cstheme="minorEastAsia"/>
          <w:color w:val="auto"/>
          <w:spacing w:val="-5"/>
          <w:sz w:val="24"/>
          <w:szCs w:val="24"/>
        </w:rPr>
        <w:t>开展基础调研工作。本次调研工作以《罗定市农村生活污水治理专项规划（2021-2025年）》的要求为出发点，走访了全市共3个街道（素龙街道、附城街道、双东街道）、17个镇（罗镜镇、太平镇、分界镇、罗平镇、船步镇、满塘镇、苹塘镇、金鸡镇、围底镇、华石镇、榃滨镇、黎少镇、生江镇、连州镇、泗纶镇、加益镇、龙湾镇），与各镇街政府相关负责人和村干部座谈交流，充分听取各镇街政府相关负责人及村干部关于镇区、农村污水处理设施建设的意见和建议。在农村地区，通过与村干部座谈交流和村民走访，全面掌握罗定市农村供水情况、村民用水习惯及农村排水体制，并就农村污水处理设施选址提出专业性建议，让各村镇干部进一步明确农村污水处理设施选点原则。</w:t>
      </w:r>
    </w:p>
    <w:p>
      <w:pPr>
        <w:pStyle w:val="10"/>
        <w:spacing w:line="500" w:lineRule="exact"/>
        <w:ind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本报告的编制得到了罗定市人民政府、云浮市生态环境局罗定分局、罗定市发展和改革局、罗定市自然资源局、罗定市住房和城乡建设局、罗定市水务局、罗定市农业农村局，罗定市财政局以及各镇人民政府、各街道办事处等的积极配合与大力支持，在此表达由衷感谢！</w:t>
      </w:r>
    </w:p>
    <w:p>
      <w:pPr>
        <w:spacing w:line="500" w:lineRule="exact"/>
        <w:ind w:firstLine="480" w:firstLineChars="200"/>
        <w:jc w:val="both"/>
        <w:rPr>
          <w:rFonts w:asciiTheme="minorEastAsia" w:hAnsiTheme="minorEastAsia" w:eastAsiaTheme="minorEastAsia" w:cstheme="minorEastAsia"/>
          <w:color w:val="auto"/>
          <w:sz w:val="24"/>
          <w:szCs w:val="24"/>
        </w:rPr>
        <w:sectPr>
          <w:footerReference r:id="rId6" w:type="default"/>
          <w:type w:val="nextColumn"/>
          <w:pgSz w:w="11910" w:h="16840"/>
          <w:pgMar w:top="1418" w:right="1418" w:bottom="1418" w:left="1701" w:header="0" w:footer="512" w:gutter="0"/>
          <w:cols w:space="720" w:num="1"/>
        </w:sectPr>
      </w:pPr>
    </w:p>
    <w:p>
      <w:pPr>
        <w:pStyle w:val="3"/>
        <w:numPr>
          <w:ilvl w:val="1"/>
          <w:numId w:val="2"/>
        </w:numPr>
        <w:tabs>
          <w:tab w:val="left" w:pos="1248"/>
        </w:tabs>
        <w:adjustRightInd/>
        <w:snapToGrid/>
        <w:spacing w:line="500" w:lineRule="exact"/>
        <w:jc w:val="both"/>
        <w:rPr>
          <w:rFonts w:asciiTheme="minorEastAsia" w:hAnsiTheme="minorEastAsia" w:eastAsiaTheme="minorEastAsia" w:cstheme="minorEastAsia"/>
          <w:color w:val="auto"/>
          <w:sz w:val="24"/>
          <w:szCs w:val="24"/>
        </w:rPr>
      </w:pPr>
      <w:bookmarkStart w:id="11" w:name="_Toc13381"/>
      <w:bookmarkStart w:id="12" w:name="_Toc5017"/>
      <w:r>
        <w:rPr>
          <w:rFonts w:hint="eastAsia" w:asciiTheme="minorEastAsia" w:hAnsiTheme="minorEastAsia" w:eastAsiaTheme="minorEastAsia" w:cstheme="minorEastAsia"/>
          <w:color w:val="auto"/>
          <w:sz w:val="24"/>
          <w:szCs w:val="24"/>
        </w:rPr>
        <w:t>编制依据</w:t>
      </w:r>
      <w:bookmarkEnd w:id="11"/>
      <w:bookmarkEnd w:id="12"/>
    </w:p>
    <w:p>
      <w:pPr>
        <w:pStyle w:val="32"/>
        <w:numPr>
          <w:ilvl w:val="2"/>
          <w:numId w:val="2"/>
        </w:numPr>
        <w:tabs>
          <w:tab w:val="left" w:pos="1496"/>
          <w:tab w:val="left" w:pos="858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法律法规及有关政府文件</w:t>
      </w:r>
    </w:p>
    <w:p>
      <w:pPr>
        <w:pStyle w:val="10"/>
        <w:spacing w:line="500" w:lineRule="exact"/>
        <w:ind w:firstLine="460" w:firstLineChars="200"/>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1</w:t>
      </w:r>
      <w:r>
        <w:rPr>
          <w:rFonts w:hint="eastAsia" w:asciiTheme="minorEastAsia" w:hAnsiTheme="minorEastAsia" w:eastAsiaTheme="minorEastAsia" w:cstheme="minorEastAsia"/>
          <w:color w:val="auto"/>
          <w:spacing w:val="-5"/>
          <w:sz w:val="24"/>
          <w:szCs w:val="24"/>
        </w:rPr>
        <w:t>）《中华人民共和国环境保护法》（2015年1月1日）；</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2</w:t>
      </w:r>
      <w:r>
        <w:rPr>
          <w:rFonts w:hint="eastAsia" w:asciiTheme="minorEastAsia" w:hAnsiTheme="minorEastAsia" w:eastAsiaTheme="minorEastAsia" w:cstheme="minorEastAsia"/>
          <w:color w:val="auto"/>
          <w:spacing w:val="-5"/>
          <w:sz w:val="24"/>
          <w:szCs w:val="24"/>
        </w:rPr>
        <w:t>）《中华人民共和国水污染防治法》（2018年1月1日）；</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3</w:t>
      </w:r>
      <w:r>
        <w:rPr>
          <w:rFonts w:hint="eastAsia" w:asciiTheme="minorEastAsia" w:hAnsiTheme="minorEastAsia" w:eastAsiaTheme="minorEastAsia" w:cstheme="minorEastAsia"/>
          <w:color w:val="auto"/>
          <w:spacing w:val="-5"/>
          <w:sz w:val="24"/>
          <w:szCs w:val="24"/>
        </w:rPr>
        <w:t>）《中华人民共和国水法》（2016年7月2日修订）；</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4</w:t>
      </w:r>
      <w:r>
        <w:rPr>
          <w:rFonts w:hint="eastAsia" w:asciiTheme="minorEastAsia" w:hAnsiTheme="minorEastAsia" w:eastAsiaTheme="minorEastAsia" w:cstheme="minorEastAsia"/>
          <w:color w:val="auto"/>
          <w:spacing w:val="-5"/>
          <w:sz w:val="24"/>
          <w:szCs w:val="24"/>
        </w:rPr>
        <w:t>）《中华人民共和国城乡规划法》（2019年修正版）；</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5</w:t>
      </w:r>
      <w:r>
        <w:rPr>
          <w:rFonts w:hint="eastAsia" w:asciiTheme="minorEastAsia" w:hAnsiTheme="minorEastAsia" w:eastAsiaTheme="minorEastAsia" w:cstheme="minorEastAsia"/>
          <w:color w:val="auto"/>
          <w:spacing w:val="-5"/>
          <w:sz w:val="24"/>
          <w:szCs w:val="24"/>
        </w:rPr>
        <w:t>）《中华人民共和国国土管理法》（2020修订版）；</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6</w:t>
      </w:r>
      <w:r>
        <w:rPr>
          <w:rFonts w:hint="eastAsia" w:asciiTheme="minorEastAsia" w:hAnsiTheme="minorEastAsia" w:eastAsiaTheme="minorEastAsia" w:cstheme="minorEastAsia"/>
          <w:color w:val="auto"/>
          <w:spacing w:val="-5"/>
          <w:sz w:val="24"/>
          <w:szCs w:val="24"/>
        </w:rPr>
        <w:t>）《建设工程质量管理条例》（2017年10月修正版）；</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7</w:t>
      </w:r>
      <w:r>
        <w:rPr>
          <w:rFonts w:hint="eastAsia" w:asciiTheme="minorEastAsia" w:hAnsiTheme="minorEastAsia" w:eastAsiaTheme="minorEastAsia" w:cstheme="minorEastAsia"/>
          <w:color w:val="auto"/>
          <w:spacing w:val="-5"/>
          <w:sz w:val="24"/>
          <w:szCs w:val="24"/>
        </w:rPr>
        <w:t>）《城镇排水与污水处理条例》（2013年10月2日） ；</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8</w:t>
      </w:r>
      <w:r>
        <w:rPr>
          <w:rFonts w:hint="eastAsia" w:asciiTheme="minorEastAsia" w:hAnsiTheme="minorEastAsia" w:eastAsiaTheme="minorEastAsia" w:cstheme="minorEastAsia"/>
          <w:color w:val="auto"/>
          <w:spacing w:val="-5"/>
          <w:sz w:val="24"/>
          <w:szCs w:val="24"/>
        </w:rPr>
        <w:t>）《广东省建设工程质量管理条例》（2017年修正版）；</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9</w:t>
      </w:r>
      <w:r>
        <w:rPr>
          <w:rFonts w:hint="eastAsia" w:asciiTheme="minorEastAsia" w:hAnsiTheme="minorEastAsia" w:eastAsiaTheme="minorEastAsia" w:cstheme="minorEastAsia"/>
          <w:color w:val="auto"/>
          <w:spacing w:val="-5"/>
          <w:sz w:val="24"/>
          <w:szCs w:val="24"/>
        </w:rPr>
        <w:t>）《工程建设标准强制性条文（城镇建设部分）》（2013年版）；</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10</w:t>
      </w:r>
      <w:r>
        <w:rPr>
          <w:rFonts w:hint="eastAsia" w:asciiTheme="minorEastAsia" w:hAnsiTheme="minorEastAsia" w:eastAsiaTheme="minorEastAsia" w:cstheme="minorEastAsia"/>
          <w:color w:val="auto"/>
          <w:spacing w:val="-5"/>
          <w:sz w:val="24"/>
          <w:szCs w:val="24"/>
        </w:rPr>
        <w:t>）《工程建设标准强制性条文（工业建筑部分）》（2013年版）；</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11</w:t>
      </w:r>
      <w:r>
        <w:rPr>
          <w:rFonts w:hint="eastAsia" w:asciiTheme="minorEastAsia" w:hAnsiTheme="minorEastAsia" w:eastAsiaTheme="minorEastAsia" w:cstheme="minorEastAsia"/>
          <w:color w:val="auto"/>
          <w:spacing w:val="-5"/>
          <w:sz w:val="24"/>
          <w:szCs w:val="24"/>
        </w:rPr>
        <w:t>）《水污染防治行动计划》（2015年）；</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12</w:t>
      </w:r>
      <w:r>
        <w:rPr>
          <w:rFonts w:hint="eastAsia" w:asciiTheme="minorEastAsia" w:hAnsiTheme="minorEastAsia" w:eastAsiaTheme="minorEastAsia" w:cstheme="minorEastAsia"/>
          <w:color w:val="auto"/>
          <w:spacing w:val="-5"/>
          <w:sz w:val="24"/>
          <w:szCs w:val="24"/>
        </w:rPr>
        <w:t>）《南粤水更清行动计划（2013~2020年）》；</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13</w:t>
      </w:r>
      <w:r>
        <w:rPr>
          <w:rFonts w:hint="eastAsia" w:asciiTheme="minorEastAsia" w:hAnsiTheme="minorEastAsia" w:eastAsiaTheme="minorEastAsia" w:cstheme="minorEastAsia"/>
          <w:color w:val="auto"/>
          <w:spacing w:val="-5"/>
          <w:sz w:val="24"/>
          <w:szCs w:val="24"/>
        </w:rPr>
        <w:t>）《中华人民共和国水土保持法》（2010年12月25日修订）；</w:t>
      </w:r>
    </w:p>
    <w:p>
      <w:pPr>
        <w:pStyle w:val="10"/>
        <w:spacing w:line="500" w:lineRule="exact"/>
        <w:ind w:left="1130" w:leftChars="200" w:hanging="690" w:hangingChars="3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14</w:t>
      </w:r>
      <w:r>
        <w:rPr>
          <w:rFonts w:hint="eastAsia" w:asciiTheme="minorEastAsia" w:hAnsiTheme="minorEastAsia" w:eastAsiaTheme="minorEastAsia" w:cstheme="minorEastAsia"/>
          <w:color w:val="auto"/>
          <w:spacing w:val="-5"/>
          <w:sz w:val="24"/>
          <w:szCs w:val="24"/>
        </w:rPr>
        <w:t>）《加快推进粤东西北地区新一轮生活污水和垃圾处理设施建设实施方案》（粤建城〔2015〕242号）；</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15</w:t>
      </w:r>
      <w:r>
        <w:rPr>
          <w:rFonts w:hint="eastAsia" w:asciiTheme="minorEastAsia" w:hAnsiTheme="minorEastAsia" w:eastAsiaTheme="minorEastAsia" w:cstheme="minorEastAsia"/>
          <w:color w:val="auto"/>
          <w:spacing w:val="-5"/>
          <w:sz w:val="24"/>
          <w:szCs w:val="24"/>
        </w:rPr>
        <w:t>）《城市规划编制办法》（建设部令第146号）；</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16</w:t>
      </w:r>
      <w:r>
        <w:rPr>
          <w:rFonts w:hint="eastAsia" w:asciiTheme="minorEastAsia" w:hAnsiTheme="minorEastAsia" w:eastAsiaTheme="minorEastAsia" w:cstheme="minorEastAsia"/>
          <w:color w:val="auto"/>
          <w:spacing w:val="-5"/>
          <w:sz w:val="24"/>
          <w:szCs w:val="24"/>
        </w:rPr>
        <w:t>）《广东省饮用水源水质保护条例》（2018</w:t>
      </w:r>
      <w:r>
        <w:rPr>
          <w:rFonts w:hint="eastAsia" w:asciiTheme="minorEastAsia" w:hAnsiTheme="minorEastAsia" w:eastAsiaTheme="minorEastAsia" w:cstheme="minorEastAsia"/>
          <w:color w:val="auto"/>
          <w:spacing w:val="-5"/>
          <w:sz w:val="24"/>
          <w:szCs w:val="24"/>
          <w:lang w:val="en-US"/>
        </w:rPr>
        <w:t>年</w:t>
      </w:r>
      <w:r>
        <w:rPr>
          <w:rFonts w:hint="eastAsia" w:asciiTheme="minorEastAsia" w:hAnsiTheme="minorEastAsia" w:eastAsiaTheme="minorEastAsia" w:cstheme="minorEastAsia"/>
          <w:color w:val="auto"/>
          <w:spacing w:val="-5"/>
          <w:sz w:val="24"/>
          <w:szCs w:val="24"/>
        </w:rPr>
        <w:t>11月29日修订）；</w:t>
      </w:r>
    </w:p>
    <w:p>
      <w:pPr>
        <w:pStyle w:val="10"/>
        <w:spacing w:line="500" w:lineRule="exact"/>
        <w:ind w:left="1130" w:leftChars="200" w:hanging="690" w:hangingChars="3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17</w:t>
      </w:r>
      <w:r>
        <w:rPr>
          <w:rFonts w:hint="eastAsia" w:asciiTheme="minorEastAsia" w:hAnsiTheme="minorEastAsia" w:eastAsiaTheme="minorEastAsia" w:cstheme="minorEastAsia"/>
          <w:color w:val="auto"/>
          <w:spacing w:val="-5"/>
          <w:sz w:val="24"/>
          <w:szCs w:val="24"/>
        </w:rPr>
        <w:t>）《广东省住房和城乡建设厅关于加强整县推进村镇污水处理设施建设管理的通知》（粤建村函〔2017〕2242号）；</w:t>
      </w:r>
    </w:p>
    <w:p>
      <w:pPr>
        <w:pStyle w:val="10"/>
        <w:spacing w:line="500" w:lineRule="exact"/>
        <w:ind w:left="1130" w:leftChars="200" w:hanging="690" w:hangingChars="3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18</w:t>
      </w:r>
      <w:r>
        <w:rPr>
          <w:rFonts w:hint="eastAsia" w:asciiTheme="minorEastAsia" w:hAnsiTheme="minorEastAsia" w:eastAsiaTheme="minorEastAsia" w:cstheme="minorEastAsia"/>
          <w:color w:val="auto"/>
          <w:spacing w:val="-5"/>
          <w:sz w:val="24"/>
          <w:szCs w:val="24"/>
        </w:rPr>
        <w:t>）《关于全域推进农村人居环境整治建设生态宜居美丽乡村的实施方案》（粤办发〔2018〕21号文）；</w:t>
      </w:r>
    </w:p>
    <w:p>
      <w:pPr>
        <w:pStyle w:val="10"/>
        <w:spacing w:line="500" w:lineRule="exact"/>
        <w:ind w:left="1130" w:leftChars="200" w:hanging="690" w:hangingChars="3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19</w:t>
      </w:r>
      <w:r>
        <w:rPr>
          <w:rFonts w:hint="eastAsia" w:asciiTheme="minorEastAsia" w:hAnsiTheme="minorEastAsia" w:eastAsiaTheme="minorEastAsia" w:cstheme="minorEastAsia"/>
          <w:color w:val="auto"/>
          <w:spacing w:val="-5"/>
          <w:sz w:val="24"/>
          <w:szCs w:val="24"/>
        </w:rPr>
        <w:t>）《广东省农村生活污水治理攻坚实施方案（2019-2022年）》的通知（粤环函〔2019〕1116号）；</w:t>
      </w:r>
    </w:p>
    <w:p>
      <w:pPr>
        <w:pStyle w:val="10"/>
        <w:spacing w:line="500" w:lineRule="exact"/>
        <w:ind w:left="1130" w:leftChars="200" w:hanging="690" w:hangingChars="3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20</w:t>
      </w:r>
      <w:r>
        <w:rPr>
          <w:rFonts w:hint="eastAsia" w:asciiTheme="minorEastAsia" w:hAnsiTheme="minorEastAsia" w:eastAsiaTheme="minorEastAsia" w:cstheme="minorEastAsia"/>
          <w:color w:val="auto"/>
          <w:spacing w:val="-5"/>
          <w:sz w:val="24"/>
          <w:szCs w:val="24"/>
        </w:rPr>
        <w:t>）《云浮市打赢农业农村污染治理攻坚战工作计划》的通知（云环[2019]87 号）；</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21</w:t>
      </w:r>
      <w:r>
        <w:rPr>
          <w:rFonts w:hint="eastAsia" w:asciiTheme="minorEastAsia" w:hAnsiTheme="minorEastAsia" w:eastAsiaTheme="minorEastAsia" w:cstheme="minorEastAsia"/>
          <w:color w:val="auto"/>
          <w:spacing w:val="-5"/>
          <w:sz w:val="24"/>
          <w:szCs w:val="24"/>
        </w:rPr>
        <w:t>）《云浮市城镇生活污水处理设施建设“三年攻坚”行动方案年）》；</w:t>
      </w:r>
    </w:p>
    <w:p>
      <w:pPr>
        <w:pStyle w:val="10"/>
        <w:spacing w:line="500" w:lineRule="exact"/>
        <w:ind w:left="900" w:leftChars="200" w:hanging="460" w:hanging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22</w:t>
      </w:r>
      <w:r>
        <w:rPr>
          <w:rFonts w:hint="eastAsia" w:asciiTheme="minorEastAsia" w:hAnsiTheme="minorEastAsia" w:eastAsiaTheme="minorEastAsia" w:cstheme="minorEastAsia"/>
          <w:color w:val="auto"/>
          <w:spacing w:val="-5"/>
          <w:sz w:val="24"/>
          <w:szCs w:val="24"/>
        </w:rPr>
        <w:t>）关于印发实施《云浮市城镇生活污水处理设施建设“三 年攻坚”行动方 案（2018-2020年）》通知（云建通[2018]79号）；</w:t>
      </w:r>
    </w:p>
    <w:p>
      <w:pPr>
        <w:pStyle w:val="10"/>
        <w:spacing w:line="500" w:lineRule="exact"/>
        <w:ind w:left="1130" w:leftChars="200" w:hanging="690" w:hangingChars="3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23</w:t>
      </w:r>
      <w:r>
        <w:rPr>
          <w:rFonts w:hint="eastAsia" w:asciiTheme="minorEastAsia" w:hAnsiTheme="minorEastAsia" w:eastAsiaTheme="minorEastAsia" w:cstheme="minorEastAsia"/>
          <w:color w:val="auto"/>
          <w:spacing w:val="-5"/>
          <w:sz w:val="24"/>
          <w:szCs w:val="24"/>
        </w:rPr>
        <w:t>）广东省生态环境厅广东省农业农村厅关于印发《广东省打赢农业农村污染治理攻坚战实施》方案的通知（粤环发〔2019〕3号）；</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24</w:t>
      </w:r>
      <w:r>
        <w:rPr>
          <w:rFonts w:hint="eastAsia" w:asciiTheme="minorEastAsia" w:hAnsiTheme="minorEastAsia" w:eastAsiaTheme="minorEastAsia" w:cstheme="minorEastAsia"/>
          <w:color w:val="auto"/>
          <w:spacing w:val="-5"/>
          <w:sz w:val="24"/>
          <w:szCs w:val="24"/>
        </w:rPr>
        <w:t>）《关于印发水污染防治行动计划的通知》（国发〔2015〕17号）；</w:t>
      </w:r>
    </w:p>
    <w:p>
      <w:pPr>
        <w:pStyle w:val="10"/>
        <w:spacing w:line="500" w:lineRule="exact"/>
        <w:ind w:left="1130" w:leftChars="200" w:hanging="690" w:hangingChars="3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25</w:t>
      </w:r>
      <w:r>
        <w:rPr>
          <w:rFonts w:hint="eastAsia" w:asciiTheme="minorEastAsia" w:hAnsiTheme="minorEastAsia" w:eastAsiaTheme="minorEastAsia" w:cstheme="minorEastAsia"/>
          <w:color w:val="auto"/>
          <w:spacing w:val="-5"/>
          <w:sz w:val="24"/>
          <w:szCs w:val="24"/>
        </w:rPr>
        <w:t>）《中共中央国务院关于实施乡村振兴战略的意见》（中农发〔2018〕1 号）；</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26</w:t>
      </w:r>
      <w:r>
        <w:rPr>
          <w:rFonts w:hint="eastAsia" w:asciiTheme="minorEastAsia" w:hAnsiTheme="minorEastAsia" w:eastAsiaTheme="minorEastAsia" w:cstheme="minorEastAsia"/>
          <w:color w:val="auto"/>
          <w:spacing w:val="-5"/>
          <w:sz w:val="24"/>
          <w:szCs w:val="24"/>
        </w:rPr>
        <w:t>）《农村人居环境整治三年行动方案》（2018年2月实施）；</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27</w:t>
      </w:r>
      <w:r>
        <w:rPr>
          <w:rFonts w:hint="eastAsia" w:asciiTheme="minorEastAsia" w:hAnsiTheme="minorEastAsia" w:eastAsiaTheme="minorEastAsia" w:cstheme="minorEastAsia"/>
          <w:color w:val="auto"/>
          <w:spacing w:val="-5"/>
          <w:sz w:val="24"/>
          <w:szCs w:val="24"/>
        </w:rPr>
        <w:t>）《乡村振兴战略规划（2018-2022 年）》（2018年9月）；</w:t>
      </w:r>
    </w:p>
    <w:p>
      <w:pPr>
        <w:pStyle w:val="10"/>
        <w:spacing w:line="500" w:lineRule="exact"/>
        <w:ind w:left="1130" w:leftChars="200" w:hanging="690" w:hangingChars="3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28</w:t>
      </w:r>
      <w:r>
        <w:rPr>
          <w:rFonts w:hint="eastAsia" w:asciiTheme="minorEastAsia" w:hAnsiTheme="minorEastAsia" w:eastAsiaTheme="minorEastAsia" w:cstheme="minorEastAsia"/>
          <w:color w:val="auto"/>
          <w:spacing w:val="-5"/>
          <w:sz w:val="24"/>
          <w:szCs w:val="24"/>
        </w:rPr>
        <w:t>）《关于全面加强生态环境保护坚决打好污染防治攻坚战的意见》（中发〔2018〕17号）；</w:t>
      </w:r>
    </w:p>
    <w:p>
      <w:pPr>
        <w:pStyle w:val="10"/>
        <w:spacing w:line="500" w:lineRule="exact"/>
        <w:ind w:left="1130" w:leftChars="200" w:hanging="690" w:hangingChars="3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29</w:t>
      </w:r>
      <w:r>
        <w:rPr>
          <w:rFonts w:hint="eastAsia" w:asciiTheme="minorEastAsia" w:hAnsiTheme="minorEastAsia" w:eastAsiaTheme="minorEastAsia" w:cstheme="minorEastAsia"/>
          <w:color w:val="auto"/>
          <w:spacing w:val="-5"/>
          <w:sz w:val="24"/>
          <w:szCs w:val="24"/>
        </w:rPr>
        <w:t>）《关于印发农业农村污染治理攻坚战行动计划的通知》（环土壤〔2018〕143号）；</w:t>
      </w:r>
    </w:p>
    <w:p>
      <w:pPr>
        <w:pStyle w:val="10"/>
        <w:spacing w:line="500" w:lineRule="exact"/>
        <w:ind w:left="1130" w:leftChars="200" w:hanging="690" w:hangingChars="3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30</w:t>
      </w:r>
      <w:r>
        <w:rPr>
          <w:rFonts w:hint="eastAsia" w:asciiTheme="minorEastAsia" w:hAnsiTheme="minorEastAsia" w:eastAsiaTheme="minorEastAsia" w:cstheme="minorEastAsia"/>
          <w:color w:val="auto"/>
          <w:spacing w:val="-5"/>
          <w:sz w:val="24"/>
          <w:szCs w:val="24"/>
        </w:rPr>
        <w:t>）《县域农村生活污水治理专项规划编制指南（试行）》（环办土壤函〔2019〕756号）；</w:t>
      </w:r>
    </w:p>
    <w:p>
      <w:pPr>
        <w:pStyle w:val="10"/>
        <w:spacing w:line="500" w:lineRule="exact"/>
        <w:ind w:left="1130" w:leftChars="200" w:hanging="690" w:hangingChars="3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31</w:t>
      </w:r>
      <w:r>
        <w:rPr>
          <w:rFonts w:hint="eastAsia" w:asciiTheme="minorEastAsia" w:hAnsiTheme="minorEastAsia" w:eastAsiaTheme="minorEastAsia" w:cstheme="minorEastAsia"/>
          <w:color w:val="auto"/>
          <w:spacing w:val="-5"/>
          <w:sz w:val="24"/>
          <w:szCs w:val="24"/>
        </w:rPr>
        <w:t>）《关于印发〈农村黑臭水体治理工作指南（试行）〉的通知》（环办土壤函〔2019〕826号）；</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32</w:t>
      </w:r>
      <w:r>
        <w:rPr>
          <w:rFonts w:hint="eastAsia" w:asciiTheme="minorEastAsia" w:hAnsiTheme="minorEastAsia" w:eastAsiaTheme="minorEastAsia" w:cstheme="minorEastAsia"/>
          <w:color w:val="auto"/>
          <w:spacing w:val="-5"/>
          <w:sz w:val="24"/>
          <w:szCs w:val="24"/>
        </w:rPr>
        <w:t>）《关于推进农村生活污水治理的指导意见》（中农发〔2019〕14号）；</w:t>
      </w:r>
    </w:p>
    <w:p>
      <w:pPr>
        <w:pStyle w:val="10"/>
        <w:spacing w:line="500" w:lineRule="exact"/>
        <w:ind w:left="1130" w:leftChars="200" w:hanging="690" w:hangingChars="3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33</w:t>
      </w:r>
      <w:r>
        <w:rPr>
          <w:rFonts w:hint="eastAsia" w:asciiTheme="minorEastAsia" w:hAnsiTheme="minorEastAsia" w:eastAsiaTheme="minorEastAsia" w:cstheme="minorEastAsia"/>
          <w:color w:val="auto"/>
          <w:spacing w:val="-5"/>
          <w:sz w:val="24"/>
          <w:szCs w:val="24"/>
        </w:rPr>
        <w:t>）《关于进一步落实加强农业农村生态环境工作的指导意见》（环办土壤函〔2019〕24号）；</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34</w:t>
      </w:r>
      <w:r>
        <w:rPr>
          <w:rFonts w:hint="eastAsia" w:asciiTheme="minorEastAsia" w:hAnsiTheme="minorEastAsia" w:eastAsiaTheme="minorEastAsia" w:cstheme="minorEastAsia"/>
          <w:color w:val="auto"/>
          <w:spacing w:val="-5"/>
          <w:sz w:val="24"/>
          <w:szCs w:val="24"/>
        </w:rPr>
        <w:t>）《广东省生态环境保护“十四五”规划》（粤府〔2021〕61号）；</w:t>
      </w:r>
    </w:p>
    <w:p>
      <w:pPr>
        <w:pStyle w:val="10"/>
        <w:spacing w:line="500" w:lineRule="exact"/>
        <w:ind w:left="1130" w:leftChars="200" w:hanging="690" w:hangingChars="3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35</w:t>
      </w:r>
      <w:r>
        <w:rPr>
          <w:rFonts w:hint="eastAsia" w:asciiTheme="minorEastAsia" w:hAnsiTheme="minorEastAsia" w:eastAsiaTheme="minorEastAsia" w:cstheme="minorEastAsia"/>
          <w:color w:val="auto"/>
          <w:spacing w:val="-5"/>
          <w:sz w:val="24"/>
          <w:szCs w:val="24"/>
        </w:rPr>
        <w:t>）《广东省人民政府办公厅〈关于印发深化我省农村生活污水治理攻坚行动指导意见〉的通知》（粤办函〔2021〕285号）；</w:t>
      </w:r>
    </w:p>
    <w:p>
      <w:pPr>
        <w:pStyle w:val="10"/>
        <w:spacing w:line="500" w:lineRule="exact"/>
        <w:ind w:left="1130" w:leftChars="200" w:hanging="690" w:hangingChars="3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36</w:t>
      </w:r>
      <w:r>
        <w:rPr>
          <w:rFonts w:hint="eastAsia" w:asciiTheme="minorEastAsia" w:hAnsiTheme="minorEastAsia" w:eastAsiaTheme="minorEastAsia" w:cstheme="minorEastAsia"/>
          <w:color w:val="auto"/>
          <w:spacing w:val="-5"/>
          <w:sz w:val="24"/>
          <w:szCs w:val="24"/>
        </w:rPr>
        <w:t>）《广东省农村生活污水治理攻坚实施方案（2019-2022）》（粤环函〔2019〕1116号）；</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37</w:t>
      </w:r>
      <w:r>
        <w:rPr>
          <w:rFonts w:hint="eastAsia" w:asciiTheme="minorEastAsia" w:hAnsiTheme="minorEastAsia" w:eastAsiaTheme="minorEastAsia" w:cstheme="minorEastAsia"/>
          <w:color w:val="auto"/>
          <w:spacing w:val="-5"/>
          <w:sz w:val="24"/>
          <w:szCs w:val="24"/>
        </w:rPr>
        <w:t>）《广东省“三线一单”生态环境分区管控方案》（粤府〔2020〕71号）；</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38</w:t>
      </w:r>
      <w:r>
        <w:rPr>
          <w:rFonts w:hint="eastAsia" w:asciiTheme="minorEastAsia" w:hAnsiTheme="minorEastAsia" w:eastAsiaTheme="minorEastAsia" w:cstheme="minorEastAsia"/>
          <w:color w:val="auto"/>
          <w:spacing w:val="-5"/>
          <w:sz w:val="24"/>
          <w:szCs w:val="24"/>
        </w:rPr>
        <w:t>）《云浮市农村生活污水治理攻坚行动方案（2021-2025年）》</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39</w:t>
      </w:r>
      <w:r>
        <w:rPr>
          <w:rFonts w:hint="eastAsia" w:asciiTheme="minorEastAsia" w:hAnsiTheme="minorEastAsia" w:eastAsiaTheme="minorEastAsia" w:cstheme="minorEastAsia"/>
          <w:color w:val="auto"/>
          <w:spacing w:val="-5"/>
          <w:sz w:val="24"/>
          <w:szCs w:val="24"/>
        </w:rPr>
        <w:t>）《罗定市2022年民生实事农村生活污水治理工作方案》</w:t>
      </w:r>
    </w:p>
    <w:p>
      <w:pPr>
        <w:pStyle w:val="10"/>
        <w:spacing w:line="500" w:lineRule="exact"/>
        <w:ind w:left="1130" w:leftChars="200" w:hanging="690" w:hangingChars="3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40</w:t>
      </w:r>
      <w:r>
        <w:rPr>
          <w:rFonts w:hint="eastAsia" w:asciiTheme="minorEastAsia" w:hAnsiTheme="minorEastAsia" w:eastAsiaTheme="minorEastAsia" w:cstheme="minorEastAsia"/>
          <w:color w:val="auto"/>
          <w:spacing w:val="-5"/>
          <w:sz w:val="24"/>
          <w:szCs w:val="24"/>
        </w:rPr>
        <w:t>）《罗定市人民政府关于印发罗定市生态环境保护“十四五”规划的通知》（罗府[2023]1号）；</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41</w:t>
      </w:r>
      <w:r>
        <w:rPr>
          <w:rFonts w:hint="eastAsia" w:asciiTheme="minorEastAsia" w:hAnsiTheme="minorEastAsia" w:eastAsiaTheme="minorEastAsia" w:cstheme="minorEastAsia"/>
          <w:color w:val="auto"/>
          <w:spacing w:val="-5"/>
          <w:sz w:val="24"/>
          <w:szCs w:val="24"/>
        </w:rPr>
        <w:t>）《罗定市水污染防治“十四五”规划》（2022-11-15修改）；</w:t>
      </w:r>
    </w:p>
    <w:p>
      <w:pPr>
        <w:pStyle w:val="10"/>
        <w:spacing w:line="500" w:lineRule="exact"/>
        <w:ind w:left="1130" w:leftChars="200" w:hanging="690" w:hangingChars="3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42</w:t>
      </w:r>
      <w:r>
        <w:rPr>
          <w:rFonts w:hint="eastAsia" w:asciiTheme="minorEastAsia" w:hAnsiTheme="minorEastAsia" w:eastAsiaTheme="minorEastAsia" w:cstheme="minorEastAsia"/>
          <w:color w:val="auto"/>
          <w:spacing w:val="-5"/>
          <w:sz w:val="24"/>
          <w:szCs w:val="24"/>
        </w:rPr>
        <w:t>）《关于印发《罗定市2022年水污染防治攻坚工作方案》的通知》（罗环〔2022〕18号）；</w:t>
      </w:r>
    </w:p>
    <w:p>
      <w:pPr>
        <w:pStyle w:val="10"/>
        <w:spacing w:line="500" w:lineRule="exact"/>
        <w:ind w:left="1130" w:leftChars="200" w:hanging="690" w:hangingChars="3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43</w:t>
      </w:r>
      <w:r>
        <w:rPr>
          <w:rFonts w:hint="eastAsia" w:asciiTheme="minorEastAsia" w:hAnsiTheme="minorEastAsia" w:eastAsiaTheme="minorEastAsia" w:cstheme="minorEastAsia"/>
          <w:color w:val="auto"/>
          <w:spacing w:val="-5"/>
          <w:sz w:val="24"/>
          <w:szCs w:val="24"/>
        </w:rPr>
        <w:t>）《罗定市人民政府关于印发罗定市水污染防治“十四五”规划的通知》（罗府[2023]2号）；</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44</w:t>
      </w:r>
      <w:r>
        <w:rPr>
          <w:rFonts w:hint="eastAsia" w:asciiTheme="minorEastAsia" w:hAnsiTheme="minorEastAsia" w:eastAsiaTheme="minorEastAsia" w:cstheme="minorEastAsia"/>
          <w:color w:val="auto"/>
          <w:spacing w:val="-5"/>
          <w:sz w:val="24"/>
          <w:szCs w:val="24"/>
        </w:rPr>
        <w:t>）《罗定市农村生活污水治理攻坚行动方案》（听证稿）。</w:t>
      </w:r>
    </w:p>
    <w:p>
      <w:pPr>
        <w:pStyle w:val="32"/>
        <w:numPr>
          <w:ilvl w:val="2"/>
          <w:numId w:val="2"/>
        </w:numPr>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主要规范、标准</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1</w:t>
      </w:r>
      <w:r>
        <w:rPr>
          <w:rFonts w:hint="eastAsia" w:asciiTheme="minorEastAsia" w:hAnsiTheme="minorEastAsia" w:eastAsiaTheme="minorEastAsia" w:cstheme="minorEastAsia"/>
          <w:color w:val="auto"/>
          <w:spacing w:val="-5"/>
          <w:sz w:val="24"/>
          <w:szCs w:val="24"/>
        </w:rPr>
        <w:t>）《市政公用工程设计文件编制深度规定》（建质〔2013〕J57号）；</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2</w:t>
      </w:r>
      <w:r>
        <w:rPr>
          <w:rFonts w:hint="eastAsia" w:asciiTheme="minorEastAsia" w:hAnsiTheme="minorEastAsia" w:eastAsiaTheme="minorEastAsia" w:cstheme="minorEastAsia"/>
          <w:color w:val="auto"/>
          <w:spacing w:val="-5"/>
          <w:sz w:val="24"/>
          <w:szCs w:val="24"/>
        </w:rPr>
        <w:t>）《室外排水设计规范》（GB50014-2021）；</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3</w:t>
      </w:r>
      <w:r>
        <w:rPr>
          <w:rFonts w:hint="eastAsia" w:asciiTheme="minorEastAsia" w:hAnsiTheme="minorEastAsia" w:eastAsiaTheme="minorEastAsia" w:cstheme="minorEastAsia"/>
          <w:color w:val="auto"/>
          <w:spacing w:val="-5"/>
          <w:sz w:val="24"/>
          <w:szCs w:val="24"/>
        </w:rPr>
        <w:t>）《给水排水设计手册·（城镇排水）》（第二版）；</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4</w:t>
      </w:r>
      <w:r>
        <w:rPr>
          <w:rFonts w:hint="eastAsia" w:asciiTheme="minorEastAsia" w:hAnsiTheme="minorEastAsia" w:eastAsiaTheme="minorEastAsia" w:cstheme="minorEastAsia"/>
          <w:color w:val="auto"/>
          <w:spacing w:val="-5"/>
          <w:sz w:val="24"/>
          <w:szCs w:val="24"/>
        </w:rPr>
        <w:t>）《城市排水工程规划规范》（GB50318-2017）；</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5</w:t>
      </w:r>
      <w:r>
        <w:rPr>
          <w:rFonts w:hint="eastAsia" w:asciiTheme="minorEastAsia" w:hAnsiTheme="minorEastAsia" w:eastAsiaTheme="minorEastAsia" w:cstheme="minorEastAsia"/>
          <w:color w:val="auto"/>
          <w:spacing w:val="-5"/>
          <w:sz w:val="24"/>
          <w:szCs w:val="24"/>
        </w:rPr>
        <w:t>）《广东省城镇污水处理技术与政策指引》（广东省建 设厅）；</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6</w:t>
      </w:r>
      <w:r>
        <w:rPr>
          <w:rFonts w:hint="eastAsia" w:asciiTheme="minorEastAsia" w:hAnsiTheme="minorEastAsia" w:eastAsiaTheme="minorEastAsia" w:cstheme="minorEastAsia"/>
          <w:color w:val="auto"/>
          <w:spacing w:val="-5"/>
          <w:sz w:val="24"/>
          <w:szCs w:val="24"/>
        </w:rPr>
        <w:t>）《城市污水处理工程项目建设标准》（建标〔2001〕77号）；</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7</w:t>
      </w:r>
      <w:r>
        <w:rPr>
          <w:rFonts w:hint="eastAsia" w:asciiTheme="minorEastAsia" w:hAnsiTheme="minorEastAsia" w:eastAsiaTheme="minorEastAsia" w:cstheme="minorEastAsia"/>
          <w:color w:val="auto"/>
          <w:spacing w:val="-5"/>
          <w:sz w:val="24"/>
          <w:szCs w:val="24"/>
        </w:rPr>
        <w:t>）《城市污水处理厂工程质量验收规范》（GB50334-2017）；</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8</w:t>
      </w:r>
      <w:r>
        <w:rPr>
          <w:rFonts w:hint="eastAsia" w:asciiTheme="minorEastAsia" w:hAnsiTheme="minorEastAsia" w:eastAsiaTheme="minorEastAsia" w:cstheme="minorEastAsia"/>
          <w:color w:val="auto"/>
          <w:spacing w:val="-5"/>
          <w:sz w:val="24"/>
          <w:szCs w:val="24"/>
        </w:rPr>
        <w:t>）《给水排水管道工程施工及验收规范》（GB50268-2008）；</w:t>
      </w:r>
    </w:p>
    <w:p>
      <w:pPr>
        <w:pStyle w:val="10"/>
        <w:spacing w:line="500" w:lineRule="exact"/>
        <w:ind w:left="1130" w:leftChars="200" w:hanging="690" w:hangingChars="3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9</w:t>
      </w:r>
      <w:r>
        <w:rPr>
          <w:rFonts w:hint="eastAsia" w:asciiTheme="minorEastAsia" w:hAnsiTheme="minorEastAsia" w:eastAsiaTheme="minorEastAsia" w:cstheme="minorEastAsia"/>
          <w:color w:val="auto"/>
          <w:spacing w:val="-5"/>
          <w:sz w:val="24"/>
          <w:szCs w:val="24"/>
        </w:rPr>
        <w:t>）《城市生活垃圾处理和给水与污水处理工程项目建设用地指标》（建标〔2005〕157号）</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10</w:t>
      </w:r>
      <w:r>
        <w:rPr>
          <w:rFonts w:hint="eastAsia" w:asciiTheme="minorEastAsia" w:hAnsiTheme="minorEastAsia" w:eastAsiaTheme="minorEastAsia" w:cstheme="minorEastAsia"/>
          <w:color w:val="auto"/>
          <w:spacing w:val="-5"/>
          <w:sz w:val="24"/>
          <w:szCs w:val="24"/>
        </w:rPr>
        <w:t>）《地表水环境质量标准》（GB3838-2002）；</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11</w:t>
      </w:r>
      <w:r>
        <w:rPr>
          <w:rFonts w:hint="eastAsia" w:asciiTheme="minorEastAsia" w:hAnsiTheme="minorEastAsia" w:eastAsiaTheme="minorEastAsia" w:cstheme="minorEastAsia"/>
          <w:color w:val="auto"/>
          <w:spacing w:val="-5"/>
          <w:sz w:val="24"/>
          <w:szCs w:val="24"/>
        </w:rPr>
        <w:t>）《污水综合排放标准》（GB8978-1996）；</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12</w:t>
      </w:r>
      <w:r>
        <w:rPr>
          <w:rFonts w:hint="eastAsia" w:asciiTheme="minorEastAsia" w:hAnsiTheme="minorEastAsia" w:eastAsiaTheme="minorEastAsia" w:cstheme="minorEastAsia"/>
          <w:color w:val="auto"/>
          <w:spacing w:val="-5"/>
          <w:sz w:val="24"/>
          <w:szCs w:val="24"/>
        </w:rPr>
        <w:t>）《城镇污水处理厂污染物排放标准》（GB18918-2002）；</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13</w:t>
      </w:r>
      <w:r>
        <w:rPr>
          <w:rFonts w:hint="eastAsia" w:asciiTheme="minorEastAsia" w:hAnsiTheme="minorEastAsia" w:eastAsiaTheme="minorEastAsia" w:cstheme="minorEastAsia"/>
          <w:color w:val="auto"/>
          <w:spacing w:val="-5"/>
          <w:sz w:val="24"/>
          <w:szCs w:val="24"/>
        </w:rPr>
        <w:t>）《城市污水处理厂污水污泥排放标准》（CJ3025-1993）；</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14</w:t>
      </w: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广</w:t>
      </w:r>
      <w:r>
        <w:rPr>
          <w:rFonts w:hint="eastAsia" w:asciiTheme="minorEastAsia" w:hAnsiTheme="minorEastAsia" w:eastAsiaTheme="minorEastAsia" w:cstheme="minorEastAsia"/>
          <w:color w:val="auto"/>
          <w:spacing w:val="-5"/>
          <w:sz w:val="24"/>
          <w:szCs w:val="24"/>
        </w:rPr>
        <w:t>东省《水污染物排放限值》（DB44/26—2001）；</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15</w:t>
      </w: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环境空气质量标准</w:t>
      </w:r>
      <w:r>
        <w:rPr>
          <w:rFonts w:hint="eastAsia" w:asciiTheme="minorEastAsia" w:hAnsiTheme="minorEastAsia" w:eastAsiaTheme="minorEastAsia" w:cstheme="minorEastAsia"/>
          <w:color w:val="auto"/>
          <w:spacing w:val="-5"/>
          <w:sz w:val="24"/>
          <w:szCs w:val="24"/>
        </w:rPr>
        <w:t>》（GB3095-2012）；</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16</w:t>
      </w:r>
      <w:r>
        <w:rPr>
          <w:rFonts w:hint="eastAsia" w:asciiTheme="minorEastAsia" w:hAnsiTheme="minorEastAsia" w:eastAsiaTheme="minorEastAsia" w:cstheme="minorEastAsia"/>
          <w:color w:val="auto"/>
          <w:spacing w:val="-5"/>
          <w:sz w:val="24"/>
          <w:szCs w:val="24"/>
        </w:rPr>
        <w:t>）《农村生活污水处理项目建设与投资指南》（环境保护部）；</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17</w:t>
      </w:r>
      <w:r>
        <w:rPr>
          <w:rFonts w:hint="eastAsia" w:asciiTheme="minorEastAsia" w:hAnsiTheme="minorEastAsia" w:eastAsiaTheme="minorEastAsia" w:cstheme="minorEastAsia"/>
          <w:color w:val="auto"/>
          <w:spacing w:val="-5"/>
          <w:sz w:val="24"/>
          <w:szCs w:val="24"/>
        </w:rPr>
        <w:t>）《分地区农村生活污水处理技术指南》（建村〔2010〕149号）；</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18</w:t>
      </w:r>
      <w:r>
        <w:rPr>
          <w:rFonts w:hint="eastAsia" w:asciiTheme="minorEastAsia" w:hAnsiTheme="minorEastAsia" w:eastAsiaTheme="minorEastAsia" w:cstheme="minorEastAsia"/>
          <w:color w:val="auto"/>
          <w:spacing w:val="-5"/>
          <w:sz w:val="24"/>
          <w:szCs w:val="24"/>
        </w:rPr>
        <w:t>）广东省《农村生活污水处理排放标准（DB44/2208- 2019）》；</w:t>
      </w:r>
    </w:p>
    <w:p>
      <w:pPr>
        <w:pStyle w:val="10"/>
        <w:spacing w:line="500" w:lineRule="exact"/>
        <w:ind w:left="1130" w:leftChars="200" w:hanging="690" w:hangingChars="3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19</w:t>
      </w:r>
      <w:r>
        <w:rPr>
          <w:rFonts w:hint="eastAsia" w:asciiTheme="minorEastAsia" w:hAnsiTheme="minorEastAsia" w:eastAsiaTheme="minorEastAsia" w:cstheme="minorEastAsia"/>
          <w:color w:val="auto"/>
          <w:spacing w:val="-5"/>
          <w:sz w:val="24"/>
          <w:szCs w:val="24"/>
        </w:rPr>
        <w:t>）《城镇污水处理厂污泥处理处置技术指南（试行）》（建科）〔2011〕34 号）；</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20</w:t>
      </w:r>
      <w:r>
        <w:rPr>
          <w:rFonts w:hint="eastAsia" w:asciiTheme="minorEastAsia" w:hAnsiTheme="minorEastAsia" w:eastAsiaTheme="minorEastAsia" w:cstheme="minorEastAsia"/>
          <w:color w:val="auto"/>
          <w:spacing w:val="-5"/>
          <w:sz w:val="24"/>
          <w:szCs w:val="24"/>
        </w:rPr>
        <w:t>）《城镇给水排水技术规范》（GB50788-2012）；</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21</w:t>
      </w:r>
      <w:r>
        <w:rPr>
          <w:rFonts w:hint="eastAsia" w:asciiTheme="minorEastAsia" w:hAnsiTheme="minorEastAsia" w:eastAsiaTheme="minorEastAsia" w:cstheme="minorEastAsia"/>
          <w:color w:val="auto"/>
          <w:spacing w:val="-5"/>
          <w:sz w:val="24"/>
          <w:szCs w:val="24"/>
        </w:rPr>
        <w:t>）《城市工程管线综合规划规范》（GB50289-2016）；</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22</w:t>
      </w:r>
      <w:r>
        <w:rPr>
          <w:rFonts w:hint="eastAsia" w:asciiTheme="minorEastAsia" w:hAnsiTheme="minorEastAsia" w:eastAsiaTheme="minorEastAsia" w:cstheme="minorEastAsia"/>
          <w:color w:val="auto"/>
          <w:spacing w:val="-5"/>
          <w:sz w:val="24"/>
          <w:szCs w:val="24"/>
        </w:rPr>
        <w:t>）《城镇污水再生利用工程设计规范》（GB50335-2016）；</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23</w:t>
      </w:r>
      <w:r>
        <w:rPr>
          <w:rFonts w:hint="eastAsia" w:asciiTheme="minorEastAsia" w:hAnsiTheme="minorEastAsia" w:eastAsiaTheme="minorEastAsia" w:cstheme="minorEastAsia"/>
          <w:color w:val="auto"/>
          <w:spacing w:val="-5"/>
          <w:sz w:val="24"/>
          <w:szCs w:val="24"/>
        </w:rPr>
        <w:t>）《泵站设计规范》（GB50265-2010）；</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24</w:t>
      </w:r>
      <w:r>
        <w:rPr>
          <w:rFonts w:hint="eastAsia" w:asciiTheme="minorEastAsia" w:hAnsiTheme="minorEastAsia" w:eastAsiaTheme="minorEastAsia" w:cstheme="minorEastAsia"/>
          <w:color w:val="auto"/>
          <w:spacing w:val="-5"/>
          <w:sz w:val="24"/>
          <w:szCs w:val="24"/>
        </w:rPr>
        <w:t>）《埋地塑料排水管道工程技术规程》（CJJ143-2010）；</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25</w:t>
      </w:r>
      <w:r>
        <w:rPr>
          <w:rFonts w:hint="eastAsia" w:asciiTheme="minorEastAsia" w:hAnsiTheme="minorEastAsia" w:eastAsiaTheme="minorEastAsia" w:cstheme="minorEastAsia"/>
          <w:color w:val="auto"/>
          <w:spacing w:val="-5"/>
          <w:sz w:val="24"/>
          <w:szCs w:val="24"/>
        </w:rPr>
        <w:t>）《镇（乡）村排水工程技术规程》（CJJ124-2008）；</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26</w:t>
      </w:r>
      <w:r>
        <w:rPr>
          <w:rFonts w:hint="eastAsia" w:asciiTheme="minorEastAsia" w:hAnsiTheme="minorEastAsia" w:eastAsiaTheme="minorEastAsia" w:cstheme="minorEastAsia"/>
          <w:color w:val="auto"/>
          <w:spacing w:val="-5"/>
          <w:sz w:val="24"/>
          <w:szCs w:val="24"/>
        </w:rPr>
        <w:t>）《城镇排水系统电气与自动化工程技术规程》（CJJ120- 2008）；</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27</w:t>
      </w:r>
      <w:r>
        <w:rPr>
          <w:rFonts w:hint="eastAsia" w:asciiTheme="minorEastAsia" w:hAnsiTheme="minorEastAsia" w:eastAsiaTheme="minorEastAsia" w:cstheme="minorEastAsia"/>
          <w:color w:val="auto"/>
          <w:spacing w:val="-5"/>
          <w:sz w:val="24"/>
          <w:szCs w:val="24"/>
        </w:rPr>
        <w:t>）《 供配电系统设计规范 》（GB50052-2009）；</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28</w:t>
      </w:r>
      <w:r>
        <w:rPr>
          <w:rFonts w:hint="eastAsia" w:asciiTheme="minorEastAsia" w:hAnsiTheme="minorEastAsia" w:eastAsiaTheme="minorEastAsia" w:cstheme="minorEastAsia"/>
          <w:color w:val="auto"/>
          <w:spacing w:val="-5"/>
          <w:sz w:val="24"/>
          <w:szCs w:val="24"/>
        </w:rPr>
        <w:t>）《低压配电设计规范》（GB50054-2011）；</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29</w:t>
      </w:r>
      <w:r>
        <w:rPr>
          <w:rFonts w:hint="eastAsia" w:asciiTheme="minorEastAsia" w:hAnsiTheme="minorEastAsia" w:eastAsiaTheme="minorEastAsia" w:cstheme="minorEastAsia"/>
          <w:color w:val="auto"/>
          <w:spacing w:val="-5"/>
          <w:sz w:val="24"/>
          <w:szCs w:val="24"/>
        </w:rPr>
        <w:t xml:space="preserve">）《通用用电设备配电设计规范》（GB50055-2011）； </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30</w:t>
      </w:r>
      <w:r>
        <w:rPr>
          <w:rFonts w:hint="eastAsia" w:asciiTheme="minorEastAsia" w:hAnsiTheme="minorEastAsia" w:eastAsiaTheme="minorEastAsia" w:cstheme="minorEastAsia"/>
          <w:color w:val="auto"/>
          <w:spacing w:val="-5"/>
          <w:sz w:val="24"/>
          <w:szCs w:val="24"/>
        </w:rPr>
        <w:t>）《建筑物防雷设计规范》（GB50057-2010）；</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31</w:t>
      </w:r>
      <w:r>
        <w:rPr>
          <w:rFonts w:hint="eastAsia" w:asciiTheme="minorEastAsia" w:hAnsiTheme="minorEastAsia" w:eastAsiaTheme="minorEastAsia" w:cstheme="minorEastAsia"/>
          <w:color w:val="auto"/>
          <w:spacing w:val="-5"/>
          <w:sz w:val="24"/>
          <w:szCs w:val="24"/>
        </w:rPr>
        <w:t>）《工程结构可靠性设计统一标准》（GB50153-2008）；</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32</w:t>
      </w:r>
      <w:r>
        <w:rPr>
          <w:rFonts w:hint="eastAsia" w:asciiTheme="minorEastAsia" w:hAnsiTheme="minorEastAsia" w:eastAsiaTheme="minorEastAsia" w:cstheme="minorEastAsia"/>
          <w:color w:val="auto"/>
          <w:spacing w:val="-5"/>
          <w:sz w:val="24"/>
          <w:szCs w:val="24"/>
        </w:rPr>
        <w:t>） 《建筑结构荷载规范》（GB50009-2012）；</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33</w:t>
      </w:r>
      <w:r>
        <w:rPr>
          <w:rFonts w:hint="eastAsia" w:asciiTheme="minorEastAsia" w:hAnsiTheme="minorEastAsia" w:eastAsiaTheme="minorEastAsia" w:cstheme="minorEastAsia"/>
          <w:color w:val="auto"/>
          <w:spacing w:val="-5"/>
          <w:sz w:val="24"/>
          <w:szCs w:val="24"/>
        </w:rPr>
        <w:t>）《混凝土结构设计规范》（GB50010-2010）（2015年版）；</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34</w:t>
      </w:r>
      <w:r>
        <w:rPr>
          <w:rFonts w:hint="eastAsia" w:asciiTheme="minorEastAsia" w:hAnsiTheme="minorEastAsia" w:eastAsiaTheme="minorEastAsia" w:cstheme="minorEastAsia"/>
          <w:color w:val="auto"/>
          <w:spacing w:val="-5"/>
          <w:sz w:val="24"/>
          <w:szCs w:val="24"/>
        </w:rPr>
        <w:t>）《建筑地基基础设计规范》（GB50007-2011）；</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35</w:t>
      </w:r>
      <w:r>
        <w:rPr>
          <w:rFonts w:hint="eastAsia" w:asciiTheme="minorEastAsia" w:hAnsiTheme="minorEastAsia" w:eastAsiaTheme="minorEastAsia" w:cstheme="minorEastAsia"/>
          <w:color w:val="auto"/>
          <w:spacing w:val="-5"/>
          <w:sz w:val="24"/>
          <w:szCs w:val="24"/>
        </w:rPr>
        <w:t xml:space="preserve">）《建筑地基基础工程施工质量验收标准》（GB50202-2018）； </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国家和本地区其他相关规范。</w:t>
      </w:r>
    </w:p>
    <w:p>
      <w:pPr>
        <w:pStyle w:val="32"/>
        <w:numPr>
          <w:ilvl w:val="2"/>
          <w:numId w:val="2"/>
        </w:numPr>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其他资料</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1</w:t>
      </w:r>
      <w:r>
        <w:rPr>
          <w:rFonts w:hint="eastAsia" w:asciiTheme="minorEastAsia" w:hAnsiTheme="minorEastAsia" w:eastAsiaTheme="minorEastAsia" w:cstheme="minorEastAsia"/>
          <w:color w:val="auto"/>
          <w:spacing w:val="-5"/>
          <w:sz w:val="24"/>
          <w:szCs w:val="24"/>
        </w:rPr>
        <w:t>）《广东省罗定市城市总体规划（2011～2030年）》；</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2</w:t>
      </w:r>
      <w:r>
        <w:rPr>
          <w:rFonts w:hint="eastAsia" w:asciiTheme="minorEastAsia" w:hAnsiTheme="minorEastAsia" w:eastAsiaTheme="minorEastAsia" w:cstheme="minorEastAsia"/>
          <w:color w:val="auto"/>
          <w:spacing w:val="-5"/>
          <w:sz w:val="24"/>
          <w:szCs w:val="24"/>
        </w:rPr>
        <w:t>）《罗定市土地利用总体规划（2010-2020年）》；</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3</w:t>
      </w:r>
      <w:r>
        <w:rPr>
          <w:rFonts w:hint="eastAsia" w:asciiTheme="minorEastAsia" w:hAnsiTheme="minorEastAsia" w:eastAsiaTheme="minorEastAsia" w:cstheme="minorEastAsia"/>
          <w:color w:val="auto"/>
          <w:spacing w:val="-5"/>
          <w:sz w:val="24"/>
          <w:szCs w:val="24"/>
        </w:rPr>
        <w:t>）《云浮市生态环境保护“十四五”规划》；</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4</w:t>
      </w:r>
      <w:r>
        <w:rPr>
          <w:rFonts w:hint="eastAsia" w:asciiTheme="minorEastAsia" w:hAnsiTheme="minorEastAsia" w:eastAsiaTheme="minorEastAsia" w:cstheme="minorEastAsia"/>
          <w:color w:val="auto"/>
          <w:spacing w:val="-5"/>
          <w:sz w:val="24"/>
          <w:szCs w:val="24"/>
        </w:rPr>
        <w:t>）《云浮市水生态环境保护“十四五”规划》；</w:t>
      </w:r>
    </w:p>
    <w:p>
      <w:pPr>
        <w:pStyle w:val="10"/>
        <w:spacing w:line="500" w:lineRule="exact"/>
        <w:ind w:left="1130" w:leftChars="200" w:hanging="690" w:hangingChars="3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5</w:t>
      </w:r>
      <w:r>
        <w:rPr>
          <w:rFonts w:hint="eastAsia" w:asciiTheme="minorEastAsia" w:hAnsiTheme="minorEastAsia" w:eastAsiaTheme="minorEastAsia" w:cstheme="minorEastAsia"/>
          <w:color w:val="auto"/>
          <w:spacing w:val="-5"/>
          <w:sz w:val="24"/>
          <w:szCs w:val="24"/>
        </w:rPr>
        <w:t>）《广东省打赢农业农村污染治理攻坚战实施方案》（粤环发〔2019〕3号文）；</w:t>
      </w:r>
    </w:p>
    <w:p>
      <w:pPr>
        <w:pStyle w:val="10"/>
        <w:spacing w:line="500" w:lineRule="exact"/>
        <w:ind w:left="1130" w:leftChars="200" w:hanging="690" w:hangingChars="3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6</w:t>
      </w:r>
      <w:r>
        <w:rPr>
          <w:rFonts w:hint="eastAsia" w:asciiTheme="minorEastAsia" w:hAnsiTheme="minorEastAsia" w:eastAsiaTheme="minorEastAsia" w:cstheme="minorEastAsia"/>
          <w:color w:val="auto"/>
          <w:spacing w:val="-5"/>
          <w:sz w:val="24"/>
          <w:szCs w:val="24"/>
        </w:rPr>
        <w:t>）《 广东省农村生活污水治理攻坚实施方案（2019-2022年）》（粤环函〔2019〕1116 号文）；</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7</w:t>
      </w:r>
      <w:r>
        <w:rPr>
          <w:rFonts w:hint="eastAsia" w:asciiTheme="minorEastAsia" w:hAnsiTheme="minorEastAsia" w:eastAsiaTheme="minorEastAsia" w:cstheme="minorEastAsia"/>
          <w:color w:val="auto"/>
          <w:spacing w:val="-5"/>
          <w:sz w:val="24"/>
          <w:szCs w:val="24"/>
        </w:rPr>
        <w:t>）《罗定市围底镇总体规划（2014~2035年）》；</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8</w:t>
      </w:r>
      <w:r>
        <w:rPr>
          <w:rFonts w:hint="eastAsia" w:asciiTheme="minorEastAsia" w:hAnsiTheme="minorEastAsia" w:eastAsiaTheme="minorEastAsia" w:cstheme="minorEastAsia"/>
          <w:color w:val="auto"/>
          <w:spacing w:val="-5"/>
          <w:sz w:val="24"/>
          <w:szCs w:val="24"/>
        </w:rPr>
        <w:t>）《罗定市金鸡镇总体规划（2013～2035年）》；</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9</w:t>
      </w:r>
      <w:r>
        <w:rPr>
          <w:rFonts w:hint="eastAsia" w:asciiTheme="minorEastAsia" w:hAnsiTheme="minorEastAsia" w:eastAsiaTheme="minorEastAsia" w:cstheme="minorEastAsia"/>
          <w:color w:val="auto"/>
          <w:spacing w:val="-5"/>
          <w:sz w:val="24"/>
          <w:szCs w:val="24"/>
        </w:rPr>
        <w:t>）《罗定市生江镇总体规划（2013～2035年）》；</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10</w:t>
      </w:r>
      <w:r>
        <w:rPr>
          <w:rFonts w:hint="eastAsia" w:asciiTheme="minorEastAsia" w:hAnsiTheme="minorEastAsia" w:eastAsiaTheme="minorEastAsia" w:cstheme="minorEastAsia"/>
          <w:color w:val="auto"/>
          <w:spacing w:val="-5"/>
          <w:sz w:val="24"/>
          <w:szCs w:val="24"/>
        </w:rPr>
        <w:t>）《龙湾镇土地利用总体规划（2010~2035年）》；</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11</w:t>
      </w:r>
      <w:r>
        <w:rPr>
          <w:rFonts w:hint="eastAsia" w:asciiTheme="minorEastAsia" w:hAnsiTheme="minorEastAsia" w:eastAsiaTheme="minorEastAsia" w:cstheme="minorEastAsia"/>
          <w:color w:val="auto"/>
          <w:spacing w:val="-5"/>
          <w:sz w:val="24"/>
          <w:szCs w:val="24"/>
        </w:rPr>
        <w:t>）《罗定市泗纶镇总体规划（2005~2035年）》；</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12</w:t>
      </w:r>
      <w:r>
        <w:rPr>
          <w:rFonts w:hint="eastAsia" w:asciiTheme="minorEastAsia" w:hAnsiTheme="minorEastAsia" w:eastAsiaTheme="minorEastAsia" w:cstheme="minorEastAsia"/>
          <w:color w:val="auto"/>
          <w:spacing w:val="-5"/>
          <w:sz w:val="24"/>
          <w:szCs w:val="24"/>
        </w:rPr>
        <w:t>）《罗定市罗镜镇总体规划（2003~2035年）》；</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13</w:t>
      </w:r>
      <w:r>
        <w:rPr>
          <w:rFonts w:hint="eastAsia" w:asciiTheme="minorEastAsia" w:hAnsiTheme="minorEastAsia" w:eastAsiaTheme="minorEastAsia" w:cstheme="minorEastAsia"/>
          <w:color w:val="auto"/>
          <w:spacing w:val="-5"/>
          <w:sz w:val="24"/>
          <w:szCs w:val="24"/>
        </w:rPr>
        <w:t>）《罗定市太平镇总体规划（2013~2035年）》；</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14</w:t>
      </w: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 xml:space="preserve"> </w:t>
      </w:r>
      <w:r>
        <w:rPr>
          <w:rFonts w:hint="eastAsia" w:asciiTheme="minorEastAsia" w:hAnsiTheme="minorEastAsia" w:eastAsiaTheme="minorEastAsia" w:cstheme="minorEastAsia"/>
          <w:color w:val="auto"/>
          <w:spacing w:val="-5"/>
          <w:sz w:val="24"/>
          <w:szCs w:val="24"/>
        </w:rPr>
        <w:t>业主提供的其他资料；</w:t>
      </w:r>
    </w:p>
    <w:p>
      <w:pPr>
        <w:pStyle w:val="10"/>
        <w:spacing w:line="500" w:lineRule="exact"/>
        <w:ind w:firstLine="460" w:firstLineChars="200"/>
        <w:jc w:val="both"/>
        <w:rPr>
          <w:rFonts w:asciiTheme="minorEastAsia" w:hAnsiTheme="minorEastAsia" w:eastAsiaTheme="minorEastAsia" w:cstheme="minorEastAsia"/>
          <w:color w:val="auto"/>
          <w:spacing w:val="-2"/>
          <w:sz w:val="24"/>
          <w:szCs w:val="24"/>
        </w:rPr>
      </w:pP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5"/>
          <w:sz w:val="24"/>
          <w:szCs w:val="24"/>
          <w:lang w:val="en-US"/>
        </w:rPr>
        <w:t>15</w:t>
      </w:r>
      <w:r>
        <w:rPr>
          <w:rFonts w:hint="eastAsia" w:asciiTheme="minorEastAsia" w:hAnsiTheme="minorEastAsia" w:eastAsiaTheme="minorEastAsia" w:cstheme="minorEastAsia"/>
          <w:color w:val="auto"/>
          <w:spacing w:val="-5"/>
          <w:sz w:val="24"/>
          <w:szCs w:val="24"/>
        </w:rPr>
        <w:t>）现场调研资料。</w:t>
      </w:r>
    </w:p>
    <w:p>
      <w:pPr>
        <w:pStyle w:val="3"/>
        <w:numPr>
          <w:ilvl w:val="1"/>
          <w:numId w:val="2"/>
        </w:numPr>
        <w:tabs>
          <w:tab w:val="left" w:pos="1248"/>
        </w:tabs>
        <w:adjustRightInd/>
        <w:snapToGrid/>
        <w:spacing w:line="500" w:lineRule="exact"/>
        <w:jc w:val="both"/>
        <w:rPr>
          <w:rFonts w:asciiTheme="minorEastAsia" w:hAnsiTheme="minorEastAsia" w:eastAsiaTheme="minorEastAsia" w:cstheme="minorEastAsia"/>
          <w:color w:val="auto"/>
          <w:sz w:val="24"/>
          <w:szCs w:val="24"/>
        </w:rPr>
      </w:pPr>
      <w:bookmarkStart w:id="13" w:name="1.6编制范围"/>
      <w:bookmarkEnd w:id="13"/>
      <w:bookmarkStart w:id="14" w:name="_Toc28584"/>
      <w:bookmarkStart w:id="15" w:name="_Toc3020"/>
      <w:r>
        <w:rPr>
          <w:rFonts w:hint="eastAsia" w:asciiTheme="minorEastAsia" w:hAnsiTheme="minorEastAsia" w:eastAsiaTheme="minorEastAsia" w:cstheme="minorEastAsia"/>
          <w:color w:val="auto"/>
          <w:sz w:val="24"/>
          <w:szCs w:val="24"/>
        </w:rPr>
        <w:t>编制范围</w:t>
      </w:r>
      <w:bookmarkEnd w:id="14"/>
      <w:bookmarkEnd w:id="15"/>
    </w:p>
    <w:p>
      <w:pPr>
        <w:pStyle w:val="10"/>
        <w:spacing w:line="500" w:lineRule="exact"/>
        <w:ind w:firstLine="520" w:firstLineChars="200"/>
        <w:jc w:val="both"/>
        <w:rPr>
          <w:rFonts w:asciiTheme="minorEastAsia" w:hAnsiTheme="minorEastAsia" w:eastAsiaTheme="minorEastAsia" w:cstheme="minorEastAsia"/>
          <w:color w:val="auto"/>
          <w:spacing w:val="10"/>
          <w:sz w:val="24"/>
          <w:szCs w:val="24"/>
        </w:rPr>
      </w:pPr>
      <w:r>
        <w:rPr>
          <w:rFonts w:hint="eastAsia" w:asciiTheme="minorEastAsia" w:hAnsiTheme="minorEastAsia" w:eastAsiaTheme="minorEastAsia" w:cstheme="minorEastAsia"/>
          <w:color w:val="auto"/>
          <w:spacing w:val="10"/>
          <w:sz w:val="24"/>
          <w:szCs w:val="24"/>
        </w:rPr>
        <w:t>编制范围包括</w:t>
      </w:r>
      <w:r>
        <w:rPr>
          <w:rFonts w:hint="eastAsia" w:asciiTheme="minorEastAsia" w:hAnsiTheme="minorEastAsia" w:eastAsiaTheme="minorEastAsia" w:cstheme="minorEastAsia"/>
          <w:color w:val="auto"/>
          <w:spacing w:val="10"/>
          <w:sz w:val="24"/>
          <w:szCs w:val="24"/>
          <w:lang w:eastAsia="zh-CN"/>
        </w:rPr>
        <w:t>罗定市农村生活污水治理建设项目可行性研究报告（修编）</w:t>
      </w:r>
      <w:r>
        <w:rPr>
          <w:rFonts w:hint="eastAsia" w:asciiTheme="minorEastAsia" w:hAnsiTheme="minorEastAsia" w:eastAsiaTheme="minorEastAsia" w:cstheme="minorEastAsia"/>
          <w:color w:val="auto"/>
          <w:spacing w:val="10"/>
          <w:sz w:val="24"/>
          <w:szCs w:val="24"/>
        </w:rPr>
        <w:t>的技术要求、建设方案、产出说明、投资估算、财务评价和项目初步实施方案等内容。</w:t>
      </w:r>
    </w:p>
    <w:p>
      <w:pPr>
        <w:pStyle w:val="3"/>
        <w:numPr>
          <w:ilvl w:val="1"/>
          <w:numId w:val="2"/>
        </w:numPr>
        <w:tabs>
          <w:tab w:val="left" w:pos="1248"/>
        </w:tabs>
        <w:adjustRightInd/>
        <w:snapToGrid/>
        <w:spacing w:line="500" w:lineRule="exact"/>
        <w:jc w:val="both"/>
        <w:rPr>
          <w:rFonts w:asciiTheme="minorEastAsia" w:hAnsiTheme="minorEastAsia" w:eastAsiaTheme="minorEastAsia" w:cstheme="minorEastAsia"/>
          <w:color w:val="auto"/>
          <w:sz w:val="24"/>
          <w:szCs w:val="24"/>
        </w:rPr>
      </w:pPr>
      <w:bookmarkStart w:id="16" w:name="_Toc14964"/>
      <w:bookmarkStart w:id="17" w:name="_Toc272"/>
      <w:r>
        <w:rPr>
          <w:rFonts w:hint="eastAsia" w:asciiTheme="minorEastAsia" w:hAnsiTheme="minorEastAsia" w:eastAsiaTheme="minorEastAsia" w:cstheme="minorEastAsia"/>
          <w:color w:val="auto"/>
          <w:sz w:val="24"/>
          <w:szCs w:val="24"/>
        </w:rPr>
        <w:t>项目实施必要性</w:t>
      </w:r>
      <w:bookmarkEnd w:id="16"/>
      <w:bookmarkEnd w:id="17"/>
    </w:p>
    <w:p>
      <w:pPr>
        <w:pStyle w:val="32"/>
        <w:numPr>
          <w:ilvl w:val="0"/>
          <w:numId w:val="3"/>
        </w:numPr>
        <w:tabs>
          <w:tab w:val="left" w:pos="1320"/>
        </w:tabs>
        <w:spacing w:line="500" w:lineRule="exact"/>
        <w:ind w:left="0" w:firstLine="468" w:firstLineChars="200"/>
        <w:jc w:val="both"/>
        <w:rPr>
          <w:rFonts w:asciiTheme="minorEastAsia" w:hAnsiTheme="minorEastAsia" w:eastAsiaTheme="minorEastAsia" w:cstheme="minorEastAsia"/>
          <w:color w:val="auto"/>
          <w:spacing w:val="-3"/>
          <w:sz w:val="24"/>
          <w:szCs w:val="24"/>
        </w:rPr>
      </w:pPr>
      <w:r>
        <w:rPr>
          <w:rFonts w:hint="eastAsia" w:asciiTheme="minorEastAsia" w:hAnsiTheme="minorEastAsia" w:eastAsiaTheme="minorEastAsia" w:cstheme="minorEastAsia"/>
          <w:color w:val="auto"/>
          <w:spacing w:val="-3"/>
          <w:sz w:val="24"/>
          <w:szCs w:val="24"/>
        </w:rPr>
        <w:t>是实施《广东省农村生活污水治理攻坚实施方案（2019-2022年）》的要求。</w:t>
      </w:r>
    </w:p>
    <w:p>
      <w:pPr>
        <w:pStyle w:val="10"/>
        <w:spacing w:line="500" w:lineRule="exact"/>
        <w:ind w:firstLine="520" w:firstLineChars="200"/>
        <w:jc w:val="both"/>
        <w:rPr>
          <w:rFonts w:asciiTheme="minorEastAsia" w:hAnsiTheme="minorEastAsia" w:eastAsiaTheme="minorEastAsia" w:cstheme="minorEastAsia"/>
          <w:color w:val="auto"/>
          <w:spacing w:val="10"/>
          <w:sz w:val="24"/>
          <w:szCs w:val="24"/>
        </w:rPr>
      </w:pPr>
      <w:r>
        <w:rPr>
          <w:rFonts w:hint="eastAsia" w:asciiTheme="minorEastAsia" w:hAnsiTheme="minorEastAsia" w:eastAsiaTheme="minorEastAsia" w:cstheme="minorEastAsia"/>
          <w:color w:val="auto"/>
          <w:spacing w:val="10"/>
          <w:sz w:val="24"/>
          <w:szCs w:val="24"/>
        </w:rPr>
        <w:t>“十二五”以来，我省不断加大环保基础设施投入和建设力度，城乡生活污水处理设施建设取得积极进展，但粤东西北地区生活污水治理工作明显滞后，已成为我省经济社会可持续发展和全面建成小康社会的短板。为切实改善粤东西北地区城乡人居环境，省委省政府制定了《广东省农村生活污水治理攻坚实施方案（2019-2022年）》，提出到2022年年底前全省村庄生活污水治理率提高至60%以上，粤东西北地区60%以上，珠三角地区80%以上行政村建有污水处理设施或纳入城镇污水系统统一处理，建立相对完善的农村生活污水处理设施综合管理体系。实施本项目是落实《广东省农村生活污水治理攻坚实施方案（2019-2022年）》，改善现有农村生活污水无序排放、处理能力不足的局面，切实解决水污染环境问题，不断满足农村地区人民对生活环境、生活质量日益提高的要求。</w:t>
      </w:r>
    </w:p>
    <w:p>
      <w:pPr>
        <w:pStyle w:val="32"/>
        <w:numPr>
          <w:ilvl w:val="0"/>
          <w:numId w:val="3"/>
        </w:numPr>
        <w:tabs>
          <w:tab w:val="left" w:pos="1320"/>
        </w:tabs>
        <w:spacing w:line="500" w:lineRule="exact"/>
        <w:ind w:left="0" w:firstLine="468" w:firstLineChars="200"/>
        <w:jc w:val="both"/>
        <w:rPr>
          <w:rFonts w:asciiTheme="minorEastAsia" w:hAnsiTheme="minorEastAsia" w:eastAsiaTheme="minorEastAsia" w:cstheme="minorEastAsia"/>
          <w:color w:val="auto"/>
          <w:spacing w:val="-3"/>
          <w:sz w:val="24"/>
          <w:szCs w:val="24"/>
        </w:rPr>
      </w:pPr>
      <w:r>
        <w:rPr>
          <w:rFonts w:hint="eastAsia" w:asciiTheme="minorEastAsia" w:hAnsiTheme="minorEastAsia" w:eastAsiaTheme="minorEastAsia" w:cstheme="minorEastAsia"/>
          <w:color w:val="auto"/>
          <w:spacing w:val="-3"/>
          <w:sz w:val="24"/>
          <w:szCs w:val="24"/>
        </w:rPr>
        <w:t>是实现《关于全域推进农村人居环境整治建设生态宜居美丽乡村的实施方案》的要求。</w:t>
      </w:r>
    </w:p>
    <w:p>
      <w:pPr>
        <w:pStyle w:val="10"/>
        <w:spacing w:line="500" w:lineRule="exact"/>
        <w:ind w:firstLine="520" w:firstLineChars="200"/>
        <w:jc w:val="both"/>
        <w:rPr>
          <w:rFonts w:asciiTheme="minorEastAsia" w:hAnsiTheme="minorEastAsia" w:eastAsiaTheme="minorEastAsia" w:cstheme="minorEastAsia"/>
          <w:color w:val="auto"/>
          <w:spacing w:val="10"/>
          <w:sz w:val="24"/>
          <w:szCs w:val="24"/>
        </w:rPr>
      </w:pPr>
      <w:r>
        <w:rPr>
          <w:rFonts w:hint="eastAsia" w:asciiTheme="minorEastAsia" w:hAnsiTheme="minorEastAsia" w:eastAsiaTheme="minorEastAsia" w:cstheme="minorEastAsia"/>
          <w:color w:val="auto"/>
          <w:spacing w:val="10"/>
          <w:sz w:val="24"/>
          <w:szCs w:val="24"/>
        </w:rPr>
        <w:t>为加快补齐农村建设短板，推进农村人居环境综合整治，建设美丽乡村，促进农村社会文明进步，省人民政府办公厅制定了《关于全域推进农村人居环境整治建设生态宜居美丽乡村的实施方案》，提出以县为主体，以行政村为基础，以自然村为基本单元，先整治、后提升，以点带面、梯次创建、连线成片、示范带动、全域推进，滚动建设一批又一批生态宜居美丽村庄。到2025年年底前，粤东西北地区80%以上、珠三角地区100%行政村达到美丽宜居村标准。实施本项目，因村制宜地开展农村污水治理是补齐农村污水处理设施建设短板、改善农村人居环境、提升农民居住幸福指数的重要举措，是实现全省率先全面建成小康社会目标的重要组成部分“十三五”时期将是全面建成小康社会、实现我国第一个“百年目标”的决胜时期，也是深入推进水污染防治工作，全面实现水环境质量目标至关重要的五年。水环境治理作为全省全面实现小康社会的重要组成部分，呈现缺口大、任务重、时间紧迫等特点。本项目的实施有利于补齐罗定市水环境治理短板，防止污水肆意横流污染环境，对全省水环境质量的提升具有重要意义。解决罗定市水环境污染问题 粤东西北地区的污水治理已经进入攻坚阶段，本次项目内容主要针对罗定市城镇及农村地区的污水治理。项目的实施能有效填补罗定市大部分农村污水处理设施建设的空白，改善目前农村生活污水无序排放、处理能力不足的局面，切实解决水污染环境问题，不断满足农村地区人民对生活环境、生活质量日益提高的要求。</w:t>
      </w:r>
    </w:p>
    <w:p>
      <w:pPr>
        <w:pStyle w:val="32"/>
        <w:numPr>
          <w:ilvl w:val="0"/>
          <w:numId w:val="3"/>
        </w:numPr>
        <w:tabs>
          <w:tab w:val="left" w:pos="1320"/>
        </w:tabs>
        <w:spacing w:line="500" w:lineRule="exact"/>
        <w:ind w:left="0" w:firstLine="468" w:firstLineChars="200"/>
        <w:jc w:val="both"/>
        <w:rPr>
          <w:rFonts w:asciiTheme="minorEastAsia" w:hAnsiTheme="minorEastAsia" w:eastAsiaTheme="minorEastAsia" w:cstheme="minorEastAsia"/>
          <w:color w:val="auto"/>
          <w:spacing w:val="-3"/>
          <w:sz w:val="24"/>
          <w:szCs w:val="24"/>
        </w:rPr>
      </w:pPr>
      <w:r>
        <w:rPr>
          <w:rFonts w:hint="eastAsia" w:asciiTheme="minorEastAsia" w:hAnsiTheme="minorEastAsia" w:eastAsiaTheme="minorEastAsia" w:cstheme="minorEastAsia"/>
          <w:color w:val="auto"/>
          <w:spacing w:val="-3"/>
          <w:sz w:val="24"/>
          <w:szCs w:val="24"/>
        </w:rPr>
        <w:t>是实现罗定市小康社会的需要</w:t>
      </w:r>
    </w:p>
    <w:p>
      <w:pPr>
        <w:pStyle w:val="10"/>
        <w:spacing w:line="500" w:lineRule="exact"/>
        <w:ind w:firstLine="44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0"/>
          <w:sz w:val="24"/>
          <w:szCs w:val="24"/>
        </w:rPr>
        <w:t>罗定市水力资源丰富，水生态环境优势突出，境内拥有由罗定江及其支流组成的密集水系。项目的实施可以有效地保护辖区内水环境质量，改善居民的生活环境和全市的投资环境，促进罗定市经济的快速发展，符合罗定市自身发展定位要求，是罗定市</w:t>
      </w:r>
      <w:r>
        <w:rPr>
          <w:rFonts w:hint="eastAsia" w:asciiTheme="minorEastAsia" w:hAnsiTheme="minorEastAsia" w:eastAsiaTheme="minorEastAsia" w:cstheme="minorEastAsia"/>
          <w:color w:val="auto"/>
          <w:spacing w:val="-13"/>
          <w:sz w:val="24"/>
          <w:szCs w:val="24"/>
        </w:rPr>
        <w:t>全面实现小康社会的重要举措。</w:t>
      </w:r>
    </w:p>
    <w:p>
      <w:pPr>
        <w:pStyle w:val="10"/>
        <w:spacing w:line="500" w:lineRule="exact"/>
        <w:ind w:firstLine="440" w:firstLineChars="200"/>
        <w:jc w:val="both"/>
        <w:rPr>
          <w:rFonts w:asciiTheme="minorEastAsia" w:hAnsiTheme="minorEastAsia" w:eastAsiaTheme="minorEastAsia" w:cstheme="minorEastAsia"/>
          <w:color w:val="auto"/>
          <w:spacing w:val="-10"/>
          <w:sz w:val="24"/>
          <w:szCs w:val="24"/>
        </w:rPr>
      </w:pPr>
      <w:r>
        <w:rPr>
          <w:rFonts w:hint="eastAsia" w:asciiTheme="minorEastAsia" w:hAnsiTheme="minorEastAsia" w:eastAsiaTheme="minorEastAsia" w:cstheme="minorEastAsia"/>
          <w:color w:val="auto"/>
          <w:spacing w:val="-10"/>
          <w:sz w:val="24"/>
          <w:szCs w:val="24"/>
        </w:rPr>
        <w:t>根据省生态环保厅、省农业农村厅、省住房和城乡建设厅和省水利厅提出《广东省农村生活污水治理攻坚实施方案（2019-2022年）》（粤环函〔2019〕1116号文）的要求，2022年年底前全省村庄生活污水治理率提高至60%以上，粤东西北地区60%以上，珠三角地区80%以上行政村建有污水处理设施或纳入城镇污水系统统一处理，建立相对完善的农村生活污水处理设施综合管理体系。罗定市市委、市政府积极推动项目实施的相关前期工作，力争按照新时期要求保质保量高效完成本次任务，改善全市人居环境，肩负起全面建成小康社会的使命与担当。</w:t>
      </w:r>
    </w:p>
    <w:p>
      <w:pPr>
        <w:pStyle w:val="3"/>
        <w:numPr>
          <w:ilvl w:val="1"/>
          <w:numId w:val="2"/>
        </w:numPr>
        <w:tabs>
          <w:tab w:val="left" w:pos="1248"/>
        </w:tabs>
        <w:adjustRightInd/>
        <w:snapToGrid/>
        <w:spacing w:line="500" w:lineRule="exact"/>
        <w:jc w:val="both"/>
        <w:rPr>
          <w:rFonts w:asciiTheme="minorEastAsia" w:hAnsiTheme="minorEastAsia" w:eastAsiaTheme="minorEastAsia" w:cstheme="minorEastAsia"/>
          <w:color w:val="auto"/>
          <w:sz w:val="24"/>
          <w:szCs w:val="24"/>
          <w:lang w:val="en-US"/>
        </w:rPr>
      </w:pPr>
      <w:bookmarkStart w:id="18" w:name="_Toc91"/>
      <w:bookmarkStart w:id="19" w:name="_Toc6888"/>
      <w:r>
        <w:rPr>
          <w:rFonts w:hint="eastAsia" w:asciiTheme="minorEastAsia" w:hAnsiTheme="minorEastAsia" w:eastAsiaTheme="minorEastAsia" w:cstheme="minorEastAsia"/>
          <w:color w:val="auto"/>
          <w:sz w:val="24"/>
          <w:szCs w:val="24"/>
        </w:rPr>
        <w:t>结论及主要经济指标</w:t>
      </w:r>
      <w:bookmarkEnd w:id="18"/>
      <w:bookmarkEnd w:id="19"/>
    </w:p>
    <w:p>
      <w:pPr>
        <w:pStyle w:val="32"/>
        <w:numPr>
          <w:ilvl w:val="2"/>
          <w:numId w:val="2"/>
        </w:numPr>
        <w:tabs>
          <w:tab w:val="left" w:pos="1496"/>
          <w:tab w:val="left" w:pos="858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项目实施范围</w:t>
      </w:r>
    </w:p>
    <w:p>
      <w:pPr>
        <w:pStyle w:val="10"/>
        <w:spacing w:line="500" w:lineRule="exact"/>
        <w:ind w:firstLine="440" w:firstLineChars="200"/>
        <w:jc w:val="both"/>
        <w:rPr>
          <w:rFonts w:asciiTheme="minorEastAsia" w:hAnsiTheme="minorEastAsia" w:eastAsiaTheme="minorEastAsia" w:cstheme="minorEastAsia"/>
          <w:color w:val="auto"/>
          <w:spacing w:val="-10"/>
          <w:sz w:val="24"/>
          <w:szCs w:val="24"/>
          <w:highlight w:val="none"/>
        </w:rPr>
      </w:pPr>
      <w:r>
        <w:rPr>
          <w:rFonts w:hint="eastAsia" w:asciiTheme="minorEastAsia" w:hAnsiTheme="minorEastAsia" w:eastAsiaTheme="minorEastAsia" w:cstheme="minorEastAsia"/>
          <w:color w:val="auto"/>
          <w:spacing w:val="-10"/>
          <w:sz w:val="24"/>
          <w:szCs w:val="24"/>
          <w:lang w:val="en-US" w:eastAsia="zh-CN"/>
        </w:rPr>
        <w:t>根据广东省生态环境厅印发《</w:t>
      </w:r>
      <w:r>
        <w:rPr>
          <w:rFonts w:hint="eastAsia" w:asciiTheme="minorEastAsia" w:hAnsiTheme="minorEastAsia" w:eastAsiaTheme="minorEastAsia" w:cstheme="minorEastAsia"/>
          <w:color w:val="auto"/>
          <w:spacing w:val="-10"/>
          <w:sz w:val="24"/>
          <w:szCs w:val="24"/>
        </w:rPr>
        <w:t>关于商请修订县域农村生活污水治理全覆盖攻坚行动方案的函</w:t>
      </w:r>
      <w:r>
        <w:rPr>
          <w:rFonts w:hint="eastAsia" w:asciiTheme="minorEastAsia" w:hAnsiTheme="minorEastAsia" w:eastAsiaTheme="minorEastAsia" w:cstheme="minorEastAsia"/>
          <w:color w:val="auto"/>
          <w:spacing w:val="-10"/>
          <w:sz w:val="24"/>
          <w:szCs w:val="24"/>
          <w:lang w:val="en-US" w:eastAsia="zh-CN"/>
        </w:rPr>
        <w:t>》中下达的要求，到2024年底，云浮市罗定市全市农村生活污水治理率达到77%以上。截止2023年年底，云浮市罗定市已完成1305个自然村的生活污水治理，治理率达到35%。</w:t>
      </w:r>
      <w:r>
        <w:rPr>
          <w:rFonts w:hint="eastAsia" w:asciiTheme="minorEastAsia" w:hAnsiTheme="minorEastAsia" w:eastAsiaTheme="minorEastAsia" w:cstheme="minorEastAsia"/>
          <w:color w:val="auto"/>
          <w:spacing w:val="-10"/>
          <w:sz w:val="24"/>
          <w:szCs w:val="24"/>
          <w:highlight w:val="none"/>
          <w:lang w:val="en-US" w:eastAsia="zh-CN"/>
        </w:rPr>
        <w:t>本次需</w:t>
      </w:r>
      <w:r>
        <w:rPr>
          <w:rFonts w:hint="eastAsia" w:asciiTheme="minorEastAsia" w:hAnsiTheme="minorEastAsia" w:eastAsiaTheme="minorEastAsia" w:cstheme="minorEastAsia"/>
          <w:color w:val="auto"/>
          <w:spacing w:val="-10"/>
          <w:sz w:val="24"/>
          <w:szCs w:val="24"/>
          <w:highlight w:val="none"/>
          <w:lang w:eastAsia="zh-CN"/>
        </w:rPr>
        <w:t>新增完成1494个自然村</w:t>
      </w:r>
      <w:r>
        <w:rPr>
          <w:rFonts w:hint="eastAsia" w:asciiTheme="minorEastAsia" w:hAnsiTheme="minorEastAsia" w:eastAsiaTheme="minorEastAsia" w:cstheme="minorEastAsia"/>
          <w:color w:val="auto"/>
          <w:spacing w:val="-10"/>
          <w:sz w:val="24"/>
          <w:szCs w:val="24"/>
          <w:highlight w:val="none"/>
          <w:lang w:val="en-US" w:eastAsia="zh-CN"/>
        </w:rPr>
        <w:t>的</w:t>
      </w:r>
      <w:r>
        <w:rPr>
          <w:rFonts w:hint="eastAsia" w:asciiTheme="minorEastAsia" w:hAnsiTheme="minorEastAsia" w:eastAsiaTheme="minorEastAsia" w:cstheme="minorEastAsia"/>
          <w:color w:val="auto"/>
          <w:spacing w:val="-10"/>
          <w:sz w:val="24"/>
          <w:szCs w:val="24"/>
          <w:highlight w:val="none"/>
          <w:lang w:eastAsia="zh-CN"/>
        </w:rPr>
        <w:t>生活污水治理，</w:t>
      </w:r>
      <w:r>
        <w:rPr>
          <w:rFonts w:hint="eastAsia" w:asciiTheme="minorEastAsia" w:hAnsiTheme="minorEastAsia" w:eastAsiaTheme="minorEastAsia" w:cstheme="minorEastAsia"/>
          <w:color w:val="auto"/>
          <w:spacing w:val="-10"/>
          <w:sz w:val="24"/>
          <w:szCs w:val="24"/>
          <w:highlight w:val="none"/>
          <w:lang w:val="en-US" w:eastAsia="zh-CN"/>
        </w:rPr>
        <w:t>本项目设计内容覆盖20个镇街</w:t>
      </w:r>
      <w:r>
        <w:rPr>
          <w:rFonts w:hint="eastAsia" w:asciiTheme="minorEastAsia" w:hAnsiTheme="minorEastAsia" w:eastAsiaTheme="minorEastAsia" w:cstheme="minorEastAsia"/>
          <w:color w:val="auto"/>
          <w:spacing w:val="-10"/>
          <w:sz w:val="24"/>
          <w:szCs w:val="24"/>
          <w:highlight w:val="none"/>
          <w:lang w:eastAsia="zh-CN"/>
        </w:rPr>
        <w:t>1494</w:t>
      </w:r>
      <w:r>
        <w:rPr>
          <w:rFonts w:hint="eastAsia" w:asciiTheme="minorEastAsia" w:hAnsiTheme="minorEastAsia" w:eastAsiaTheme="minorEastAsia" w:cstheme="minorEastAsia"/>
          <w:color w:val="auto"/>
          <w:spacing w:val="-10"/>
          <w:sz w:val="24"/>
          <w:szCs w:val="24"/>
          <w:highlight w:val="none"/>
          <w:lang w:val="en-US" w:eastAsia="zh-CN"/>
        </w:rPr>
        <w:t>个自然村，</w:t>
      </w:r>
      <w:r>
        <w:rPr>
          <w:rFonts w:hint="eastAsia" w:asciiTheme="minorEastAsia" w:hAnsiTheme="minorEastAsia" w:eastAsiaTheme="minorEastAsia" w:cstheme="minorEastAsia"/>
          <w:color w:val="auto"/>
          <w:spacing w:val="-10"/>
          <w:sz w:val="24"/>
          <w:szCs w:val="24"/>
          <w:highlight w:val="none"/>
        </w:rPr>
        <w:t>总服务人口约</w:t>
      </w:r>
      <w:r>
        <w:rPr>
          <w:rFonts w:hint="eastAsia" w:asciiTheme="minorEastAsia" w:hAnsiTheme="minorEastAsia" w:eastAsiaTheme="minorEastAsia" w:cstheme="minorEastAsia"/>
          <w:color w:val="auto"/>
          <w:spacing w:val="-10"/>
          <w:sz w:val="24"/>
          <w:szCs w:val="24"/>
          <w:highlight w:val="none"/>
          <w:lang w:eastAsia="zh-CN"/>
        </w:rPr>
        <w:t>24.05万人</w:t>
      </w:r>
      <w:r>
        <w:rPr>
          <w:rFonts w:hint="eastAsia" w:asciiTheme="minorEastAsia" w:hAnsiTheme="minorEastAsia" w:eastAsiaTheme="minorEastAsia" w:cstheme="minorEastAsia"/>
          <w:color w:val="auto"/>
          <w:spacing w:val="-10"/>
          <w:sz w:val="24"/>
          <w:szCs w:val="24"/>
          <w:highlight w:val="none"/>
        </w:rPr>
        <w:t>。</w:t>
      </w:r>
    </w:p>
    <w:p>
      <w:pPr>
        <w:pStyle w:val="32"/>
        <w:numPr>
          <w:ilvl w:val="2"/>
          <w:numId w:val="2"/>
        </w:numPr>
        <w:tabs>
          <w:tab w:val="left" w:pos="1496"/>
        </w:tabs>
        <w:spacing w:line="500" w:lineRule="exact"/>
        <w:ind w:left="0" w:firstLine="482" w:firstLineChars="200"/>
        <w:jc w:val="both"/>
        <w:rPr>
          <w:rFonts w:asciiTheme="minorEastAsia" w:hAnsiTheme="minorEastAsia" w:eastAsiaTheme="minorEastAsia" w:cstheme="minorEastAsia"/>
          <w:b/>
          <w:color w:val="auto"/>
          <w:sz w:val="24"/>
          <w:szCs w:val="24"/>
          <w:highlight w:val="none"/>
        </w:rPr>
      </w:pPr>
      <w:r>
        <w:rPr>
          <w:rFonts w:hint="eastAsia" w:asciiTheme="minorEastAsia" w:hAnsiTheme="minorEastAsia" w:eastAsiaTheme="minorEastAsia" w:cstheme="minorEastAsia"/>
          <w:b/>
          <w:color w:val="auto"/>
          <w:sz w:val="24"/>
          <w:szCs w:val="24"/>
          <w:highlight w:val="none"/>
        </w:rPr>
        <w:t>项目内容</w:t>
      </w:r>
    </w:p>
    <w:p>
      <w:pPr>
        <w:pStyle w:val="10"/>
        <w:spacing w:line="500" w:lineRule="exact"/>
        <w:ind w:firstLine="480" w:firstLineChars="200"/>
        <w:jc w:val="both"/>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建设地点：云浮罗定市20个镇街区域范围内。</w:t>
      </w:r>
    </w:p>
    <w:p>
      <w:pPr>
        <w:pStyle w:val="10"/>
        <w:spacing w:line="500" w:lineRule="exact"/>
        <w:ind w:firstLine="480" w:firstLineChars="200"/>
        <w:jc w:val="both"/>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建设内容：本项目拟在罗定市20个镇街区域范围内涉及</w:t>
      </w:r>
      <w:r>
        <w:rPr>
          <w:rFonts w:hint="eastAsia" w:asciiTheme="minorEastAsia" w:hAnsiTheme="minorEastAsia" w:eastAsiaTheme="minorEastAsia" w:cstheme="minorEastAsia"/>
          <w:color w:val="auto"/>
          <w:sz w:val="24"/>
          <w:szCs w:val="24"/>
          <w:highlight w:val="none"/>
          <w:lang w:val="en-US" w:eastAsia="zh-CN"/>
        </w:rPr>
        <w:t>1494</w:t>
      </w:r>
      <w:r>
        <w:rPr>
          <w:rFonts w:hint="eastAsia" w:asciiTheme="minorEastAsia" w:hAnsiTheme="minorEastAsia" w:eastAsiaTheme="minorEastAsia" w:cstheme="minorEastAsia"/>
          <w:color w:val="auto"/>
          <w:sz w:val="24"/>
          <w:szCs w:val="24"/>
          <w:highlight w:val="none"/>
          <w:lang w:eastAsia="zh-CN"/>
        </w:rPr>
        <w:t>个自然村，治理农村生活污水，总体设计处理规模为</w:t>
      </w:r>
      <w:r>
        <w:rPr>
          <w:rFonts w:hint="eastAsia" w:asciiTheme="minorEastAsia" w:hAnsiTheme="minorEastAsia" w:eastAsiaTheme="minorEastAsia" w:cstheme="minorEastAsia"/>
          <w:color w:val="auto"/>
          <w:sz w:val="24"/>
          <w:szCs w:val="24"/>
          <w:highlight w:val="none"/>
        </w:rPr>
        <w:t>12540m³/d</w:t>
      </w:r>
      <w:r>
        <w:rPr>
          <w:rFonts w:hint="eastAsia" w:asciiTheme="minorEastAsia" w:hAnsiTheme="minorEastAsia" w:eastAsiaTheme="minorEastAsia" w:cstheme="minorEastAsia"/>
          <w:color w:val="auto"/>
          <w:sz w:val="24"/>
          <w:szCs w:val="24"/>
          <w:highlight w:val="none"/>
          <w:lang w:eastAsia="zh-CN"/>
        </w:rPr>
        <w:t>，服务人口约</w:t>
      </w:r>
      <w:r>
        <w:rPr>
          <w:rFonts w:hint="eastAsia" w:asciiTheme="minorEastAsia" w:hAnsiTheme="minorEastAsia" w:eastAsiaTheme="minorEastAsia" w:cstheme="minorEastAsia"/>
          <w:color w:val="auto"/>
          <w:sz w:val="24"/>
          <w:szCs w:val="24"/>
          <w:highlight w:val="none"/>
          <w:lang w:val="en-US" w:eastAsia="zh-CN"/>
        </w:rPr>
        <w:t>24.05</w:t>
      </w:r>
      <w:r>
        <w:rPr>
          <w:rFonts w:hint="eastAsia" w:asciiTheme="minorEastAsia" w:hAnsiTheme="minorEastAsia" w:eastAsiaTheme="minorEastAsia" w:cstheme="minorEastAsia"/>
          <w:color w:val="auto"/>
          <w:sz w:val="24"/>
          <w:szCs w:val="24"/>
          <w:highlight w:val="none"/>
          <w:lang w:eastAsia="zh-CN"/>
        </w:rPr>
        <w:t>万人，根据自然村实际情况采用资源化利用、人工湿地、一体化设备之一作为主体工艺处理农村生活污水。</w:t>
      </w:r>
    </w:p>
    <w:p>
      <w:pPr>
        <w:pStyle w:val="32"/>
        <w:numPr>
          <w:ilvl w:val="2"/>
          <w:numId w:val="2"/>
        </w:numPr>
        <w:tabs>
          <w:tab w:val="left" w:pos="1496"/>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新建项目投资估算及资金筹措</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highlight w:val="none"/>
        </w:rPr>
        <w:t>本项目总投资估算</w:t>
      </w:r>
      <w:r>
        <w:rPr>
          <w:rFonts w:hint="eastAsia" w:asciiTheme="minorEastAsia" w:hAnsiTheme="minorEastAsia" w:eastAsiaTheme="minorEastAsia" w:cstheme="minorEastAsia"/>
          <w:color w:val="auto"/>
          <w:sz w:val="24"/>
          <w:szCs w:val="24"/>
          <w:highlight w:val="none"/>
          <w:lang w:val="en-US" w:eastAsia="zh-CN"/>
        </w:rPr>
        <w:t>80815.07万元</w:t>
      </w:r>
      <w:r>
        <w:rPr>
          <w:rFonts w:hint="eastAsia" w:asciiTheme="minorEastAsia" w:hAnsiTheme="minorEastAsia" w:eastAsiaTheme="minorEastAsia" w:cstheme="minorEastAsia"/>
          <w:color w:val="auto"/>
          <w:sz w:val="24"/>
          <w:szCs w:val="24"/>
          <w:highlight w:val="none"/>
        </w:rPr>
        <w:t>，其中工程费为</w:t>
      </w:r>
      <w:r>
        <w:rPr>
          <w:rFonts w:hint="eastAsia" w:asciiTheme="minorEastAsia" w:hAnsiTheme="minorEastAsia" w:eastAsiaTheme="minorEastAsia" w:cstheme="minorEastAsia"/>
          <w:color w:val="auto"/>
          <w:sz w:val="24"/>
          <w:szCs w:val="24"/>
          <w:highlight w:val="none"/>
          <w:lang w:eastAsia="zh-CN"/>
        </w:rPr>
        <w:t>69876.66万元</w:t>
      </w:r>
      <w:r>
        <w:rPr>
          <w:rFonts w:hint="eastAsia" w:asciiTheme="minorEastAsia" w:hAnsiTheme="minorEastAsia" w:eastAsiaTheme="minorEastAsia" w:cstheme="minorEastAsia"/>
          <w:color w:val="auto"/>
          <w:sz w:val="24"/>
          <w:szCs w:val="24"/>
          <w:highlight w:val="none"/>
        </w:rPr>
        <w:t>，</w:t>
      </w:r>
      <w:r>
        <w:rPr>
          <w:rFonts w:hint="eastAsia" w:asciiTheme="minorEastAsia" w:hAnsiTheme="minorEastAsia" w:eastAsiaTheme="minorEastAsia" w:cstheme="minorEastAsia"/>
          <w:color w:val="auto"/>
          <w:spacing w:val="-11"/>
          <w:sz w:val="24"/>
          <w:szCs w:val="24"/>
          <w:highlight w:val="none"/>
        </w:rPr>
        <w:t xml:space="preserve">工程其他费用 </w:t>
      </w:r>
      <w:r>
        <w:rPr>
          <w:rFonts w:hint="eastAsia" w:asciiTheme="minorEastAsia" w:hAnsiTheme="minorEastAsia" w:eastAsiaTheme="minorEastAsia" w:cstheme="minorEastAsia"/>
          <w:color w:val="auto"/>
          <w:spacing w:val="-8"/>
          <w:sz w:val="24"/>
          <w:szCs w:val="24"/>
          <w:highlight w:val="none"/>
          <w:lang w:val="en-US" w:eastAsia="zh-CN"/>
        </w:rPr>
        <w:t>8584.58万元</w:t>
      </w:r>
      <w:r>
        <w:rPr>
          <w:rFonts w:hint="eastAsia" w:asciiTheme="minorEastAsia" w:hAnsiTheme="minorEastAsia" w:eastAsiaTheme="minorEastAsia" w:cstheme="minorEastAsia"/>
          <w:color w:val="auto"/>
          <w:spacing w:val="-31"/>
          <w:sz w:val="24"/>
          <w:szCs w:val="24"/>
          <w:highlight w:val="none"/>
        </w:rPr>
        <w:t>，预</w:t>
      </w:r>
      <w:r>
        <w:rPr>
          <w:rFonts w:hint="eastAsia" w:asciiTheme="minorEastAsia" w:hAnsiTheme="minorEastAsia" w:eastAsiaTheme="minorEastAsia" w:cstheme="minorEastAsia"/>
          <w:color w:val="auto"/>
          <w:spacing w:val="-8"/>
          <w:sz w:val="24"/>
          <w:szCs w:val="24"/>
          <w:highlight w:val="none"/>
          <w:lang w:val="en-US" w:eastAsia="zh-CN"/>
        </w:rPr>
        <w:t>备费2353.84万元</w:t>
      </w:r>
      <w:r>
        <w:rPr>
          <w:rFonts w:hint="eastAsia" w:asciiTheme="minorEastAsia" w:hAnsiTheme="minorEastAsia" w:eastAsiaTheme="minorEastAsia" w:cstheme="minorEastAsia"/>
          <w:color w:val="auto"/>
          <w:spacing w:val="-8"/>
          <w:sz w:val="24"/>
          <w:szCs w:val="24"/>
          <w:highlight w:val="none"/>
          <w:lang w:val="en-US"/>
        </w:rPr>
        <w:t>。</w:t>
      </w:r>
      <w:r>
        <w:rPr>
          <w:rFonts w:hint="eastAsia" w:asciiTheme="minorEastAsia" w:hAnsiTheme="minorEastAsia" w:eastAsiaTheme="minorEastAsia" w:cstheme="minorEastAsia"/>
          <w:color w:val="auto"/>
          <w:sz w:val="24"/>
          <w:szCs w:val="24"/>
        </w:rPr>
        <w:t>项目实施建设的工期紧张，建设模式宜采用EPC总承包模式，以加快推进项目建设进度。本项目作为农村生活污水治理设施，属于政府负有提供责任又适宜市场化运作的公共服务、基础设施类项目。项目资金来源于地方财政资金或申请上级专项补助资金。</w:t>
      </w:r>
    </w:p>
    <w:p>
      <w:pPr>
        <w:pStyle w:val="32"/>
        <w:numPr>
          <w:ilvl w:val="2"/>
          <w:numId w:val="2"/>
        </w:numPr>
        <w:tabs>
          <w:tab w:val="left" w:pos="1496"/>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社会经济效益</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罗定市生活污水处理设施的建设，能有效改善农村生活污水无序排放、处理能力不足的局面，切实保护辖区内水环境质量，对改善全市的卫生环境和生态环境、提高农民生活质量意义重大，同时可避免或降低水域污染产生的经济损失，改善招商环境，提高罗定市对人才及资本的吸引力，促进全市旅游业的发展，对推动全市经济发展具有重要作用，产生的间接的、潜在的经济效益和社会效益明显。</w:t>
      </w:r>
    </w:p>
    <w:p>
      <w:pPr>
        <w:spacing w:line="500" w:lineRule="exact"/>
        <w:ind w:firstLine="480" w:firstLineChars="200"/>
        <w:jc w:val="both"/>
        <w:rPr>
          <w:rFonts w:asciiTheme="minorEastAsia" w:hAnsiTheme="minorEastAsia" w:eastAsiaTheme="minorEastAsia" w:cstheme="minorEastAsia"/>
          <w:color w:val="auto"/>
          <w:sz w:val="24"/>
          <w:szCs w:val="24"/>
        </w:rPr>
        <w:sectPr>
          <w:footerReference r:id="rId7" w:type="default"/>
          <w:type w:val="nextColumn"/>
          <w:pgSz w:w="11910" w:h="16840"/>
          <w:pgMar w:top="1418" w:right="1418" w:bottom="1418" w:left="1701" w:header="0" w:footer="512" w:gutter="0"/>
          <w:cols w:space="720" w:num="1"/>
        </w:sectPr>
      </w:pPr>
    </w:p>
    <w:p>
      <w:pPr>
        <w:pStyle w:val="2"/>
        <w:ind w:left="0" w:firstLine="3534" w:firstLineChars="1100"/>
        <w:rPr>
          <w:rFonts w:asciiTheme="minorEastAsia" w:hAnsiTheme="minorEastAsia" w:eastAsiaTheme="minorEastAsia" w:cstheme="minorEastAsia"/>
          <w:color w:val="auto"/>
          <w:sz w:val="24"/>
          <w:szCs w:val="24"/>
        </w:rPr>
      </w:pPr>
      <w:bookmarkStart w:id="20" w:name="_Toc22759"/>
      <w:bookmarkStart w:id="21" w:name="_Toc12853"/>
      <w:r>
        <w:rPr>
          <w:rFonts w:hint="eastAsia"/>
          <w:color w:val="auto"/>
        </w:rPr>
        <w:t>二、城市概况</w:t>
      </w:r>
      <w:bookmarkEnd w:id="20"/>
      <w:bookmarkEnd w:id="21"/>
      <w:bookmarkStart w:id="22" w:name="_Toc21255"/>
    </w:p>
    <w:p>
      <w:pPr>
        <w:pStyle w:val="32"/>
        <w:numPr>
          <w:ilvl w:val="1"/>
          <w:numId w:val="4"/>
        </w:numPr>
        <w:tabs>
          <w:tab w:val="left" w:pos="1248"/>
        </w:tabs>
        <w:jc w:val="both"/>
        <w:outlineLvl w:val="1"/>
        <w:rPr>
          <w:rFonts w:asciiTheme="minorEastAsia" w:hAnsiTheme="minorEastAsia" w:eastAsiaTheme="minorEastAsia" w:cstheme="minorEastAsia"/>
          <w:b/>
          <w:color w:val="auto"/>
          <w:sz w:val="24"/>
          <w:szCs w:val="24"/>
        </w:rPr>
      </w:pPr>
      <w:bookmarkStart w:id="23" w:name="_Toc28327"/>
      <w:r>
        <w:rPr>
          <w:rFonts w:hint="eastAsia" w:asciiTheme="minorEastAsia" w:hAnsiTheme="minorEastAsia" w:eastAsiaTheme="minorEastAsia" w:cstheme="minorEastAsia"/>
          <w:b/>
          <w:color w:val="auto"/>
          <w:sz w:val="24"/>
          <w:szCs w:val="24"/>
        </w:rPr>
        <w:t>城市性质及规模</w:t>
      </w:r>
      <w:bookmarkEnd w:id="22"/>
      <w:bookmarkEnd w:id="23"/>
    </w:p>
    <w:p>
      <w:pPr>
        <w:pStyle w:val="32"/>
        <w:numPr>
          <w:ilvl w:val="2"/>
          <w:numId w:val="4"/>
        </w:numPr>
        <w:tabs>
          <w:tab w:val="left" w:pos="1623"/>
        </w:tabs>
        <w:spacing w:line="500" w:lineRule="exact"/>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地理位置</w:t>
      </w:r>
    </w:p>
    <w:p>
      <w:pPr>
        <w:pStyle w:val="10"/>
        <w:spacing w:line="500" w:lineRule="exact"/>
        <w:ind w:firstLine="468" w:firstLineChars="200"/>
        <w:jc w:val="both"/>
        <w:rPr>
          <w:rFonts w:asciiTheme="minorEastAsia" w:hAnsiTheme="minorEastAsia" w:eastAsiaTheme="minorEastAsia" w:cstheme="minorEastAsia"/>
          <w:color w:val="auto"/>
          <w:spacing w:val="-3"/>
          <w:sz w:val="24"/>
          <w:szCs w:val="24"/>
        </w:rPr>
      </w:pPr>
      <w:r>
        <w:rPr>
          <w:rFonts w:hint="eastAsia" w:asciiTheme="minorEastAsia" w:hAnsiTheme="minorEastAsia" w:eastAsiaTheme="minorEastAsia" w:cstheme="minorEastAsia"/>
          <w:color w:val="auto"/>
          <w:spacing w:val="-3"/>
          <w:sz w:val="24"/>
          <w:szCs w:val="24"/>
        </w:rPr>
        <w:t>罗定市隶属广东省云浮市，位于广东省西北部，云浮市西南部，紧邻广西壮族自治区，西江一级支流罗定江（泷江）流经其间。地处东经111º03´~111º52´，北纬22º25´~22º57´之间，东与云安县接壤，西邻岑溪市，南连阳春市、信宜市，北与郁南县毗邻。</w:t>
      </w:r>
    </w:p>
    <w:p>
      <w:pPr>
        <w:pStyle w:val="10"/>
        <w:spacing w:line="500" w:lineRule="exact"/>
        <w:ind w:firstLine="468" w:firstLineChars="200"/>
        <w:jc w:val="both"/>
        <w:rPr>
          <w:rFonts w:asciiTheme="minorEastAsia" w:hAnsiTheme="minorEastAsia" w:eastAsiaTheme="minorEastAsia" w:cstheme="minorEastAsia"/>
          <w:color w:val="auto"/>
          <w:spacing w:val="-3"/>
          <w:sz w:val="24"/>
          <w:szCs w:val="24"/>
        </w:rPr>
      </w:pPr>
      <w:r>
        <w:rPr>
          <w:rFonts w:hint="eastAsia" w:asciiTheme="minorEastAsia" w:hAnsiTheme="minorEastAsia" w:eastAsiaTheme="minorEastAsia" w:cstheme="minorEastAsia"/>
          <w:color w:val="auto"/>
          <w:spacing w:val="-3"/>
          <w:sz w:val="24"/>
          <w:szCs w:val="24"/>
        </w:rPr>
        <w:t>罗定市是广东省进出大西南的重要门户之一，“泛珠三角”经济联系的纽带之一，广东省西江产业带与云（浮）—广（州）—梅（州）城镇发展轴的交汇点。距离广州市200多公里，紧邻珠三角城镇群；东距云浮市80公里，西距梧州市140公里；324国道、352省道、369省道和280省道从市域穿过，具有较为优越的区位条件和便利的交通条件。罗定市地理区位图见图</w:t>
      </w:r>
      <w:r>
        <w:rPr>
          <w:rFonts w:hint="eastAsia" w:asciiTheme="minorEastAsia" w:hAnsiTheme="minorEastAsia" w:eastAsiaTheme="minorEastAsia" w:cstheme="minorEastAsia"/>
          <w:color w:val="auto"/>
          <w:spacing w:val="-3"/>
          <w:sz w:val="24"/>
          <w:szCs w:val="24"/>
          <w:lang w:val="en-US"/>
        </w:rPr>
        <w:t>2</w:t>
      </w:r>
      <w:r>
        <w:rPr>
          <w:rFonts w:asciiTheme="minorEastAsia" w:hAnsiTheme="minorEastAsia" w:eastAsiaTheme="minorEastAsia" w:cstheme="minorEastAsia"/>
          <w:color w:val="auto"/>
          <w:spacing w:val="-3"/>
          <w:sz w:val="24"/>
          <w:szCs w:val="24"/>
          <w:lang w:val="en-US"/>
        </w:rPr>
        <w:t>.1</w:t>
      </w:r>
      <w:r>
        <w:rPr>
          <w:rFonts w:hint="eastAsia" w:asciiTheme="minorEastAsia" w:hAnsiTheme="minorEastAsia" w:eastAsiaTheme="minorEastAsia" w:cstheme="minorEastAsia"/>
          <w:color w:val="auto"/>
          <w:spacing w:val="-3"/>
          <w:sz w:val="24"/>
          <w:szCs w:val="24"/>
          <w:lang w:val="en-US"/>
        </w:rPr>
        <w:t>-1</w:t>
      </w:r>
      <w:r>
        <w:rPr>
          <w:rFonts w:hint="eastAsia" w:asciiTheme="minorEastAsia" w:hAnsiTheme="minorEastAsia" w:eastAsiaTheme="minorEastAsia" w:cstheme="minorEastAsia"/>
          <w:color w:val="auto"/>
          <w:spacing w:val="-3"/>
          <w:sz w:val="24"/>
          <w:szCs w:val="24"/>
        </w:rPr>
        <w:t>。</w:t>
      </w:r>
    </w:p>
    <w:p>
      <w:pPr>
        <w:pStyle w:val="10"/>
        <w:spacing w:line="360" w:lineRule="auto"/>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lang w:val="en-US" w:bidi="ar-SA"/>
        </w:rPr>
        <w:drawing>
          <wp:inline distT="0" distB="0" distL="0" distR="0">
            <wp:extent cx="4529455" cy="3031490"/>
            <wp:effectExtent l="0" t="0" r="4445"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pic:cNvPicPr>
                      <a:picLocks noChangeAspect="1"/>
                    </pic:cNvPicPr>
                  </pic:nvPicPr>
                  <pic:blipFill>
                    <a:blip r:embed="rId25" cstate="print"/>
                    <a:stretch>
                      <a:fillRect/>
                    </a:stretch>
                  </pic:blipFill>
                  <pic:spPr>
                    <a:xfrm>
                      <a:off x="0" y="0"/>
                      <a:ext cx="4561616" cy="3053312"/>
                    </a:xfrm>
                    <a:prstGeom prst="rect">
                      <a:avLst/>
                    </a:prstGeom>
                  </pic:spPr>
                </pic:pic>
              </a:graphicData>
            </a:graphic>
          </wp:inline>
        </w:drawing>
      </w:r>
    </w:p>
    <w:p>
      <w:pPr>
        <w:spacing w:line="500" w:lineRule="exact"/>
        <w:ind w:firstLine="2741" w:firstLineChars="1300"/>
        <w:jc w:val="both"/>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图 2</w:t>
      </w:r>
      <w:r>
        <w:rPr>
          <w:rFonts w:hint="eastAsia" w:asciiTheme="minorEastAsia" w:hAnsiTheme="minorEastAsia" w:eastAsiaTheme="minorEastAsia" w:cstheme="minorEastAsia"/>
          <w:b/>
          <w:color w:val="auto"/>
          <w:sz w:val="21"/>
          <w:szCs w:val="21"/>
          <w:lang w:val="en-US"/>
        </w:rPr>
        <w:t>.1</w:t>
      </w:r>
      <w:r>
        <w:rPr>
          <w:rFonts w:hint="eastAsia" w:asciiTheme="minorEastAsia" w:hAnsiTheme="minorEastAsia" w:eastAsiaTheme="minorEastAsia" w:cstheme="minorEastAsia"/>
          <w:b/>
          <w:color w:val="auto"/>
          <w:sz w:val="21"/>
          <w:szCs w:val="21"/>
        </w:rPr>
        <w:t>-1 罗定市地理区位图</w:t>
      </w:r>
    </w:p>
    <w:p>
      <w:pPr>
        <w:pStyle w:val="32"/>
        <w:numPr>
          <w:ilvl w:val="2"/>
          <w:numId w:val="4"/>
        </w:numPr>
        <w:tabs>
          <w:tab w:val="left" w:pos="1623"/>
        </w:tabs>
        <w:spacing w:line="500" w:lineRule="exact"/>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城市历史</w:t>
      </w:r>
    </w:p>
    <w:p>
      <w:pPr>
        <w:pStyle w:val="10"/>
        <w:spacing w:line="500" w:lineRule="exact"/>
        <w:ind w:firstLine="44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0"/>
          <w:sz w:val="24"/>
          <w:szCs w:val="24"/>
        </w:rPr>
        <w:t>罗定历史悠久，古称泷州，又名泷水。秦属南海郡，汉隶苍</w:t>
      </w:r>
      <w:r>
        <w:rPr>
          <w:rFonts w:hint="eastAsia" w:asciiTheme="minorEastAsia" w:hAnsiTheme="minorEastAsia" w:eastAsiaTheme="minorEastAsia" w:cstheme="minorEastAsia"/>
          <w:color w:val="auto"/>
          <w:spacing w:val="-11"/>
          <w:sz w:val="24"/>
          <w:szCs w:val="24"/>
        </w:rPr>
        <w:t>梧郡端州县，宋设泷水县，明升直隶州。县级以上</w:t>
      </w:r>
      <w:r>
        <w:rPr>
          <w:rFonts w:hint="eastAsia" w:asciiTheme="minorEastAsia" w:hAnsiTheme="minorEastAsia" w:eastAsiaTheme="minorEastAsia" w:cstheme="minorEastAsia"/>
          <w:color w:val="auto"/>
          <w:spacing w:val="-3"/>
          <w:sz w:val="24"/>
          <w:szCs w:val="24"/>
        </w:rPr>
        <w:t>（</w:t>
      </w:r>
      <w:r>
        <w:rPr>
          <w:rFonts w:hint="eastAsia" w:asciiTheme="minorEastAsia" w:hAnsiTheme="minorEastAsia" w:eastAsiaTheme="minorEastAsia" w:cstheme="minorEastAsia"/>
          <w:color w:val="auto"/>
          <w:sz w:val="24"/>
          <w:szCs w:val="24"/>
        </w:rPr>
        <w:t>含县级</w:t>
      </w:r>
      <w:r>
        <w:rPr>
          <w:rFonts w:hint="eastAsia" w:asciiTheme="minorEastAsia" w:hAnsiTheme="minorEastAsia" w:eastAsiaTheme="minorEastAsia" w:cstheme="minorEastAsia"/>
          <w:color w:val="auto"/>
          <w:spacing w:val="-15"/>
          <w:sz w:val="24"/>
          <w:szCs w:val="24"/>
        </w:rPr>
        <w:t>）</w:t>
      </w:r>
      <w:r>
        <w:rPr>
          <w:rFonts w:hint="eastAsia" w:asciiTheme="minorEastAsia" w:hAnsiTheme="minorEastAsia" w:eastAsiaTheme="minorEastAsia" w:cstheme="minorEastAsia"/>
          <w:color w:val="auto"/>
          <w:sz w:val="24"/>
          <w:szCs w:val="24"/>
        </w:rPr>
        <w:t>行</w:t>
      </w:r>
      <w:r>
        <w:rPr>
          <w:rFonts w:hint="eastAsia" w:asciiTheme="minorEastAsia" w:hAnsiTheme="minorEastAsia" w:eastAsiaTheme="minorEastAsia" w:cstheme="minorEastAsia"/>
          <w:color w:val="auto"/>
          <w:spacing w:val="-5"/>
          <w:sz w:val="24"/>
          <w:szCs w:val="24"/>
        </w:rPr>
        <w:t>政建制历史长达</w:t>
      </w:r>
      <w:r>
        <w:rPr>
          <w:rFonts w:hint="eastAsia" w:asciiTheme="minorEastAsia" w:hAnsiTheme="minorEastAsia" w:eastAsiaTheme="minorEastAsia" w:cstheme="minorEastAsia"/>
          <w:color w:val="auto"/>
          <w:sz w:val="24"/>
          <w:szCs w:val="24"/>
        </w:rPr>
        <w:t>1600</w:t>
      </w:r>
      <w:r>
        <w:rPr>
          <w:rFonts w:hint="eastAsia" w:asciiTheme="minorEastAsia" w:hAnsiTheme="minorEastAsia" w:eastAsiaTheme="minorEastAsia" w:cstheme="minorEastAsia"/>
          <w:color w:val="auto"/>
          <w:spacing w:val="-2"/>
          <w:sz w:val="24"/>
          <w:szCs w:val="24"/>
        </w:rPr>
        <w:t>多年。</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1912</w:t>
      </w:r>
      <w:r>
        <w:rPr>
          <w:rFonts w:hint="eastAsia" w:asciiTheme="minorEastAsia" w:hAnsiTheme="minorEastAsia" w:eastAsiaTheme="minorEastAsia" w:cstheme="minorEastAsia"/>
          <w:color w:val="auto"/>
          <w:spacing w:val="-10"/>
          <w:sz w:val="24"/>
          <w:szCs w:val="24"/>
        </w:rPr>
        <w:t>年，废罗定直隶州，设立罗定县。</w:t>
      </w:r>
      <w:r>
        <w:rPr>
          <w:rFonts w:hint="eastAsia" w:asciiTheme="minorEastAsia" w:hAnsiTheme="minorEastAsia" w:eastAsiaTheme="minorEastAsia" w:cstheme="minorEastAsia"/>
          <w:color w:val="auto"/>
          <w:sz w:val="24"/>
          <w:szCs w:val="24"/>
        </w:rPr>
        <w:t>1956</w:t>
      </w:r>
      <w:r>
        <w:rPr>
          <w:rFonts w:hint="eastAsia" w:asciiTheme="minorEastAsia" w:hAnsiTheme="minorEastAsia" w:eastAsiaTheme="minorEastAsia" w:cstheme="minorEastAsia"/>
          <w:color w:val="auto"/>
          <w:spacing w:val="19"/>
          <w:sz w:val="24"/>
          <w:szCs w:val="24"/>
        </w:rPr>
        <w:t>年</w:t>
      </w:r>
      <w:r>
        <w:rPr>
          <w:rFonts w:hint="eastAsia" w:asciiTheme="minorEastAsia" w:hAnsiTheme="minorEastAsia" w:eastAsiaTheme="minorEastAsia" w:cstheme="minorEastAsia"/>
          <w:color w:val="auto"/>
          <w:sz w:val="24"/>
          <w:szCs w:val="24"/>
        </w:rPr>
        <w:t>12</w:t>
      </w:r>
      <w:r>
        <w:rPr>
          <w:rFonts w:hint="eastAsia" w:asciiTheme="minorEastAsia" w:hAnsiTheme="minorEastAsia" w:eastAsiaTheme="minorEastAsia" w:cstheme="minorEastAsia"/>
          <w:color w:val="auto"/>
          <w:spacing w:val="-3"/>
          <w:sz w:val="24"/>
          <w:szCs w:val="24"/>
        </w:rPr>
        <w:t>月，郁南县的加益区</w:t>
      </w:r>
      <w:r>
        <w:rPr>
          <w:rFonts w:hint="eastAsia" w:asciiTheme="minorEastAsia" w:hAnsiTheme="minorEastAsia" w:eastAsiaTheme="minorEastAsia" w:cstheme="minorEastAsia"/>
          <w:color w:val="auto"/>
          <w:sz w:val="24"/>
          <w:szCs w:val="24"/>
        </w:rPr>
        <w:t>（含今加益、扶合两镇）划归罗定县管辖。1958年11</w:t>
      </w:r>
      <w:r>
        <w:rPr>
          <w:rFonts w:hint="eastAsia" w:asciiTheme="minorEastAsia" w:hAnsiTheme="minorEastAsia" w:eastAsiaTheme="minorEastAsia" w:cstheme="minorEastAsia"/>
          <w:color w:val="auto"/>
          <w:spacing w:val="-3"/>
          <w:sz w:val="24"/>
          <w:szCs w:val="24"/>
        </w:rPr>
        <w:t>月，罗定、郁南两县合并，称罗南县，</w:t>
      </w:r>
      <w:r>
        <w:rPr>
          <w:rFonts w:hint="eastAsia" w:asciiTheme="minorEastAsia" w:hAnsiTheme="minorEastAsia" w:eastAsiaTheme="minorEastAsia" w:cstheme="minorEastAsia"/>
          <w:color w:val="auto"/>
          <w:sz w:val="24"/>
          <w:szCs w:val="24"/>
        </w:rPr>
        <w:t xml:space="preserve">1959 </w:t>
      </w:r>
      <w:r>
        <w:rPr>
          <w:rFonts w:hint="eastAsia" w:asciiTheme="minorEastAsia" w:hAnsiTheme="minorEastAsia" w:eastAsiaTheme="minorEastAsia" w:cstheme="minorEastAsia"/>
          <w:color w:val="auto"/>
          <w:spacing w:val="38"/>
          <w:sz w:val="24"/>
          <w:szCs w:val="24"/>
        </w:rPr>
        <w:t>年</w:t>
      </w:r>
      <w:r>
        <w:rPr>
          <w:rFonts w:hint="eastAsia" w:asciiTheme="minorEastAsia" w:hAnsiTheme="minorEastAsia" w:eastAsiaTheme="minorEastAsia" w:cstheme="minorEastAsia"/>
          <w:color w:val="auto"/>
          <w:sz w:val="24"/>
          <w:szCs w:val="24"/>
        </w:rPr>
        <w:t>1月改称罗定</w:t>
      </w:r>
      <w:r>
        <w:rPr>
          <w:rFonts w:hint="eastAsia" w:asciiTheme="minorEastAsia" w:hAnsiTheme="minorEastAsia" w:eastAsiaTheme="minorEastAsia" w:cstheme="minorEastAsia"/>
          <w:color w:val="auto"/>
          <w:spacing w:val="-2"/>
          <w:sz w:val="24"/>
          <w:szCs w:val="24"/>
        </w:rPr>
        <w:t>县。</w:t>
      </w:r>
      <w:r>
        <w:rPr>
          <w:rFonts w:hint="eastAsia" w:asciiTheme="minorEastAsia" w:hAnsiTheme="minorEastAsia" w:eastAsiaTheme="minorEastAsia" w:cstheme="minorEastAsia"/>
          <w:color w:val="auto"/>
          <w:sz w:val="24"/>
          <w:szCs w:val="24"/>
        </w:rPr>
        <w:t>1961</w:t>
      </w:r>
      <w:r>
        <w:rPr>
          <w:rFonts w:hint="eastAsia" w:asciiTheme="minorEastAsia" w:hAnsiTheme="minorEastAsia" w:eastAsiaTheme="minorEastAsia" w:cstheme="minorEastAsia"/>
          <w:color w:val="auto"/>
          <w:spacing w:val="33"/>
          <w:sz w:val="24"/>
          <w:szCs w:val="24"/>
        </w:rPr>
        <w:t>年</w:t>
      </w:r>
      <w:r>
        <w:rPr>
          <w:rFonts w:hint="eastAsia" w:asciiTheme="minorEastAsia" w:hAnsiTheme="minorEastAsia" w:eastAsiaTheme="minorEastAsia" w:cstheme="minorEastAsia"/>
          <w:color w:val="auto"/>
          <w:sz w:val="24"/>
          <w:szCs w:val="24"/>
        </w:rPr>
        <w:t>4</w:t>
      </w:r>
      <w:r>
        <w:rPr>
          <w:rFonts w:hint="eastAsia" w:asciiTheme="minorEastAsia" w:hAnsiTheme="minorEastAsia" w:eastAsiaTheme="minorEastAsia" w:cstheme="minorEastAsia"/>
          <w:color w:val="auto"/>
          <w:spacing w:val="-13"/>
          <w:sz w:val="24"/>
          <w:szCs w:val="24"/>
        </w:rPr>
        <w:t>月，恢复罗定、郁南两县建制，同时将原有属郁南</w:t>
      </w:r>
      <w:r>
        <w:rPr>
          <w:rFonts w:hint="eastAsia" w:asciiTheme="minorEastAsia" w:hAnsiTheme="minorEastAsia" w:eastAsiaTheme="minorEastAsia" w:cstheme="minorEastAsia"/>
          <w:color w:val="auto"/>
          <w:spacing w:val="-6"/>
          <w:sz w:val="24"/>
          <w:szCs w:val="24"/>
        </w:rPr>
        <w:t>县的榃滨公社</w:t>
      </w:r>
      <w:r>
        <w:rPr>
          <w:rFonts w:hint="eastAsia" w:asciiTheme="minorEastAsia" w:hAnsiTheme="minorEastAsia" w:eastAsiaTheme="minorEastAsia" w:cstheme="minorEastAsia"/>
          <w:color w:val="auto"/>
          <w:spacing w:val="9"/>
          <w:sz w:val="24"/>
          <w:szCs w:val="24"/>
        </w:rPr>
        <w:t>（</w:t>
      </w:r>
      <w:r>
        <w:rPr>
          <w:rFonts w:hint="eastAsia" w:asciiTheme="minorEastAsia" w:hAnsiTheme="minorEastAsia" w:eastAsiaTheme="minorEastAsia" w:cstheme="minorEastAsia"/>
          <w:color w:val="auto"/>
          <w:spacing w:val="4"/>
          <w:sz w:val="24"/>
          <w:szCs w:val="24"/>
        </w:rPr>
        <w:t>含今榃滨、新乐两镇</w:t>
      </w:r>
      <w:r>
        <w:rPr>
          <w:rFonts w:hint="eastAsia" w:asciiTheme="minorEastAsia" w:hAnsiTheme="minorEastAsia" w:eastAsiaTheme="minorEastAsia" w:cstheme="minorEastAsia"/>
          <w:color w:val="auto"/>
          <w:spacing w:val="-8"/>
          <w:sz w:val="24"/>
          <w:szCs w:val="24"/>
        </w:rPr>
        <w:t>）</w:t>
      </w:r>
      <w:r>
        <w:rPr>
          <w:rFonts w:hint="eastAsia" w:asciiTheme="minorEastAsia" w:hAnsiTheme="minorEastAsia" w:eastAsiaTheme="minorEastAsia" w:cstheme="minorEastAsia"/>
          <w:color w:val="auto"/>
          <w:sz w:val="24"/>
          <w:szCs w:val="24"/>
        </w:rPr>
        <w:t>及大湾公社的雅言、白</w:t>
      </w:r>
      <w:r>
        <w:rPr>
          <w:rFonts w:hint="eastAsia" w:asciiTheme="minorEastAsia" w:hAnsiTheme="minorEastAsia" w:eastAsiaTheme="minorEastAsia" w:cstheme="minorEastAsia"/>
          <w:color w:val="auto"/>
          <w:spacing w:val="-21"/>
          <w:sz w:val="24"/>
          <w:szCs w:val="24"/>
        </w:rPr>
        <w:t xml:space="preserve">头、牛角杀、茶满、平地 </w:t>
      </w:r>
      <w:r>
        <w:rPr>
          <w:rFonts w:hint="eastAsia" w:asciiTheme="minorEastAsia" w:hAnsiTheme="minorEastAsia" w:eastAsiaTheme="minorEastAsia" w:cstheme="minorEastAsia"/>
          <w:color w:val="auto"/>
          <w:sz w:val="24"/>
          <w:szCs w:val="24"/>
        </w:rPr>
        <w:t>5</w:t>
      </w:r>
      <w:r>
        <w:rPr>
          <w:rFonts w:hint="eastAsia" w:asciiTheme="minorEastAsia" w:hAnsiTheme="minorEastAsia" w:eastAsiaTheme="minorEastAsia" w:cstheme="minorEastAsia"/>
          <w:color w:val="auto"/>
          <w:spacing w:val="-5"/>
          <w:sz w:val="24"/>
          <w:szCs w:val="24"/>
        </w:rPr>
        <w:t>个大队划归罗定县。</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1993</w:t>
      </w:r>
      <w:r>
        <w:rPr>
          <w:rFonts w:hint="eastAsia" w:asciiTheme="minorEastAsia" w:hAnsiTheme="minorEastAsia" w:eastAsiaTheme="minorEastAsia" w:cstheme="minorEastAsia"/>
          <w:color w:val="auto"/>
          <w:spacing w:val="-42"/>
          <w:sz w:val="24"/>
          <w:szCs w:val="24"/>
        </w:rPr>
        <w:t>年</w:t>
      </w:r>
      <w:r>
        <w:rPr>
          <w:rFonts w:hint="eastAsia" w:asciiTheme="minorEastAsia" w:hAnsiTheme="minorEastAsia" w:eastAsiaTheme="minorEastAsia" w:cstheme="minorEastAsia"/>
          <w:color w:val="auto"/>
          <w:sz w:val="24"/>
          <w:szCs w:val="24"/>
        </w:rPr>
        <w:t>4</w:t>
      </w:r>
      <w:r>
        <w:rPr>
          <w:rFonts w:hint="eastAsia" w:asciiTheme="minorEastAsia" w:hAnsiTheme="minorEastAsia" w:eastAsiaTheme="minorEastAsia" w:cstheme="minorEastAsia"/>
          <w:color w:val="auto"/>
          <w:spacing w:val="-3"/>
          <w:sz w:val="24"/>
          <w:szCs w:val="24"/>
        </w:rPr>
        <w:t>月，经国务院批准，撤销罗定县，设立罗定市，</w:t>
      </w:r>
      <w:r>
        <w:rPr>
          <w:rFonts w:hint="eastAsia" w:asciiTheme="minorEastAsia" w:hAnsiTheme="minorEastAsia" w:eastAsiaTheme="minorEastAsia" w:cstheme="minorEastAsia"/>
          <w:color w:val="auto"/>
          <w:spacing w:val="11"/>
          <w:sz w:val="24"/>
          <w:szCs w:val="24"/>
        </w:rPr>
        <w:t>由广东省直辖，委托肇庆市代管。</w:t>
      </w:r>
      <w:r>
        <w:rPr>
          <w:rFonts w:hint="eastAsia" w:asciiTheme="minorEastAsia" w:hAnsiTheme="minorEastAsia" w:eastAsiaTheme="minorEastAsia" w:cstheme="minorEastAsia"/>
          <w:color w:val="auto"/>
          <w:sz w:val="24"/>
          <w:szCs w:val="24"/>
        </w:rPr>
        <w:t>1994</w:t>
      </w:r>
      <w:r>
        <w:rPr>
          <w:rFonts w:hint="eastAsia" w:asciiTheme="minorEastAsia" w:hAnsiTheme="minorEastAsia" w:eastAsiaTheme="minorEastAsia" w:cstheme="minorEastAsia"/>
          <w:color w:val="auto"/>
          <w:spacing w:val="33"/>
          <w:sz w:val="24"/>
          <w:szCs w:val="24"/>
        </w:rPr>
        <w:t>年</w:t>
      </w:r>
      <w:r>
        <w:rPr>
          <w:rFonts w:hint="eastAsia" w:asciiTheme="minorEastAsia" w:hAnsiTheme="minorEastAsia" w:eastAsiaTheme="minorEastAsia" w:cstheme="minorEastAsia"/>
          <w:color w:val="auto"/>
          <w:sz w:val="24"/>
          <w:szCs w:val="24"/>
        </w:rPr>
        <w:t>4</w:t>
      </w:r>
      <w:r>
        <w:rPr>
          <w:rFonts w:hint="eastAsia" w:asciiTheme="minorEastAsia" w:hAnsiTheme="minorEastAsia" w:eastAsiaTheme="minorEastAsia" w:cstheme="minorEastAsia"/>
          <w:color w:val="auto"/>
          <w:spacing w:val="9"/>
          <w:sz w:val="24"/>
          <w:szCs w:val="24"/>
        </w:rPr>
        <w:t>月改由云浮市代</w:t>
      </w:r>
      <w:r>
        <w:rPr>
          <w:rFonts w:hint="eastAsia" w:asciiTheme="minorEastAsia" w:hAnsiTheme="minorEastAsia" w:eastAsiaTheme="minorEastAsia" w:cstheme="minorEastAsia"/>
          <w:color w:val="auto"/>
          <w:spacing w:val="-2"/>
          <w:sz w:val="24"/>
          <w:szCs w:val="24"/>
        </w:rPr>
        <w:t>管。</w:t>
      </w:r>
    </w:p>
    <w:p>
      <w:pPr>
        <w:pStyle w:val="32"/>
        <w:numPr>
          <w:ilvl w:val="2"/>
          <w:numId w:val="4"/>
        </w:numPr>
        <w:tabs>
          <w:tab w:val="left" w:pos="1623"/>
        </w:tabs>
        <w:spacing w:line="500" w:lineRule="exact"/>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城市性质</w:t>
      </w:r>
    </w:p>
    <w:p>
      <w:pPr>
        <w:pStyle w:val="10"/>
        <w:spacing w:line="500" w:lineRule="exact"/>
        <w:ind w:firstLine="44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8"/>
          <w:sz w:val="24"/>
          <w:szCs w:val="24"/>
        </w:rPr>
        <w:t>根据《罗定市城市总体规划</w:t>
      </w:r>
      <w:r>
        <w:rPr>
          <w:rFonts w:hint="eastAsia" w:asciiTheme="minorEastAsia" w:hAnsiTheme="minorEastAsia" w:eastAsiaTheme="minorEastAsia" w:cstheme="minorEastAsia"/>
          <w:color w:val="auto"/>
          <w:sz w:val="24"/>
          <w:szCs w:val="24"/>
        </w:rPr>
        <w:t>（2011—2030</w:t>
      </w:r>
      <w:r>
        <w:rPr>
          <w:rFonts w:hint="eastAsia" w:asciiTheme="minorEastAsia" w:hAnsiTheme="minorEastAsia" w:eastAsiaTheme="minorEastAsia" w:cstheme="minorEastAsia"/>
          <w:color w:val="auto"/>
          <w:spacing w:val="-5"/>
          <w:sz w:val="24"/>
          <w:szCs w:val="24"/>
        </w:rPr>
        <w:t>年</w:t>
      </w:r>
      <w:r>
        <w:rPr>
          <w:rFonts w:hint="eastAsia" w:asciiTheme="minorEastAsia" w:hAnsiTheme="minorEastAsia" w:eastAsiaTheme="minorEastAsia" w:cstheme="minorEastAsia"/>
          <w:color w:val="auto"/>
          <w:spacing w:val="-142"/>
          <w:sz w:val="24"/>
          <w:szCs w:val="24"/>
        </w:rPr>
        <w:t>）</w:t>
      </w:r>
      <w:r>
        <w:rPr>
          <w:rFonts w:hint="eastAsia" w:asciiTheme="minorEastAsia" w:hAnsiTheme="minorEastAsia" w:eastAsiaTheme="minorEastAsia" w:cstheme="minorEastAsia"/>
          <w:color w:val="auto"/>
          <w:spacing w:val="-18"/>
          <w:sz w:val="24"/>
          <w:szCs w:val="24"/>
        </w:rPr>
        <w:t>》，罗定市城市定位</w:t>
      </w:r>
      <w:r>
        <w:rPr>
          <w:rFonts w:hint="eastAsia" w:asciiTheme="minorEastAsia" w:hAnsiTheme="minorEastAsia" w:eastAsiaTheme="minorEastAsia" w:cstheme="minorEastAsia"/>
          <w:color w:val="auto"/>
          <w:spacing w:val="-20"/>
          <w:sz w:val="24"/>
          <w:szCs w:val="24"/>
        </w:rPr>
        <w:t>为融入珠三角、沟通大西南、建设粤桂边工业新城；城市性质为广东省</w:t>
      </w:r>
      <w:r>
        <w:rPr>
          <w:rFonts w:hint="eastAsia" w:asciiTheme="minorEastAsia" w:hAnsiTheme="minorEastAsia" w:eastAsiaTheme="minorEastAsia" w:cstheme="minorEastAsia"/>
          <w:color w:val="auto"/>
          <w:spacing w:val="-17"/>
          <w:sz w:val="24"/>
          <w:szCs w:val="24"/>
        </w:rPr>
        <w:t>“粤桂”交汇中心城市，省级历史文化名城，云浮市域副中心城市，</w:t>
      </w:r>
      <w:r>
        <w:rPr>
          <w:rFonts w:hint="eastAsia" w:asciiTheme="minorEastAsia" w:hAnsiTheme="minorEastAsia" w:eastAsiaTheme="minorEastAsia" w:cstheme="minorEastAsia"/>
          <w:color w:val="auto"/>
          <w:spacing w:val="-8"/>
          <w:sz w:val="24"/>
          <w:szCs w:val="24"/>
        </w:rPr>
        <w:t>广东省重要的农业商贸、环保工业和综合交通枢纽中心。</w:t>
      </w:r>
    </w:p>
    <w:p>
      <w:pPr>
        <w:pStyle w:val="32"/>
        <w:numPr>
          <w:ilvl w:val="2"/>
          <w:numId w:val="4"/>
        </w:numPr>
        <w:tabs>
          <w:tab w:val="left" w:pos="1623"/>
        </w:tabs>
        <w:spacing w:line="500" w:lineRule="exact"/>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4"/>
          <w:sz w:val="24"/>
          <w:szCs w:val="24"/>
        </w:rPr>
        <w:t>建成区面积</w:t>
      </w:r>
    </w:p>
    <w:p>
      <w:pPr>
        <w:pStyle w:val="10"/>
        <w:spacing w:line="500" w:lineRule="exact"/>
        <w:ind w:firstLine="42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4"/>
          <w:sz w:val="24"/>
          <w:szCs w:val="24"/>
        </w:rPr>
        <w:t>罗定全市总面积</w:t>
      </w:r>
      <w:r>
        <w:rPr>
          <w:rFonts w:hint="eastAsia" w:asciiTheme="minorEastAsia" w:hAnsiTheme="minorEastAsia" w:eastAsiaTheme="minorEastAsia" w:cstheme="minorEastAsia"/>
          <w:color w:val="auto"/>
          <w:sz w:val="24"/>
          <w:szCs w:val="24"/>
        </w:rPr>
        <w:t>2327.5</w:t>
      </w:r>
      <w:r>
        <w:rPr>
          <w:rFonts w:hint="eastAsia" w:asciiTheme="minorEastAsia" w:hAnsiTheme="minorEastAsia" w:eastAsiaTheme="minorEastAsia" w:cstheme="minorEastAsia"/>
          <w:color w:val="auto"/>
          <w:spacing w:val="-11"/>
          <w:sz w:val="24"/>
          <w:szCs w:val="24"/>
        </w:rPr>
        <w:t>平方公里，其中山区面积</w:t>
      </w:r>
      <w:r>
        <w:rPr>
          <w:rFonts w:hint="eastAsia" w:asciiTheme="minorEastAsia" w:hAnsiTheme="minorEastAsia" w:eastAsiaTheme="minorEastAsia" w:cstheme="minorEastAsia"/>
          <w:color w:val="auto"/>
          <w:sz w:val="24"/>
          <w:szCs w:val="24"/>
        </w:rPr>
        <w:t>873.4</w:t>
      </w:r>
      <w:r>
        <w:rPr>
          <w:rFonts w:hint="eastAsia" w:asciiTheme="minorEastAsia" w:hAnsiTheme="minorEastAsia" w:eastAsiaTheme="minorEastAsia" w:cstheme="minorEastAsia"/>
          <w:color w:val="auto"/>
          <w:spacing w:val="-7"/>
          <w:sz w:val="24"/>
          <w:szCs w:val="24"/>
        </w:rPr>
        <w:t>平方公里，</w:t>
      </w:r>
      <w:r>
        <w:rPr>
          <w:rFonts w:hint="eastAsia" w:asciiTheme="minorEastAsia" w:hAnsiTheme="minorEastAsia" w:eastAsiaTheme="minorEastAsia" w:cstheme="minorEastAsia"/>
          <w:color w:val="auto"/>
          <w:spacing w:val="-16"/>
          <w:sz w:val="24"/>
          <w:szCs w:val="24"/>
        </w:rPr>
        <w:t>占全市的37.5%</w:t>
      </w:r>
      <w:r>
        <w:rPr>
          <w:rFonts w:hint="eastAsia" w:asciiTheme="minorEastAsia" w:hAnsiTheme="minorEastAsia" w:eastAsiaTheme="minorEastAsia" w:cstheme="minorEastAsia"/>
          <w:color w:val="auto"/>
          <w:spacing w:val="-19"/>
          <w:sz w:val="24"/>
          <w:szCs w:val="24"/>
        </w:rPr>
        <w:t>；丘陵面积</w:t>
      </w:r>
      <w:r>
        <w:rPr>
          <w:rFonts w:hint="eastAsia" w:asciiTheme="minorEastAsia" w:hAnsiTheme="minorEastAsia" w:eastAsiaTheme="minorEastAsia" w:cstheme="minorEastAsia"/>
          <w:color w:val="auto"/>
          <w:sz w:val="24"/>
          <w:szCs w:val="24"/>
        </w:rPr>
        <w:t>954.1</w:t>
      </w:r>
      <w:r>
        <w:rPr>
          <w:rFonts w:hint="eastAsia" w:asciiTheme="minorEastAsia" w:hAnsiTheme="minorEastAsia" w:eastAsiaTheme="minorEastAsia" w:cstheme="minorEastAsia"/>
          <w:color w:val="auto"/>
          <w:spacing w:val="-13"/>
          <w:sz w:val="24"/>
          <w:szCs w:val="24"/>
        </w:rPr>
        <w:t>平方公里，占41.0%</w:t>
      </w:r>
      <w:r>
        <w:rPr>
          <w:rFonts w:hint="eastAsia" w:asciiTheme="minorEastAsia" w:hAnsiTheme="minorEastAsia" w:eastAsiaTheme="minorEastAsia" w:cstheme="minorEastAsia"/>
          <w:color w:val="auto"/>
          <w:spacing w:val="-15"/>
          <w:sz w:val="24"/>
          <w:szCs w:val="24"/>
        </w:rPr>
        <w:t>；平原面积</w:t>
      </w:r>
      <w:r>
        <w:rPr>
          <w:rFonts w:hint="eastAsia" w:asciiTheme="minorEastAsia" w:hAnsiTheme="minorEastAsia" w:eastAsiaTheme="minorEastAsia" w:cstheme="minorEastAsia"/>
          <w:color w:val="auto"/>
          <w:spacing w:val="-8"/>
          <w:sz w:val="24"/>
          <w:szCs w:val="24"/>
        </w:rPr>
        <w:t>500</w:t>
      </w:r>
      <w:r>
        <w:rPr>
          <w:rFonts w:hint="eastAsia" w:asciiTheme="minorEastAsia" w:hAnsiTheme="minorEastAsia" w:eastAsiaTheme="minorEastAsia" w:cstheme="minorEastAsia"/>
          <w:color w:val="auto"/>
          <w:spacing w:val="-14"/>
          <w:sz w:val="24"/>
          <w:szCs w:val="24"/>
        </w:rPr>
        <w:t>平方</w:t>
      </w:r>
      <w:r>
        <w:rPr>
          <w:rFonts w:hint="eastAsia" w:asciiTheme="minorEastAsia" w:hAnsiTheme="minorEastAsia" w:eastAsiaTheme="minorEastAsia" w:cstheme="minorEastAsia"/>
          <w:color w:val="auto"/>
          <w:spacing w:val="-25"/>
          <w:sz w:val="24"/>
          <w:szCs w:val="24"/>
        </w:rPr>
        <w:t xml:space="preserve">公里，占 </w:t>
      </w:r>
      <w:r>
        <w:rPr>
          <w:rFonts w:hint="eastAsia" w:asciiTheme="minorEastAsia" w:hAnsiTheme="minorEastAsia" w:eastAsiaTheme="minorEastAsia" w:cstheme="minorEastAsia"/>
          <w:color w:val="auto"/>
          <w:sz w:val="24"/>
          <w:szCs w:val="24"/>
        </w:rPr>
        <w:t>21.5%</w:t>
      </w:r>
      <w:r>
        <w:rPr>
          <w:rFonts w:hint="eastAsia" w:asciiTheme="minorEastAsia" w:hAnsiTheme="minorEastAsia" w:eastAsiaTheme="minorEastAsia" w:cstheme="minorEastAsia"/>
          <w:color w:val="auto"/>
          <w:spacing w:val="-15"/>
          <w:sz w:val="24"/>
          <w:szCs w:val="24"/>
        </w:rPr>
        <w:t>。</w:t>
      </w:r>
      <w:r>
        <w:rPr>
          <w:rFonts w:hint="eastAsia" w:asciiTheme="minorEastAsia" w:hAnsiTheme="minorEastAsia" w:eastAsiaTheme="minorEastAsia" w:cstheme="minorEastAsia"/>
          <w:color w:val="auto"/>
          <w:sz w:val="24"/>
          <w:szCs w:val="24"/>
        </w:rPr>
        <w:t>2015</w:t>
      </w:r>
      <w:r>
        <w:rPr>
          <w:rFonts w:hint="eastAsia" w:asciiTheme="minorEastAsia" w:hAnsiTheme="minorEastAsia" w:eastAsiaTheme="minorEastAsia" w:cstheme="minorEastAsia"/>
          <w:color w:val="auto"/>
          <w:spacing w:val="-22"/>
          <w:sz w:val="24"/>
          <w:szCs w:val="24"/>
        </w:rPr>
        <w:t>年，全市有耕地面积</w:t>
      </w:r>
      <w:r>
        <w:rPr>
          <w:rFonts w:hint="eastAsia" w:asciiTheme="minorEastAsia" w:hAnsiTheme="minorEastAsia" w:eastAsiaTheme="minorEastAsia" w:cstheme="minorEastAsia"/>
          <w:color w:val="auto"/>
          <w:sz w:val="24"/>
          <w:szCs w:val="24"/>
        </w:rPr>
        <w:t>687606.75</w:t>
      </w:r>
      <w:r>
        <w:rPr>
          <w:rFonts w:hint="eastAsia" w:asciiTheme="minorEastAsia" w:hAnsiTheme="minorEastAsia" w:eastAsiaTheme="minorEastAsia" w:cstheme="minorEastAsia"/>
          <w:color w:val="auto"/>
          <w:spacing w:val="-4"/>
          <w:sz w:val="24"/>
          <w:szCs w:val="24"/>
        </w:rPr>
        <w:t>亩，其中水</w:t>
      </w:r>
      <w:r>
        <w:rPr>
          <w:rFonts w:hint="eastAsia" w:asciiTheme="minorEastAsia" w:hAnsiTheme="minorEastAsia" w:eastAsiaTheme="minorEastAsia" w:cstheme="minorEastAsia"/>
          <w:color w:val="auto"/>
          <w:sz w:val="24"/>
          <w:szCs w:val="24"/>
        </w:rPr>
        <w:t>旱田687449.25亩。根据《罗定市2017年政府工作报告》，编制</w:t>
      </w:r>
      <w:r>
        <w:rPr>
          <w:rFonts w:hint="eastAsia" w:asciiTheme="minorEastAsia" w:hAnsiTheme="minorEastAsia" w:eastAsiaTheme="minorEastAsia" w:cstheme="minorEastAsia"/>
          <w:color w:val="auto"/>
          <w:spacing w:val="-22"/>
          <w:sz w:val="24"/>
          <w:szCs w:val="24"/>
        </w:rPr>
        <w:t>《罗定市总体规划</w:t>
      </w:r>
      <w:r>
        <w:rPr>
          <w:rFonts w:hint="eastAsia" w:asciiTheme="minorEastAsia" w:hAnsiTheme="minorEastAsia" w:eastAsiaTheme="minorEastAsia" w:cstheme="minorEastAsia"/>
          <w:color w:val="auto"/>
          <w:spacing w:val="-4"/>
          <w:sz w:val="24"/>
          <w:szCs w:val="24"/>
        </w:rPr>
        <w:t>（2011-2030</w:t>
      </w:r>
      <w:r>
        <w:rPr>
          <w:rFonts w:hint="eastAsia" w:asciiTheme="minorEastAsia" w:hAnsiTheme="minorEastAsia" w:eastAsiaTheme="minorEastAsia" w:cstheme="minorEastAsia"/>
          <w:color w:val="auto"/>
          <w:spacing w:val="-3"/>
          <w:sz w:val="24"/>
          <w:szCs w:val="24"/>
        </w:rPr>
        <w:t>年</w:t>
      </w:r>
      <w:r>
        <w:rPr>
          <w:rFonts w:hint="eastAsia" w:asciiTheme="minorEastAsia" w:hAnsiTheme="minorEastAsia" w:eastAsiaTheme="minorEastAsia" w:cstheme="minorEastAsia"/>
          <w:color w:val="auto"/>
          <w:spacing w:val="-145"/>
          <w:sz w:val="24"/>
          <w:szCs w:val="24"/>
        </w:rPr>
        <w:t>）</w:t>
      </w:r>
      <w:r>
        <w:rPr>
          <w:rFonts w:hint="eastAsia" w:asciiTheme="minorEastAsia" w:hAnsiTheme="minorEastAsia" w:eastAsiaTheme="minorEastAsia" w:cstheme="minorEastAsia"/>
          <w:color w:val="auto"/>
          <w:spacing w:val="-16"/>
          <w:sz w:val="24"/>
          <w:szCs w:val="24"/>
        </w:rPr>
        <w:t>》，引领中心城区扩容提质，城区</w:t>
      </w:r>
      <w:r>
        <w:rPr>
          <w:rFonts w:hint="eastAsia" w:asciiTheme="minorEastAsia" w:hAnsiTheme="minorEastAsia" w:eastAsiaTheme="minorEastAsia" w:cstheme="minorEastAsia"/>
          <w:color w:val="auto"/>
          <w:spacing w:val="-13"/>
          <w:sz w:val="24"/>
          <w:szCs w:val="24"/>
        </w:rPr>
        <w:t>建成区面积扩大至</w:t>
      </w:r>
      <w:r>
        <w:rPr>
          <w:rFonts w:hint="eastAsia" w:asciiTheme="minorEastAsia" w:hAnsiTheme="minorEastAsia" w:eastAsiaTheme="minorEastAsia" w:cstheme="minorEastAsia"/>
          <w:color w:val="auto"/>
          <w:sz w:val="24"/>
          <w:szCs w:val="24"/>
        </w:rPr>
        <w:t>24.1</w:t>
      </w:r>
      <w:r>
        <w:rPr>
          <w:rFonts w:hint="eastAsia" w:asciiTheme="minorEastAsia" w:hAnsiTheme="minorEastAsia" w:eastAsiaTheme="minorEastAsia" w:cstheme="minorEastAsia"/>
          <w:color w:val="auto"/>
          <w:spacing w:val="-4"/>
          <w:sz w:val="24"/>
          <w:szCs w:val="24"/>
        </w:rPr>
        <w:t>平方公里。</w:t>
      </w:r>
    </w:p>
    <w:p>
      <w:pPr>
        <w:pStyle w:val="32"/>
        <w:numPr>
          <w:ilvl w:val="2"/>
          <w:numId w:val="4"/>
        </w:numPr>
        <w:tabs>
          <w:tab w:val="left" w:pos="1623"/>
        </w:tabs>
        <w:spacing w:line="500" w:lineRule="exact"/>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行政区划</w:t>
      </w:r>
    </w:p>
    <w:p>
      <w:pPr>
        <w:pStyle w:val="10"/>
        <w:spacing w:line="500" w:lineRule="exact"/>
        <w:ind w:firstLine="372" w:firstLineChars="200"/>
        <w:jc w:val="both"/>
        <w:rPr>
          <w:rFonts w:asciiTheme="minorEastAsia" w:hAnsiTheme="minorEastAsia" w:eastAsiaTheme="minorEastAsia" w:cstheme="minorEastAsia"/>
          <w:color w:val="auto"/>
          <w:spacing w:val="-4"/>
          <w:sz w:val="24"/>
          <w:szCs w:val="24"/>
        </w:rPr>
      </w:pPr>
      <w:r>
        <w:rPr>
          <w:rFonts w:hint="eastAsia" w:asciiTheme="minorEastAsia" w:hAnsiTheme="minorEastAsia" w:eastAsiaTheme="minorEastAsia" w:cstheme="minorEastAsia"/>
          <w:color w:val="auto"/>
          <w:spacing w:val="-27"/>
          <w:sz w:val="24"/>
          <w:szCs w:val="24"/>
        </w:rPr>
        <w:t xml:space="preserve">截至 </w:t>
      </w:r>
      <w:r>
        <w:rPr>
          <w:rFonts w:hint="eastAsia" w:asciiTheme="minorEastAsia" w:hAnsiTheme="minorEastAsia" w:eastAsiaTheme="minorEastAsia" w:cstheme="minorEastAsia"/>
          <w:color w:val="auto"/>
          <w:sz w:val="24"/>
          <w:szCs w:val="24"/>
        </w:rPr>
        <w:t>2016</w:t>
      </w:r>
      <w:r>
        <w:rPr>
          <w:rFonts w:hint="eastAsia" w:asciiTheme="minorEastAsia" w:hAnsiTheme="minorEastAsia" w:eastAsiaTheme="minorEastAsia" w:cstheme="minorEastAsia"/>
          <w:color w:val="auto"/>
          <w:spacing w:val="-26"/>
          <w:sz w:val="24"/>
          <w:szCs w:val="24"/>
        </w:rPr>
        <w:t>年末，罗定市辖</w:t>
      </w:r>
      <w:r>
        <w:rPr>
          <w:rFonts w:hint="eastAsia" w:asciiTheme="minorEastAsia" w:hAnsiTheme="minorEastAsia" w:eastAsiaTheme="minorEastAsia" w:cstheme="minorEastAsia"/>
          <w:color w:val="auto"/>
          <w:spacing w:val="-26"/>
          <w:sz w:val="24"/>
          <w:szCs w:val="24"/>
          <w:lang w:val="en-US"/>
        </w:rPr>
        <w:t xml:space="preserve"> </w:t>
      </w:r>
      <w:r>
        <w:rPr>
          <w:rFonts w:hint="eastAsia" w:asciiTheme="minorEastAsia" w:hAnsiTheme="minorEastAsia" w:eastAsiaTheme="minorEastAsia" w:cstheme="minorEastAsia"/>
          <w:color w:val="auto"/>
          <w:sz w:val="24"/>
          <w:szCs w:val="24"/>
        </w:rPr>
        <w:t>4</w:t>
      </w:r>
      <w:r>
        <w:rPr>
          <w:rFonts w:hint="eastAsia" w:asciiTheme="minorEastAsia" w:hAnsiTheme="minorEastAsia" w:eastAsiaTheme="minorEastAsia" w:cstheme="minorEastAsia"/>
          <w:color w:val="auto"/>
          <w:spacing w:val="-5"/>
          <w:sz w:val="24"/>
          <w:szCs w:val="24"/>
        </w:rPr>
        <w:t>个街道及</w:t>
      </w:r>
      <w:r>
        <w:rPr>
          <w:rFonts w:hint="eastAsia" w:asciiTheme="minorEastAsia" w:hAnsiTheme="minorEastAsia" w:eastAsiaTheme="minorEastAsia" w:cstheme="minorEastAsia"/>
          <w:color w:val="auto"/>
          <w:sz w:val="24"/>
          <w:szCs w:val="24"/>
        </w:rPr>
        <w:t>17</w:t>
      </w:r>
      <w:r>
        <w:rPr>
          <w:rFonts w:hint="eastAsia" w:asciiTheme="minorEastAsia" w:hAnsiTheme="minorEastAsia" w:eastAsiaTheme="minorEastAsia" w:cstheme="minorEastAsia"/>
          <w:color w:val="auto"/>
          <w:spacing w:val="-19"/>
          <w:sz w:val="24"/>
          <w:szCs w:val="24"/>
        </w:rPr>
        <w:t>个镇，分别为罗城街道、</w:t>
      </w:r>
      <w:r>
        <w:rPr>
          <w:rFonts w:hint="eastAsia" w:asciiTheme="minorEastAsia" w:hAnsiTheme="minorEastAsia" w:eastAsiaTheme="minorEastAsia" w:cstheme="minorEastAsia"/>
          <w:color w:val="auto"/>
          <w:spacing w:val="-25"/>
          <w:sz w:val="24"/>
          <w:szCs w:val="24"/>
        </w:rPr>
        <w:t>素龙街道、附城街道、双东街道、罗镜镇、太平镇、分界镇、罗平镇、船</w:t>
      </w:r>
      <w:r>
        <w:rPr>
          <w:rFonts w:hint="eastAsia" w:asciiTheme="minorEastAsia" w:hAnsiTheme="minorEastAsia" w:eastAsiaTheme="minorEastAsia" w:cstheme="minorEastAsia"/>
          <w:color w:val="auto"/>
          <w:spacing w:val="-15"/>
          <w:sz w:val="24"/>
          <w:szCs w:val="24"/>
        </w:rPr>
        <w:t>步镇、满塘镇、苹塘镇、金鸡镇、围底镇、华石镇、榃滨镇、黎少镇、</w:t>
      </w:r>
      <w:r>
        <w:rPr>
          <w:rFonts w:hint="eastAsia" w:asciiTheme="minorEastAsia" w:hAnsiTheme="minorEastAsia" w:eastAsiaTheme="minorEastAsia" w:cstheme="minorEastAsia"/>
          <w:color w:val="auto"/>
          <w:spacing w:val="-14"/>
          <w:sz w:val="24"/>
          <w:szCs w:val="24"/>
        </w:rPr>
        <w:t>生江镇、连州镇、泗纶镇、加益镇、龙湾镇，共有</w:t>
      </w:r>
      <w:r>
        <w:rPr>
          <w:rFonts w:hint="eastAsia" w:asciiTheme="minorEastAsia" w:hAnsiTheme="minorEastAsia" w:eastAsiaTheme="minorEastAsia" w:cstheme="minorEastAsia"/>
          <w:color w:val="auto"/>
          <w:sz w:val="24"/>
          <w:szCs w:val="24"/>
        </w:rPr>
        <w:t>30</w:t>
      </w:r>
      <w:r>
        <w:rPr>
          <w:rFonts w:hint="eastAsia" w:asciiTheme="minorEastAsia" w:hAnsiTheme="minorEastAsia" w:eastAsiaTheme="minorEastAsia" w:cstheme="minorEastAsia"/>
          <w:color w:val="auto"/>
          <w:spacing w:val="-7"/>
          <w:sz w:val="24"/>
          <w:szCs w:val="24"/>
        </w:rPr>
        <w:t>个居民委员会</w:t>
      </w:r>
      <w:r>
        <w:rPr>
          <w:rFonts w:hint="eastAsia" w:asciiTheme="minorEastAsia" w:hAnsiTheme="minorEastAsia" w:eastAsiaTheme="minorEastAsia" w:cstheme="minorEastAsia"/>
          <w:color w:val="auto"/>
          <w:spacing w:val="-3"/>
          <w:sz w:val="24"/>
          <w:szCs w:val="24"/>
        </w:rPr>
        <w:t>（</w:t>
      </w:r>
      <w:r>
        <w:rPr>
          <w:rFonts w:hint="eastAsia" w:asciiTheme="minorEastAsia" w:hAnsiTheme="minorEastAsia" w:eastAsiaTheme="minorEastAsia" w:cstheme="minorEastAsia"/>
          <w:color w:val="auto"/>
          <w:spacing w:val="-7"/>
          <w:sz w:val="24"/>
          <w:szCs w:val="24"/>
        </w:rPr>
        <w:t>社区</w:t>
      </w:r>
      <w:r>
        <w:rPr>
          <w:rFonts w:hint="eastAsia" w:asciiTheme="minorEastAsia" w:hAnsiTheme="minorEastAsia" w:eastAsiaTheme="minorEastAsia" w:cstheme="minorEastAsia"/>
          <w:color w:val="auto"/>
          <w:spacing w:val="-142"/>
          <w:sz w:val="24"/>
          <w:szCs w:val="24"/>
        </w:rPr>
        <w:t>）</w:t>
      </w: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2"/>
          <w:sz w:val="24"/>
          <w:szCs w:val="24"/>
        </w:rPr>
        <w:t>3</w:t>
      </w:r>
      <w:r>
        <w:rPr>
          <w:rFonts w:hint="eastAsia" w:asciiTheme="minorEastAsia" w:hAnsiTheme="minorEastAsia" w:eastAsiaTheme="minorEastAsia" w:cstheme="minorEastAsia"/>
          <w:color w:val="auto"/>
          <w:spacing w:val="1"/>
          <w:sz w:val="24"/>
          <w:szCs w:val="24"/>
        </w:rPr>
        <w:t>0</w:t>
      </w:r>
      <w:r>
        <w:rPr>
          <w:rFonts w:hint="eastAsia" w:asciiTheme="minorEastAsia" w:hAnsiTheme="minorEastAsia" w:eastAsiaTheme="minorEastAsia" w:cstheme="minorEastAsia"/>
          <w:color w:val="auto"/>
          <w:sz w:val="24"/>
          <w:szCs w:val="24"/>
        </w:rPr>
        <w:t>6</w:t>
      </w:r>
      <w:r>
        <w:rPr>
          <w:rFonts w:hint="eastAsia" w:asciiTheme="minorEastAsia" w:hAnsiTheme="minorEastAsia" w:eastAsiaTheme="minorEastAsia" w:cstheme="minorEastAsia"/>
          <w:color w:val="auto"/>
          <w:spacing w:val="-5"/>
          <w:sz w:val="24"/>
          <w:szCs w:val="24"/>
        </w:rPr>
        <w:t>个行政村，</w:t>
      </w:r>
      <w:r>
        <w:rPr>
          <w:rFonts w:hint="eastAsia" w:asciiTheme="minorEastAsia" w:hAnsiTheme="minorEastAsia" w:eastAsiaTheme="minorEastAsia" w:cstheme="minorEastAsia"/>
          <w:color w:val="auto"/>
          <w:spacing w:val="-2"/>
          <w:sz w:val="24"/>
          <w:szCs w:val="24"/>
        </w:rPr>
        <w:t>37</w:t>
      </w:r>
      <w:r>
        <w:rPr>
          <w:rFonts w:hint="eastAsia" w:asciiTheme="minorEastAsia" w:hAnsiTheme="minorEastAsia" w:eastAsiaTheme="minorEastAsia" w:cstheme="minorEastAsia"/>
          <w:color w:val="auto"/>
          <w:spacing w:val="-4"/>
          <w:sz w:val="24"/>
          <w:szCs w:val="24"/>
        </w:rPr>
        <w:t>4</w:t>
      </w:r>
      <w:r>
        <w:rPr>
          <w:rFonts w:hint="eastAsia" w:asciiTheme="minorEastAsia" w:hAnsiTheme="minorEastAsia" w:eastAsiaTheme="minorEastAsia" w:cstheme="minorEastAsia"/>
          <w:color w:val="auto"/>
          <w:sz w:val="24"/>
          <w:szCs w:val="24"/>
        </w:rPr>
        <w:t>8</w:t>
      </w:r>
      <w:r>
        <w:rPr>
          <w:rFonts w:hint="eastAsia" w:asciiTheme="minorEastAsia" w:hAnsiTheme="minorEastAsia" w:eastAsiaTheme="minorEastAsia" w:cstheme="minorEastAsia"/>
          <w:color w:val="auto"/>
          <w:spacing w:val="-4"/>
          <w:sz w:val="24"/>
          <w:szCs w:val="24"/>
        </w:rPr>
        <w:t>个自然村。</w:t>
      </w:r>
    </w:p>
    <w:p>
      <w:pPr>
        <w:pStyle w:val="10"/>
        <w:spacing w:line="360" w:lineRule="auto"/>
        <w:ind w:firstLine="480" w:firstLineChars="200"/>
        <w:jc w:val="center"/>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lang w:val="en-US" w:bidi="ar-SA"/>
        </w:rPr>
        <w:drawing>
          <wp:inline distT="0" distB="0" distL="0" distR="0">
            <wp:extent cx="4235450" cy="2921000"/>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jpeg"/>
                    <pic:cNvPicPr>
                      <a:picLocks noChangeAspect="1"/>
                    </pic:cNvPicPr>
                  </pic:nvPicPr>
                  <pic:blipFill>
                    <a:blip r:embed="rId26" cstate="print"/>
                    <a:stretch>
                      <a:fillRect/>
                    </a:stretch>
                  </pic:blipFill>
                  <pic:spPr>
                    <a:xfrm>
                      <a:off x="0" y="0"/>
                      <a:ext cx="4235634" cy="2921127"/>
                    </a:xfrm>
                    <a:prstGeom prst="rect">
                      <a:avLst/>
                    </a:prstGeom>
                  </pic:spPr>
                </pic:pic>
              </a:graphicData>
            </a:graphic>
          </wp:inline>
        </w:drawing>
      </w:r>
    </w:p>
    <w:p>
      <w:pPr>
        <w:spacing w:line="500" w:lineRule="exact"/>
        <w:ind w:firstLine="2741" w:firstLineChars="1300"/>
        <w:jc w:val="both"/>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图 2</w:t>
      </w:r>
      <w:r>
        <w:rPr>
          <w:rFonts w:hint="eastAsia" w:asciiTheme="minorEastAsia" w:hAnsiTheme="minorEastAsia" w:eastAsiaTheme="minorEastAsia" w:cstheme="minorEastAsia"/>
          <w:b/>
          <w:color w:val="auto"/>
          <w:sz w:val="21"/>
          <w:szCs w:val="21"/>
          <w:lang w:val="en-US"/>
        </w:rPr>
        <w:t>.1</w:t>
      </w:r>
      <w:r>
        <w:rPr>
          <w:rFonts w:hint="eastAsia" w:asciiTheme="minorEastAsia" w:hAnsiTheme="minorEastAsia" w:eastAsiaTheme="minorEastAsia" w:cstheme="minorEastAsia"/>
          <w:b/>
          <w:color w:val="auto"/>
          <w:sz w:val="21"/>
          <w:szCs w:val="21"/>
        </w:rPr>
        <w:t>-2 罗定市行政区划图</w:t>
      </w:r>
    </w:p>
    <w:p>
      <w:pPr>
        <w:pStyle w:val="32"/>
        <w:numPr>
          <w:ilvl w:val="2"/>
          <w:numId w:val="4"/>
        </w:numPr>
        <w:tabs>
          <w:tab w:val="left" w:pos="1623"/>
        </w:tabs>
        <w:spacing w:line="500" w:lineRule="exact"/>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水环境功能区划分</w:t>
      </w:r>
    </w:p>
    <w:p>
      <w:pPr>
        <w:pStyle w:val="10"/>
        <w:spacing w:line="500" w:lineRule="exact"/>
        <w:ind w:firstLine="380" w:firstLineChars="200"/>
        <w:jc w:val="both"/>
        <w:rPr>
          <w:rFonts w:asciiTheme="minorEastAsia" w:hAnsiTheme="minorEastAsia" w:eastAsiaTheme="minorEastAsia" w:cstheme="minorEastAsia"/>
          <w:color w:val="auto"/>
          <w:spacing w:val="-25"/>
          <w:sz w:val="24"/>
          <w:szCs w:val="24"/>
          <w:lang w:val="en-US"/>
        </w:rPr>
      </w:pPr>
      <w:r>
        <w:rPr>
          <w:rFonts w:hint="eastAsia" w:asciiTheme="minorEastAsia" w:hAnsiTheme="minorEastAsia" w:eastAsiaTheme="minorEastAsia" w:cstheme="minorEastAsia"/>
          <w:color w:val="auto"/>
          <w:spacing w:val="-25"/>
          <w:sz w:val="24"/>
          <w:szCs w:val="24"/>
          <w:lang w:val="en-US"/>
        </w:rPr>
        <w:t>罗定市按罗境、船步、泗纶等9大支流作为九大流域划分片区。详见表2.1-1：</w:t>
      </w:r>
    </w:p>
    <w:p>
      <w:pPr>
        <w:spacing w:line="500" w:lineRule="exact"/>
        <w:jc w:val="center"/>
        <w:rPr>
          <w:rFonts w:asciiTheme="minorEastAsia" w:hAnsiTheme="minorEastAsia" w:eastAsiaTheme="minorEastAsia" w:cstheme="minorEastAsia"/>
          <w:b/>
          <w:color w:val="auto"/>
          <w:sz w:val="21"/>
          <w:szCs w:val="21"/>
          <w:lang w:val="en-US"/>
        </w:rPr>
      </w:pPr>
      <w:r>
        <w:rPr>
          <w:rFonts w:hint="eastAsia" w:asciiTheme="minorEastAsia" w:hAnsiTheme="minorEastAsia" w:eastAsiaTheme="minorEastAsia" w:cstheme="minorEastAsia"/>
          <w:b/>
          <w:color w:val="auto"/>
          <w:sz w:val="21"/>
          <w:szCs w:val="21"/>
          <w:lang w:val="en-US"/>
        </w:rPr>
        <w:t xml:space="preserve">表2.1-1 </w:t>
      </w:r>
      <w:r>
        <w:rPr>
          <w:rFonts w:hint="eastAsia" w:asciiTheme="minorEastAsia" w:hAnsiTheme="minorEastAsia" w:eastAsiaTheme="minorEastAsia" w:cstheme="minorEastAsia"/>
          <w:b/>
          <w:color w:val="auto"/>
          <w:sz w:val="21"/>
          <w:szCs w:val="21"/>
        </w:rPr>
        <w:t>罗定市水环境功能区划分</w:t>
      </w:r>
    </w:p>
    <w:tbl>
      <w:tblPr>
        <w:tblStyle w:val="27"/>
        <w:tblpPr w:leftFromText="180" w:rightFromText="180" w:vertAnchor="text" w:horzAnchor="page" w:tblpXSpec="center" w:tblpY="1"/>
        <w:tblOverlap w:val="never"/>
        <w:tblW w:w="501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11"/>
        <w:gridCol w:w="580"/>
        <w:gridCol w:w="735"/>
        <w:gridCol w:w="815"/>
        <w:gridCol w:w="1594"/>
        <w:gridCol w:w="1417"/>
        <w:gridCol w:w="832"/>
        <w:gridCol w:w="1598"/>
        <w:gridCol w:w="6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blHeader/>
          <w:jc w:val="center"/>
        </w:trPr>
        <w:tc>
          <w:tcPr>
            <w:tcW w:w="3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序号</w:t>
            </w:r>
          </w:p>
        </w:tc>
        <w:tc>
          <w:tcPr>
            <w:tcW w:w="32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功能现状</w:t>
            </w:r>
          </w:p>
        </w:tc>
        <w:tc>
          <w:tcPr>
            <w:tcW w:w="41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水系</w:t>
            </w:r>
          </w:p>
        </w:tc>
        <w:tc>
          <w:tcPr>
            <w:tcW w:w="46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河流</w:t>
            </w:r>
          </w:p>
        </w:tc>
        <w:tc>
          <w:tcPr>
            <w:tcW w:w="90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起点</w:t>
            </w:r>
          </w:p>
        </w:tc>
        <w:tc>
          <w:tcPr>
            <w:tcW w:w="80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终点</w:t>
            </w:r>
          </w:p>
        </w:tc>
        <w:tc>
          <w:tcPr>
            <w:tcW w:w="47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长度（km)</w:t>
            </w:r>
          </w:p>
        </w:tc>
        <w:tc>
          <w:tcPr>
            <w:tcW w:w="904"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监测断面</w:t>
            </w:r>
          </w:p>
        </w:tc>
        <w:tc>
          <w:tcPr>
            <w:tcW w:w="367"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水质目标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40410</w:t>
            </w:r>
          </w:p>
        </w:tc>
        <w:tc>
          <w:tcPr>
            <w:tcW w:w="32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饮</w:t>
            </w:r>
          </w:p>
        </w:tc>
        <w:tc>
          <w:tcPr>
            <w:tcW w:w="41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罗定江</w:t>
            </w:r>
          </w:p>
        </w:tc>
        <w:tc>
          <w:tcPr>
            <w:tcW w:w="46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罗定江</w:t>
            </w:r>
          </w:p>
        </w:tc>
        <w:tc>
          <w:tcPr>
            <w:tcW w:w="90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信宜鸡笼山</w:t>
            </w:r>
          </w:p>
        </w:tc>
        <w:tc>
          <w:tcPr>
            <w:tcW w:w="80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七和电站上游3公里</w:t>
            </w:r>
          </w:p>
        </w:tc>
        <w:tc>
          <w:tcPr>
            <w:tcW w:w="47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75.5</w:t>
            </w:r>
          </w:p>
        </w:tc>
        <w:tc>
          <w:tcPr>
            <w:tcW w:w="904"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双东、赤新、泷洲大桥</w:t>
            </w:r>
          </w:p>
        </w:tc>
        <w:tc>
          <w:tcPr>
            <w:tcW w:w="367"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III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40412</w:t>
            </w:r>
          </w:p>
        </w:tc>
        <w:tc>
          <w:tcPr>
            <w:tcW w:w="32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饮</w:t>
            </w:r>
          </w:p>
        </w:tc>
        <w:tc>
          <w:tcPr>
            <w:tcW w:w="41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罗定江</w:t>
            </w:r>
          </w:p>
        </w:tc>
        <w:tc>
          <w:tcPr>
            <w:tcW w:w="46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罗定江</w:t>
            </w:r>
          </w:p>
        </w:tc>
        <w:tc>
          <w:tcPr>
            <w:tcW w:w="90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七和电站上游3公里</w:t>
            </w:r>
          </w:p>
        </w:tc>
        <w:tc>
          <w:tcPr>
            <w:tcW w:w="80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罗定自来水厂第一泵站下游500米</w:t>
            </w:r>
          </w:p>
        </w:tc>
        <w:tc>
          <w:tcPr>
            <w:tcW w:w="47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5.5</w:t>
            </w:r>
          </w:p>
        </w:tc>
        <w:tc>
          <w:tcPr>
            <w:tcW w:w="904"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七和电站</w:t>
            </w:r>
          </w:p>
        </w:tc>
        <w:tc>
          <w:tcPr>
            <w:tcW w:w="367"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40420</w:t>
            </w:r>
          </w:p>
        </w:tc>
        <w:tc>
          <w:tcPr>
            <w:tcW w:w="32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工农</w:t>
            </w:r>
          </w:p>
        </w:tc>
        <w:tc>
          <w:tcPr>
            <w:tcW w:w="41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罗定江</w:t>
            </w:r>
          </w:p>
        </w:tc>
        <w:tc>
          <w:tcPr>
            <w:tcW w:w="46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罗定江</w:t>
            </w:r>
          </w:p>
        </w:tc>
        <w:tc>
          <w:tcPr>
            <w:tcW w:w="90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罗定自来水厂第一泵站下游500米</w:t>
            </w:r>
          </w:p>
        </w:tc>
        <w:tc>
          <w:tcPr>
            <w:tcW w:w="80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南江口</w:t>
            </w:r>
          </w:p>
        </w:tc>
        <w:tc>
          <w:tcPr>
            <w:tcW w:w="47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121</w:t>
            </w:r>
          </w:p>
        </w:tc>
        <w:tc>
          <w:tcPr>
            <w:tcW w:w="904"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石应电站</w:t>
            </w:r>
          </w:p>
        </w:tc>
        <w:tc>
          <w:tcPr>
            <w:tcW w:w="367"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III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40500</w:t>
            </w:r>
          </w:p>
        </w:tc>
        <w:tc>
          <w:tcPr>
            <w:tcW w:w="32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饮</w:t>
            </w:r>
          </w:p>
        </w:tc>
        <w:tc>
          <w:tcPr>
            <w:tcW w:w="41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罗定江</w:t>
            </w:r>
          </w:p>
        </w:tc>
        <w:tc>
          <w:tcPr>
            <w:tcW w:w="46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罗镜河</w:t>
            </w:r>
          </w:p>
        </w:tc>
        <w:tc>
          <w:tcPr>
            <w:tcW w:w="90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信宜艮岩顶</w:t>
            </w:r>
          </w:p>
        </w:tc>
        <w:tc>
          <w:tcPr>
            <w:tcW w:w="80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罗定岗尾</w:t>
            </w:r>
          </w:p>
        </w:tc>
        <w:tc>
          <w:tcPr>
            <w:tcW w:w="47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41</w:t>
            </w:r>
          </w:p>
        </w:tc>
        <w:tc>
          <w:tcPr>
            <w:tcW w:w="904"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官渡口</w:t>
            </w:r>
          </w:p>
        </w:tc>
        <w:tc>
          <w:tcPr>
            <w:tcW w:w="367"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III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40700</w:t>
            </w:r>
          </w:p>
        </w:tc>
        <w:tc>
          <w:tcPr>
            <w:tcW w:w="32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综</w:t>
            </w:r>
          </w:p>
        </w:tc>
        <w:tc>
          <w:tcPr>
            <w:tcW w:w="41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罗定江</w:t>
            </w:r>
          </w:p>
        </w:tc>
        <w:tc>
          <w:tcPr>
            <w:tcW w:w="46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新榕河</w:t>
            </w:r>
          </w:p>
        </w:tc>
        <w:tc>
          <w:tcPr>
            <w:tcW w:w="90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信宜亚婆髻</w:t>
            </w:r>
          </w:p>
        </w:tc>
        <w:tc>
          <w:tcPr>
            <w:tcW w:w="80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罗定新榕</w:t>
            </w:r>
          </w:p>
        </w:tc>
        <w:tc>
          <w:tcPr>
            <w:tcW w:w="47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36</w:t>
            </w:r>
          </w:p>
        </w:tc>
        <w:tc>
          <w:tcPr>
            <w:tcW w:w="904"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c>
          <w:tcPr>
            <w:tcW w:w="367"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40800</w:t>
            </w:r>
          </w:p>
        </w:tc>
        <w:tc>
          <w:tcPr>
            <w:tcW w:w="32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综</w:t>
            </w:r>
          </w:p>
        </w:tc>
        <w:tc>
          <w:tcPr>
            <w:tcW w:w="41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罗定江</w:t>
            </w:r>
          </w:p>
        </w:tc>
        <w:tc>
          <w:tcPr>
            <w:tcW w:w="46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连州河</w:t>
            </w:r>
          </w:p>
        </w:tc>
        <w:tc>
          <w:tcPr>
            <w:tcW w:w="90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罗定茅坪</w:t>
            </w:r>
          </w:p>
        </w:tc>
        <w:tc>
          <w:tcPr>
            <w:tcW w:w="80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罗定河口</w:t>
            </w:r>
          </w:p>
        </w:tc>
        <w:tc>
          <w:tcPr>
            <w:tcW w:w="47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33</w:t>
            </w:r>
          </w:p>
        </w:tc>
        <w:tc>
          <w:tcPr>
            <w:tcW w:w="904"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下官田</w:t>
            </w:r>
          </w:p>
        </w:tc>
        <w:tc>
          <w:tcPr>
            <w:tcW w:w="367"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40900</w:t>
            </w:r>
          </w:p>
        </w:tc>
        <w:tc>
          <w:tcPr>
            <w:tcW w:w="32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饮</w:t>
            </w:r>
          </w:p>
        </w:tc>
        <w:tc>
          <w:tcPr>
            <w:tcW w:w="41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罗定江</w:t>
            </w:r>
          </w:p>
        </w:tc>
        <w:tc>
          <w:tcPr>
            <w:tcW w:w="46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泗纶河</w:t>
            </w:r>
          </w:p>
        </w:tc>
        <w:tc>
          <w:tcPr>
            <w:tcW w:w="90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罗定明直坑</w:t>
            </w:r>
          </w:p>
        </w:tc>
        <w:tc>
          <w:tcPr>
            <w:tcW w:w="80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罗定榃卜</w:t>
            </w:r>
          </w:p>
        </w:tc>
        <w:tc>
          <w:tcPr>
            <w:tcW w:w="47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60</w:t>
            </w:r>
          </w:p>
        </w:tc>
        <w:tc>
          <w:tcPr>
            <w:tcW w:w="904"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六家</w:t>
            </w:r>
          </w:p>
        </w:tc>
        <w:tc>
          <w:tcPr>
            <w:tcW w:w="367"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41100</w:t>
            </w:r>
          </w:p>
        </w:tc>
        <w:tc>
          <w:tcPr>
            <w:tcW w:w="32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综</w:t>
            </w:r>
          </w:p>
        </w:tc>
        <w:tc>
          <w:tcPr>
            <w:tcW w:w="41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罗定江</w:t>
            </w:r>
          </w:p>
        </w:tc>
        <w:tc>
          <w:tcPr>
            <w:tcW w:w="46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榃滨河</w:t>
            </w:r>
          </w:p>
        </w:tc>
        <w:tc>
          <w:tcPr>
            <w:tcW w:w="90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罗定大塘凹</w:t>
            </w:r>
          </w:p>
        </w:tc>
        <w:tc>
          <w:tcPr>
            <w:tcW w:w="80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罗定河仔口</w:t>
            </w:r>
          </w:p>
        </w:tc>
        <w:tc>
          <w:tcPr>
            <w:tcW w:w="47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46</w:t>
            </w:r>
          </w:p>
        </w:tc>
        <w:tc>
          <w:tcPr>
            <w:tcW w:w="904"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金滩</w:t>
            </w:r>
          </w:p>
        </w:tc>
        <w:tc>
          <w:tcPr>
            <w:tcW w:w="367"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41200</w:t>
            </w:r>
          </w:p>
        </w:tc>
        <w:tc>
          <w:tcPr>
            <w:tcW w:w="32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综</w:t>
            </w:r>
          </w:p>
        </w:tc>
        <w:tc>
          <w:tcPr>
            <w:tcW w:w="41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罗定江</w:t>
            </w:r>
          </w:p>
        </w:tc>
        <w:tc>
          <w:tcPr>
            <w:tcW w:w="46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新乐河</w:t>
            </w:r>
          </w:p>
        </w:tc>
        <w:tc>
          <w:tcPr>
            <w:tcW w:w="90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罗定大降尾</w:t>
            </w:r>
          </w:p>
        </w:tc>
        <w:tc>
          <w:tcPr>
            <w:tcW w:w="80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罗定黄坑根</w:t>
            </w:r>
          </w:p>
        </w:tc>
        <w:tc>
          <w:tcPr>
            <w:tcW w:w="47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33</w:t>
            </w:r>
          </w:p>
        </w:tc>
        <w:tc>
          <w:tcPr>
            <w:tcW w:w="904"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坑仔</w:t>
            </w:r>
          </w:p>
        </w:tc>
        <w:tc>
          <w:tcPr>
            <w:tcW w:w="367"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41500</w:t>
            </w:r>
          </w:p>
        </w:tc>
        <w:tc>
          <w:tcPr>
            <w:tcW w:w="32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工农</w:t>
            </w:r>
          </w:p>
        </w:tc>
        <w:tc>
          <w:tcPr>
            <w:tcW w:w="41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罗定江</w:t>
            </w:r>
          </w:p>
        </w:tc>
        <w:tc>
          <w:tcPr>
            <w:tcW w:w="46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围底河</w:t>
            </w:r>
          </w:p>
        </w:tc>
        <w:tc>
          <w:tcPr>
            <w:tcW w:w="90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信宜双洞</w:t>
            </w:r>
          </w:p>
        </w:tc>
        <w:tc>
          <w:tcPr>
            <w:tcW w:w="80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罗定船步</w:t>
            </w:r>
          </w:p>
        </w:tc>
        <w:tc>
          <w:tcPr>
            <w:tcW w:w="47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45</w:t>
            </w:r>
          </w:p>
        </w:tc>
        <w:tc>
          <w:tcPr>
            <w:tcW w:w="904"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合山电站、榃北、古薄塘</w:t>
            </w:r>
          </w:p>
        </w:tc>
        <w:tc>
          <w:tcPr>
            <w:tcW w:w="367"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III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41502</w:t>
            </w:r>
          </w:p>
        </w:tc>
        <w:tc>
          <w:tcPr>
            <w:tcW w:w="32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工农</w:t>
            </w:r>
          </w:p>
        </w:tc>
        <w:tc>
          <w:tcPr>
            <w:tcW w:w="41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罗定江</w:t>
            </w:r>
          </w:p>
        </w:tc>
        <w:tc>
          <w:tcPr>
            <w:tcW w:w="46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围底河</w:t>
            </w:r>
          </w:p>
        </w:tc>
        <w:tc>
          <w:tcPr>
            <w:tcW w:w="90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罗定船步</w:t>
            </w:r>
          </w:p>
        </w:tc>
        <w:tc>
          <w:tcPr>
            <w:tcW w:w="80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郁南六雪</w:t>
            </w:r>
          </w:p>
        </w:tc>
        <w:tc>
          <w:tcPr>
            <w:tcW w:w="47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40</w:t>
            </w:r>
          </w:p>
        </w:tc>
        <w:tc>
          <w:tcPr>
            <w:tcW w:w="904"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大灼古薄塘、榃北合山电站</w:t>
            </w:r>
          </w:p>
        </w:tc>
        <w:tc>
          <w:tcPr>
            <w:tcW w:w="367"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IV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41600</w:t>
            </w:r>
          </w:p>
        </w:tc>
        <w:tc>
          <w:tcPr>
            <w:tcW w:w="32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饮用</w:t>
            </w:r>
          </w:p>
        </w:tc>
        <w:tc>
          <w:tcPr>
            <w:tcW w:w="41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罗定江</w:t>
            </w:r>
          </w:p>
        </w:tc>
        <w:tc>
          <w:tcPr>
            <w:tcW w:w="46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船步河</w:t>
            </w:r>
          </w:p>
        </w:tc>
        <w:tc>
          <w:tcPr>
            <w:tcW w:w="90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罗定八卦顶</w:t>
            </w:r>
          </w:p>
        </w:tc>
        <w:tc>
          <w:tcPr>
            <w:tcW w:w="80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山垌一级电站</w:t>
            </w:r>
          </w:p>
        </w:tc>
        <w:tc>
          <w:tcPr>
            <w:tcW w:w="47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15.8</w:t>
            </w:r>
          </w:p>
        </w:tc>
        <w:tc>
          <w:tcPr>
            <w:tcW w:w="904"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c>
          <w:tcPr>
            <w:tcW w:w="367"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41601</w:t>
            </w:r>
          </w:p>
        </w:tc>
        <w:tc>
          <w:tcPr>
            <w:tcW w:w="32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工农</w:t>
            </w:r>
          </w:p>
        </w:tc>
        <w:tc>
          <w:tcPr>
            <w:tcW w:w="41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罗定江</w:t>
            </w:r>
          </w:p>
        </w:tc>
        <w:tc>
          <w:tcPr>
            <w:tcW w:w="46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船步河</w:t>
            </w:r>
          </w:p>
        </w:tc>
        <w:tc>
          <w:tcPr>
            <w:tcW w:w="90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山垌一级电站</w:t>
            </w:r>
          </w:p>
        </w:tc>
        <w:tc>
          <w:tcPr>
            <w:tcW w:w="802"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罗定船步</w:t>
            </w:r>
          </w:p>
        </w:tc>
        <w:tc>
          <w:tcPr>
            <w:tcW w:w="47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13.2</w:t>
            </w:r>
          </w:p>
        </w:tc>
        <w:tc>
          <w:tcPr>
            <w:tcW w:w="904"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c>
          <w:tcPr>
            <w:tcW w:w="367"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III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40424</w:t>
            </w:r>
          </w:p>
        </w:tc>
        <w:tc>
          <w:tcPr>
            <w:tcW w:w="32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饮</w:t>
            </w:r>
          </w:p>
        </w:tc>
        <w:tc>
          <w:tcPr>
            <w:tcW w:w="41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罗定江</w:t>
            </w:r>
          </w:p>
        </w:tc>
        <w:tc>
          <w:tcPr>
            <w:tcW w:w="46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罗定江</w:t>
            </w:r>
          </w:p>
        </w:tc>
        <w:tc>
          <w:tcPr>
            <w:tcW w:w="1704" w:type="pct"/>
            <w:gridSpan w:val="2"/>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金银河水库</w:t>
            </w:r>
          </w:p>
        </w:tc>
        <w:tc>
          <w:tcPr>
            <w:tcW w:w="47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3220</w:t>
            </w:r>
          </w:p>
        </w:tc>
        <w:tc>
          <w:tcPr>
            <w:tcW w:w="904"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金银河水库</w:t>
            </w:r>
          </w:p>
        </w:tc>
        <w:tc>
          <w:tcPr>
            <w:tcW w:w="367"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41662</w:t>
            </w:r>
          </w:p>
        </w:tc>
        <w:tc>
          <w:tcPr>
            <w:tcW w:w="32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综</w:t>
            </w:r>
          </w:p>
        </w:tc>
        <w:tc>
          <w:tcPr>
            <w:tcW w:w="41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罗定江</w:t>
            </w:r>
          </w:p>
        </w:tc>
        <w:tc>
          <w:tcPr>
            <w:tcW w:w="46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c>
          <w:tcPr>
            <w:tcW w:w="1704" w:type="pct"/>
            <w:gridSpan w:val="2"/>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罗光水库</w:t>
            </w:r>
          </w:p>
        </w:tc>
        <w:tc>
          <w:tcPr>
            <w:tcW w:w="47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3150</w:t>
            </w:r>
          </w:p>
        </w:tc>
        <w:tc>
          <w:tcPr>
            <w:tcW w:w="904"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罗光水库</w:t>
            </w:r>
          </w:p>
        </w:tc>
        <w:tc>
          <w:tcPr>
            <w:tcW w:w="367"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41668</w:t>
            </w:r>
          </w:p>
        </w:tc>
        <w:tc>
          <w:tcPr>
            <w:tcW w:w="32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农发</w:t>
            </w:r>
          </w:p>
        </w:tc>
        <w:tc>
          <w:tcPr>
            <w:tcW w:w="41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罗定江</w:t>
            </w:r>
          </w:p>
        </w:tc>
        <w:tc>
          <w:tcPr>
            <w:tcW w:w="46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c>
          <w:tcPr>
            <w:tcW w:w="1704" w:type="pct"/>
            <w:gridSpan w:val="2"/>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湘垌水库</w:t>
            </w:r>
          </w:p>
        </w:tc>
        <w:tc>
          <w:tcPr>
            <w:tcW w:w="47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1694</w:t>
            </w:r>
          </w:p>
        </w:tc>
        <w:tc>
          <w:tcPr>
            <w:tcW w:w="904"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湘垌水库</w:t>
            </w:r>
          </w:p>
        </w:tc>
        <w:tc>
          <w:tcPr>
            <w:tcW w:w="367"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34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46623</w:t>
            </w:r>
          </w:p>
        </w:tc>
        <w:tc>
          <w:tcPr>
            <w:tcW w:w="32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农发</w:t>
            </w:r>
          </w:p>
        </w:tc>
        <w:tc>
          <w:tcPr>
            <w:tcW w:w="416"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罗定江</w:t>
            </w:r>
          </w:p>
        </w:tc>
        <w:tc>
          <w:tcPr>
            <w:tcW w:w="46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w:t>
            </w:r>
          </w:p>
        </w:tc>
        <w:tc>
          <w:tcPr>
            <w:tcW w:w="1704" w:type="pct"/>
            <w:gridSpan w:val="2"/>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山垌水库</w:t>
            </w:r>
          </w:p>
        </w:tc>
        <w:tc>
          <w:tcPr>
            <w:tcW w:w="471"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1675</w:t>
            </w:r>
          </w:p>
        </w:tc>
        <w:tc>
          <w:tcPr>
            <w:tcW w:w="904"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山垌水库</w:t>
            </w:r>
          </w:p>
        </w:tc>
        <w:tc>
          <w:tcPr>
            <w:tcW w:w="367"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center"/>
              <w:rPr>
                <w:rFonts w:ascii="宋体" w:hAnsi="宋体" w:eastAsia="宋体" w:cs="宋体"/>
                <w:color w:val="auto"/>
                <w:sz w:val="21"/>
                <w:szCs w:val="21"/>
              </w:rPr>
            </w:pPr>
            <w:r>
              <w:rPr>
                <w:rFonts w:hint="eastAsia" w:ascii="宋体" w:hAnsi="宋体" w:eastAsia="宋体" w:cs="宋体"/>
                <w:color w:val="auto"/>
                <w:sz w:val="21"/>
                <w:szCs w:val="21"/>
              </w:rPr>
              <w:t>II</w:t>
            </w:r>
          </w:p>
        </w:tc>
      </w:tr>
    </w:tbl>
    <w:p>
      <w:pPr>
        <w:pStyle w:val="10"/>
        <w:spacing w:line="500" w:lineRule="exact"/>
        <w:ind w:firstLine="380" w:firstLineChars="200"/>
        <w:jc w:val="both"/>
        <w:rPr>
          <w:rFonts w:asciiTheme="minorEastAsia" w:hAnsiTheme="minorEastAsia" w:eastAsiaTheme="minorEastAsia" w:cstheme="minorEastAsia"/>
          <w:color w:val="auto"/>
          <w:spacing w:val="-25"/>
          <w:sz w:val="24"/>
          <w:szCs w:val="24"/>
          <w:lang w:val="en-US"/>
        </w:rPr>
      </w:pPr>
      <w:r>
        <w:rPr>
          <w:rFonts w:hint="eastAsia" w:asciiTheme="minorEastAsia" w:hAnsiTheme="minorEastAsia" w:eastAsiaTheme="minorEastAsia" w:cstheme="minorEastAsia"/>
          <w:color w:val="auto"/>
          <w:spacing w:val="-25"/>
          <w:sz w:val="24"/>
          <w:szCs w:val="24"/>
          <w:lang w:val="en-US"/>
        </w:rPr>
        <w:t>九大流域位置详见图2</w:t>
      </w:r>
      <w:r>
        <w:rPr>
          <w:rFonts w:asciiTheme="minorEastAsia" w:hAnsiTheme="minorEastAsia" w:eastAsiaTheme="minorEastAsia" w:cstheme="minorEastAsia"/>
          <w:color w:val="auto"/>
          <w:spacing w:val="-25"/>
          <w:sz w:val="24"/>
          <w:szCs w:val="24"/>
          <w:lang w:val="en-US"/>
        </w:rPr>
        <w:t>.1-3</w:t>
      </w:r>
      <w:r>
        <w:rPr>
          <w:rFonts w:hint="eastAsia" w:asciiTheme="minorEastAsia" w:hAnsiTheme="minorEastAsia" w:eastAsiaTheme="minorEastAsia" w:cstheme="minorEastAsia"/>
          <w:color w:val="auto"/>
          <w:spacing w:val="-25"/>
          <w:sz w:val="24"/>
          <w:szCs w:val="24"/>
          <w:lang w:val="en-US"/>
        </w:rPr>
        <w:t>：</w:t>
      </w:r>
    </w:p>
    <w:p>
      <w:pPr>
        <w:pStyle w:val="10"/>
        <w:spacing w:line="360" w:lineRule="auto"/>
        <w:jc w:val="center"/>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drawing>
          <wp:inline distT="0" distB="0" distL="114300" distR="114300">
            <wp:extent cx="5341620" cy="3787140"/>
            <wp:effectExtent l="0" t="0" r="11430" b="3810"/>
            <wp:docPr id="2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
                    <pic:cNvPicPr>
                      <a:picLocks noChangeAspect="1"/>
                    </pic:cNvPicPr>
                  </pic:nvPicPr>
                  <pic:blipFill>
                    <a:blip r:embed="rId27"/>
                    <a:stretch>
                      <a:fillRect/>
                    </a:stretch>
                  </pic:blipFill>
                  <pic:spPr>
                    <a:xfrm>
                      <a:off x="0" y="0"/>
                      <a:ext cx="5341620" cy="3787140"/>
                    </a:xfrm>
                    <a:prstGeom prst="rect">
                      <a:avLst/>
                    </a:prstGeom>
                    <a:noFill/>
                    <a:ln>
                      <a:noFill/>
                    </a:ln>
                  </pic:spPr>
                </pic:pic>
              </a:graphicData>
            </a:graphic>
          </wp:inline>
        </w:drawing>
      </w:r>
    </w:p>
    <w:p>
      <w:pPr>
        <w:spacing w:line="500" w:lineRule="exact"/>
        <w:ind w:firstLine="2108" w:firstLineChars="1000"/>
        <w:jc w:val="both"/>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图2</w:t>
      </w:r>
      <w:r>
        <w:rPr>
          <w:rFonts w:hint="eastAsia" w:asciiTheme="minorEastAsia" w:hAnsiTheme="minorEastAsia" w:eastAsiaTheme="minorEastAsia" w:cstheme="minorEastAsia"/>
          <w:b/>
          <w:color w:val="auto"/>
          <w:sz w:val="21"/>
          <w:szCs w:val="21"/>
          <w:lang w:val="en-US"/>
        </w:rPr>
        <w:t>.1</w:t>
      </w:r>
      <w:r>
        <w:rPr>
          <w:rFonts w:hint="eastAsia" w:asciiTheme="minorEastAsia" w:hAnsiTheme="minorEastAsia" w:eastAsiaTheme="minorEastAsia" w:cstheme="minorEastAsia"/>
          <w:b/>
          <w:color w:val="auto"/>
          <w:sz w:val="21"/>
          <w:szCs w:val="21"/>
        </w:rPr>
        <w:t>-3  项目所在地理位置图及水系图</w:t>
      </w:r>
    </w:p>
    <w:p>
      <w:pPr>
        <w:pStyle w:val="32"/>
        <w:numPr>
          <w:ilvl w:val="2"/>
          <w:numId w:val="4"/>
        </w:numPr>
        <w:tabs>
          <w:tab w:val="left" w:pos="1623"/>
        </w:tabs>
        <w:spacing w:line="500" w:lineRule="exact"/>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人口现状</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2020年罗定市全市人口信息详见表</w:t>
      </w:r>
      <w:r>
        <w:rPr>
          <w:rFonts w:hint="eastAsia" w:asciiTheme="minorEastAsia" w:hAnsiTheme="minorEastAsia" w:eastAsiaTheme="minorEastAsia" w:cstheme="minorEastAsia"/>
          <w:color w:val="auto"/>
          <w:sz w:val="24"/>
          <w:szCs w:val="24"/>
          <w:lang w:val="en-US"/>
        </w:rPr>
        <w:t>2.1-2</w:t>
      </w:r>
      <w:r>
        <w:rPr>
          <w:rFonts w:hint="eastAsia" w:asciiTheme="minorEastAsia" w:hAnsiTheme="minorEastAsia" w:eastAsiaTheme="minorEastAsia" w:cstheme="minorEastAsia"/>
          <w:color w:val="auto"/>
          <w:sz w:val="24"/>
          <w:szCs w:val="24"/>
        </w:rPr>
        <w:t>。</w:t>
      </w:r>
    </w:p>
    <w:p>
      <w:pPr>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表 2.1-2 罗定市各镇街人口信息表</w:t>
      </w:r>
    </w:p>
    <w:tbl>
      <w:tblPr>
        <w:tblStyle w:val="27"/>
        <w:tblW w:w="8094"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140"/>
        <w:gridCol w:w="1056"/>
        <w:gridCol w:w="1338"/>
        <w:gridCol w:w="1087"/>
        <w:gridCol w:w="1112"/>
        <w:gridCol w:w="1192"/>
        <w:gridCol w:w="116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992" w:hRule="atLeast"/>
          <w:tblHeader/>
          <w:jc w:val="center"/>
        </w:trPr>
        <w:tc>
          <w:tcPr>
            <w:tcW w:w="1140" w:type="dxa"/>
            <w:tcBorders>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序号</w:t>
            </w:r>
          </w:p>
        </w:tc>
        <w:tc>
          <w:tcPr>
            <w:tcW w:w="1056" w:type="dxa"/>
            <w:tcBorders>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行政区域</w:t>
            </w:r>
          </w:p>
        </w:tc>
        <w:tc>
          <w:tcPr>
            <w:tcW w:w="1338" w:type="dxa"/>
            <w:tcBorders>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社区（居委）数</w:t>
            </w:r>
          </w:p>
          <w:p>
            <w:pPr>
              <w:jc w:val="center"/>
              <w:rPr>
                <w:rFonts w:ascii="宋体" w:hAnsi="宋体" w:eastAsia="宋体" w:cs="宋体"/>
                <w:color w:val="auto"/>
                <w:sz w:val="21"/>
                <w:szCs w:val="21"/>
              </w:rPr>
            </w:pPr>
            <w:r>
              <w:rPr>
                <w:rFonts w:hint="eastAsia" w:ascii="宋体" w:hAnsi="宋体" w:eastAsia="宋体" w:cs="宋体"/>
                <w:color w:val="auto"/>
                <w:sz w:val="21"/>
                <w:szCs w:val="21"/>
              </w:rPr>
              <w:t>（个）</w:t>
            </w:r>
          </w:p>
        </w:tc>
        <w:tc>
          <w:tcPr>
            <w:tcW w:w="1087" w:type="dxa"/>
            <w:tcBorders>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行政村数</w:t>
            </w:r>
          </w:p>
          <w:p>
            <w:pPr>
              <w:jc w:val="center"/>
              <w:rPr>
                <w:rFonts w:ascii="宋体" w:hAnsi="宋体" w:eastAsia="宋体" w:cs="宋体"/>
                <w:color w:val="auto"/>
                <w:sz w:val="21"/>
                <w:szCs w:val="21"/>
              </w:rPr>
            </w:pPr>
            <w:r>
              <w:rPr>
                <w:rFonts w:hint="eastAsia" w:ascii="宋体" w:hAnsi="宋体" w:eastAsia="宋体" w:cs="宋体"/>
                <w:color w:val="auto"/>
                <w:sz w:val="21"/>
                <w:szCs w:val="21"/>
              </w:rPr>
              <w:t>（个）</w:t>
            </w:r>
          </w:p>
        </w:tc>
        <w:tc>
          <w:tcPr>
            <w:tcW w:w="1112" w:type="dxa"/>
            <w:tcBorders>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自然村数</w:t>
            </w:r>
          </w:p>
          <w:p>
            <w:pPr>
              <w:jc w:val="center"/>
              <w:rPr>
                <w:rFonts w:ascii="宋体" w:hAnsi="宋体" w:eastAsia="宋体" w:cs="宋体"/>
                <w:color w:val="auto"/>
                <w:sz w:val="21"/>
                <w:szCs w:val="21"/>
              </w:rPr>
            </w:pPr>
            <w:r>
              <w:rPr>
                <w:rFonts w:hint="eastAsia" w:ascii="宋体" w:hAnsi="宋体" w:eastAsia="宋体" w:cs="宋体"/>
                <w:color w:val="auto"/>
                <w:sz w:val="21"/>
                <w:szCs w:val="21"/>
              </w:rPr>
              <w:t>（个）</w:t>
            </w:r>
          </w:p>
        </w:tc>
        <w:tc>
          <w:tcPr>
            <w:tcW w:w="1192" w:type="dxa"/>
            <w:tcBorders>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户籍人口</w:t>
            </w:r>
          </w:p>
          <w:p>
            <w:pPr>
              <w:jc w:val="center"/>
              <w:rPr>
                <w:rFonts w:ascii="宋体" w:hAnsi="宋体" w:eastAsia="宋体" w:cs="宋体"/>
                <w:color w:val="auto"/>
                <w:sz w:val="21"/>
                <w:szCs w:val="21"/>
              </w:rPr>
            </w:pPr>
            <w:r>
              <w:rPr>
                <w:rFonts w:hint="eastAsia" w:ascii="宋体" w:hAnsi="宋体" w:eastAsia="宋体" w:cs="宋体"/>
                <w:color w:val="auto"/>
                <w:sz w:val="21"/>
                <w:szCs w:val="21"/>
              </w:rPr>
              <w:t>（人）</w:t>
            </w:r>
          </w:p>
        </w:tc>
        <w:tc>
          <w:tcPr>
            <w:tcW w:w="1169" w:type="dxa"/>
            <w:tcBorders>
              <w:left w:val="single" w:color="000000" w:sz="6" w:space="0"/>
              <w:bottom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常住人口</w:t>
            </w:r>
          </w:p>
          <w:p>
            <w:pPr>
              <w:jc w:val="center"/>
              <w:rPr>
                <w:rFonts w:ascii="宋体" w:hAnsi="宋体" w:eastAsia="宋体" w:cs="宋体"/>
                <w:color w:val="auto"/>
                <w:sz w:val="21"/>
                <w:szCs w:val="21"/>
              </w:rPr>
            </w:pPr>
            <w:r>
              <w:rPr>
                <w:rFonts w:hint="eastAsia" w:ascii="宋体" w:hAnsi="宋体" w:eastAsia="宋体" w:cs="宋体"/>
                <w:color w:val="auto"/>
                <w:sz w:val="21"/>
                <w:szCs w:val="21"/>
              </w:rPr>
              <w:t>（人）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jc w:val="center"/>
        </w:trPr>
        <w:tc>
          <w:tcPr>
            <w:tcW w:w="1140" w:type="dxa"/>
            <w:tcBorders>
              <w:top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w:t>
            </w:r>
          </w:p>
        </w:tc>
        <w:tc>
          <w:tcPr>
            <w:tcW w:w="1056"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罗城街道</w:t>
            </w:r>
          </w:p>
        </w:tc>
        <w:tc>
          <w:tcPr>
            <w:tcW w:w="1338"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10</w:t>
            </w:r>
          </w:p>
        </w:tc>
        <w:tc>
          <w:tcPr>
            <w:tcW w:w="1087"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0</w:t>
            </w:r>
          </w:p>
        </w:tc>
        <w:tc>
          <w:tcPr>
            <w:tcW w:w="111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0</w:t>
            </w:r>
          </w:p>
        </w:tc>
        <w:tc>
          <w:tcPr>
            <w:tcW w:w="119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87806</w:t>
            </w:r>
          </w:p>
        </w:tc>
        <w:tc>
          <w:tcPr>
            <w:tcW w:w="1169" w:type="dxa"/>
            <w:tcBorders>
              <w:top w:val="single" w:color="000000" w:sz="6" w:space="0"/>
              <w:left w:val="single" w:color="000000" w:sz="6" w:space="0"/>
              <w:bottom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87249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jc w:val="center"/>
        </w:trPr>
        <w:tc>
          <w:tcPr>
            <w:tcW w:w="1140" w:type="dxa"/>
            <w:tcBorders>
              <w:top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2</w:t>
            </w:r>
          </w:p>
        </w:tc>
        <w:tc>
          <w:tcPr>
            <w:tcW w:w="1056"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附城街道</w:t>
            </w:r>
          </w:p>
        </w:tc>
        <w:tc>
          <w:tcPr>
            <w:tcW w:w="1338"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w:t>
            </w:r>
          </w:p>
        </w:tc>
        <w:tc>
          <w:tcPr>
            <w:tcW w:w="1087"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22</w:t>
            </w:r>
          </w:p>
        </w:tc>
        <w:tc>
          <w:tcPr>
            <w:tcW w:w="111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271</w:t>
            </w:r>
          </w:p>
        </w:tc>
        <w:tc>
          <w:tcPr>
            <w:tcW w:w="119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69366</w:t>
            </w:r>
          </w:p>
        </w:tc>
        <w:tc>
          <w:tcPr>
            <w:tcW w:w="1169" w:type="dxa"/>
            <w:tcBorders>
              <w:top w:val="single" w:color="000000" w:sz="6" w:space="0"/>
              <w:left w:val="single" w:color="000000" w:sz="6" w:space="0"/>
              <w:bottom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59610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 w:hRule="atLeast"/>
          <w:jc w:val="center"/>
        </w:trPr>
        <w:tc>
          <w:tcPr>
            <w:tcW w:w="1140" w:type="dxa"/>
            <w:tcBorders>
              <w:top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3</w:t>
            </w:r>
          </w:p>
        </w:tc>
        <w:tc>
          <w:tcPr>
            <w:tcW w:w="1056"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双东街道</w:t>
            </w:r>
          </w:p>
        </w:tc>
        <w:tc>
          <w:tcPr>
            <w:tcW w:w="1338"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w:t>
            </w:r>
          </w:p>
        </w:tc>
        <w:tc>
          <w:tcPr>
            <w:tcW w:w="1087"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8</w:t>
            </w:r>
          </w:p>
        </w:tc>
        <w:tc>
          <w:tcPr>
            <w:tcW w:w="111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67</w:t>
            </w:r>
          </w:p>
        </w:tc>
        <w:tc>
          <w:tcPr>
            <w:tcW w:w="119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22702</w:t>
            </w:r>
          </w:p>
        </w:tc>
        <w:tc>
          <w:tcPr>
            <w:tcW w:w="1169" w:type="dxa"/>
            <w:tcBorders>
              <w:top w:val="single" w:color="000000" w:sz="6" w:space="0"/>
              <w:left w:val="single" w:color="000000" w:sz="6" w:space="0"/>
              <w:bottom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15697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jc w:val="center"/>
        </w:trPr>
        <w:tc>
          <w:tcPr>
            <w:tcW w:w="1140" w:type="dxa"/>
            <w:tcBorders>
              <w:top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4</w:t>
            </w:r>
          </w:p>
        </w:tc>
        <w:tc>
          <w:tcPr>
            <w:tcW w:w="1056"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素龙街道</w:t>
            </w:r>
          </w:p>
        </w:tc>
        <w:tc>
          <w:tcPr>
            <w:tcW w:w="1338"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w:t>
            </w:r>
          </w:p>
        </w:tc>
        <w:tc>
          <w:tcPr>
            <w:tcW w:w="1087"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23</w:t>
            </w:r>
          </w:p>
        </w:tc>
        <w:tc>
          <w:tcPr>
            <w:tcW w:w="111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231</w:t>
            </w:r>
          </w:p>
        </w:tc>
        <w:tc>
          <w:tcPr>
            <w:tcW w:w="119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123104</w:t>
            </w:r>
          </w:p>
        </w:tc>
        <w:tc>
          <w:tcPr>
            <w:tcW w:w="1169" w:type="dxa"/>
            <w:tcBorders>
              <w:top w:val="single" w:color="000000" w:sz="6" w:space="0"/>
              <w:left w:val="single" w:color="000000" w:sz="6" w:space="0"/>
              <w:bottom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120289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jc w:val="center"/>
        </w:trPr>
        <w:tc>
          <w:tcPr>
            <w:tcW w:w="1140" w:type="dxa"/>
            <w:tcBorders>
              <w:top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5</w:t>
            </w:r>
          </w:p>
        </w:tc>
        <w:tc>
          <w:tcPr>
            <w:tcW w:w="1056"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满塘镇</w:t>
            </w:r>
          </w:p>
        </w:tc>
        <w:tc>
          <w:tcPr>
            <w:tcW w:w="1338"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w:t>
            </w:r>
          </w:p>
        </w:tc>
        <w:tc>
          <w:tcPr>
            <w:tcW w:w="1087"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12</w:t>
            </w:r>
          </w:p>
        </w:tc>
        <w:tc>
          <w:tcPr>
            <w:tcW w:w="111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126</w:t>
            </w:r>
          </w:p>
        </w:tc>
        <w:tc>
          <w:tcPr>
            <w:tcW w:w="119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43591</w:t>
            </w:r>
          </w:p>
        </w:tc>
        <w:tc>
          <w:tcPr>
            <w:tcW w:w="1169" w:type="dxa"/>
            <w:tcBorders>
              <w:top w:val="single" w:color="000000" w:sz="6" w:space="0"/>
              <w:left w:val="single" w:color="000000" w:sz="6" w:space="0"/>
              <w:bottom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22853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jc w:val="center"/>
        </w:trPr>
        <w:tc>
          <w:tcPr>
            <w:tcW w:w="1140" w:type="dxa"/>
            <w:tcBorders>
              <w:top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6</w:t>
            </w:r>
          </w:p>
        </w:tc>
        <w:tc>
          <w:tcPr>
            <w:tcW w:w="1056"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围底镇</w:t>
            </w:r>
          </w:p>
        </w:tc>
        <w:tc>
          <w:tcPr>
            <w:tcW w:w="1338"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w:t>
            </w:r>
          </w:p>
        </w:tc>
        <w:tc>
          <w:tcPr>
            <w:tcW w:w="1087"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15</w:t>
            </w:r>
          </w:p>
        </w:tc>
        <w:tc>
          <w:tcPr>
            <w:tcW w:w="111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77</w:t>
            </w:r>
          </w:p>
        </w:tc>
        <w:tc>
          <w:tcPr>
            <w:tcW w:w="119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45153</w:t>
            </w:r>
          </w:p>
        </w:tc>
        <w:tc>
          <w:tcPr>
            <w:tcW w:w="1169" w:type="dxa"/>
            <w:tcBorders>
              <w:top w:val="single" w:color="000000" w:sz="6" w:space="0"/>
              <w:left w:val="single" w:color="000000" w:sz="6" w:space="0"/>
              <w:bottom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39271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jc w:val="center"/>
        </w:trPr>
        <w:tc>
          <w:tcPr>
            <w:tcW w:w="1140" w:type="dxa"/>
            <w:tcBorders>
              <w:top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7</w:t>
            </w:r>
          </w:p>
        </w:tc>
        <w:tc>
          <w:tcPr>
            <w:tcW w:w="1056"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罗平镇</w:t>
            </w:r>
          </w:p>
        </w:tc>
        <w:tc>
          <w:tcPr>
            <w:tcW w:w="1338"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w:t>
            </w:r>
          </w:p>
        </w:tc>
        <w:tc>
          <w:tcPr>
            <w:tcW w:w="1087"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23</w:t>
            </w:r>
          </w:p>
        </w:tc>
        <w:tc>
          <w:tcPr>
            <w:tcW w:w="111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157</w:t>
            </w:r>
          </w:p>
        </w:tc>
        <w:tc>
          <w:tcPr>
            <w:tcW w:w="119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92751</w:t>
            </w:r>
          </w:p>
        </w:tc>
        <w:tc>
          <w:tcPr>
            <w:tcW w:w="1169" w:type="dxa"/>
            <w:tcBorders>
              <w:top w:val="single" w:color="000000" w:sz="6" w:space="0"/>
              <w:left w:val="single" w:color="000000" w:sz="6" w:space="0"/>
              <w:bottom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67909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 w:hRule="atLeast"/>
          <w:jc w:val="center"/>
        </w:trPr>
        <w:tc>
          <w:tcPr>
            <w:tcW w:w="1140" w:type="dxa"/>
            <w:tcBorders>
              <w:top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8</w:t>
            </w:r>
          </w:p>
        </w:tc>
        <w:tc>
          <w:tcPr>
            <w:tcW w:w="1056"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苹塘镇</w:t>
            </w:r>
          </w:p>
        </w:tc>
        <w:tc>
          <w:tcPr>
            <w:tcW w:w="1338"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w:t>
            </w:r>
          </w:p>
        </w:tc>
        <w:tc>
          <w:tcPr>
            <w:tcW w:w="1087"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11</w:t>
            </w:r>
          </w:p>
        </w:tc>
        <w:tc>
          <w:tcPr>
            <w:tcW w:w="111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114</w:t>
            </w:r>
          </w:p>
        </w:tc>
        <w:tc>
          <w:tcPr>
            <w:tcW w:w="119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43618</w:t>
            </w:r>
          </w:p>
        </w:tc>
        <w:tc>
          <w:tcPr>
            <w:tcW w:w="1169" w:type="dxa"/>
            <w:tcBorders>
              <w:top w:val="single" w:color="000000" w:sz="6" w:space="0"/>
              <w:left w:val="single" w:color="000000" w:sz="6" w:space="0"/>
              <w:bottom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26760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jc w:val="center"/>
        </w:trPr>
        <w:tc>
          <w:tcPr>
            <w:tcW w:w="1140" w:type="dxa"/>
            <w:tcBorders>
              <w:top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9</w:t>
            </w:r>
          </w:p>
        </w:tc>
        <w:tc>
          <w:tcPr>
            <w:tcW w:w="1056"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华石镇</w:t>
            </w:r>
          </w:p>
        </w:tc>
        <w:tc>
          <w:tcPr>
            <w:tcW w:w="1338"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w:t>
            </w:r>
          </w:p>
        </w:tc>
        <w:tc>
          <w:tcPr>
            <w:tcW w:w="1087"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10</w:t>
            </w:r>
          </w:p>
        </w:tc>
        <w:tc>
          <w:tcPr>
            <w:tcW w:w="111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112</w:t>
            </w:r>
          </w:p>
        </w:tc>
        <w:tc>
          <w:tcPr>
            <w:tcW w:w="119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38274</w:t>
            </w:r>
          </w:p>
        </w:tc>
        <w:tc>
          <w:tcPr>
            <w:tcW w:w="1169" w:type="dxa"/>
            <w:tcBorders>
              <w:top w:val="single" w:color="000000" w:sz="6" w:space="0"/>
              <w:left w:val="single" w:color="000000" w:sz="6" w:space="0"/>
              <w:bottom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29534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 w:hRule="atLeast"/>
          <w:jc w:val="center"/>
        </w:trPr>
        <w:tc>
          <w:tcPr>
            <w:tcW w:w="1140" w:type="dxa"/>
            <w:tcBorders>
              <w:top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10</w:t>
            </w:r>
          </w:p>
        </w:tc>
        <w:tc>
          <w:tcPr>
            <w:tcW w:w="1056"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榃滨镇</w:t>
            </w:r>
          </w:p>
        </w:tc>
        <w:tc>
          <w:tcPr>
            <w:tcW w:w="1338"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w:t>
            </w:r>
          </w:p>
        </w:tc>
        <w:tc>
          <w:tcPr>
            <w:tcW w:w="1087"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13</w:t>
            </w:r>
          </w:p>
        </w:tc>
        <w:tc>
          <w:tcPr>
            <w:tcW w:w="111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246</w:t>
            </w:r>
          </w:p>
        </w:tc>
        <w:tc>
          <w:tcPr>
            <w:tcW w:w="119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52364</w:t>
            </w:r>
          </w:p>
        </w:tc>
        <w:tc>
          <w:tcPr>
            <w:tcW w:w="1169" w:type="dxa"/>
            <w:tcBorders>
              <w:top w:val="single" w:color="000000" w:sz="6" w:space="0"/>
              <w:left w:val="single" w:color="000000" w:sz="6" w:space="0"/>
              <w:bottom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26581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 w:hRule="atLeast"/>
          <w:jc w:val="center"/>
        </w:trPr>
        <w:tc>
          <w:tcPr>
            <w:tcW w:w="1140" w:type="dxa"/>
            <w:tcBorders>
              <w:top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11</w:t>
            </w:r>
          </w:p>
        </w:tc>
        <w:tc>
          <w:tcPr>
            <w:tcW w:w="1056"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连州镇</w:t>
            </w:r>
          </w:p>
        </w:tc>
        <w:tc>
          <w:tcPr>
            <w:tcW w:w="1338"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w:t>
            </w:r>
          </w:p>
        </w:tc>
        <w:tc>
          <w:tcPr>
            <w:tcW w:w="1087"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16</w:t>
            </w:r>
          </w:p>
        </w:tc>
        <w:tc>
          <w:tcPr>
            <w:tcW w:w="111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240</w:t>
            </w:r>
          </w:p>
        </w:tc>
        <w:tc>
          <w:tcPr>
            <w:tcW w:w="119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60853</w:t>
            </w:r>
          </w:p>
        </w:tc>
        <w:tc>
          <w:tcPr>
            <w:tcW w:w="1169" w:type="dxa"/>
            <w:tcBorders>
              <w:top w:val="single" w:color="000000" w:sz="6" w:space="0"/>
              <w:left w:val="single" w:color="000000" w:sz="6" w:space="0"/>
              <w:bottom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44362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 w:hRule="atLeast"/>
          <w:jc w:val="center"/>
        </w:trPr>
        <w:tc>
          <w:tcPr>
            <w:tcW w:w="1140" w:type="dxa"/>
            <w:tcBorders>
              <w:top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12</w:t>
            </w:r>
          </w:p>
        </w:tc>
        <w:tc>
          <w:tcPr>
            <w:tcW w:w="1056"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黎少镇</w:t>
            </w:r>
          </w:p>
        </w:tc>
        <w:tc>
          <w:tcPr>
            <w:tcW w:w="1338"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w:t>
            </w:r>
          </w:p>
        </w:tc>
        <w:tc>
          <w:tcPr>
            <w:tcW w:w="1087"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18</w:t>
            </w:r>
          </w:p>
        </w:tc>
        <w:tc>
          <w:tcPr>
            <w:tcW w:w="111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220</w:t>
            </w:r>
          </w:p>
        </w:tc>
        <w:tc>
          <w:tcPr>
            <w:tcW w:w="119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56800</w:t>
            </w:r>
          </w:p>
        </w:tc>
        <w:tc>
          <w:tcPr>
            <w:tcW w:w="1169" w:type="dxa"/>
            <w:tcBorders>
              <w:top w:val="single" w:color="000000" w:sz="6" w:space="0"/>
              <w:left w:val="single" w:color="000000" w:sz="6" w:space="0"/>
              <w:bottom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41242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 w:hRule="atLeast"/>
          <w:jc w:val="center"/>
        </w:trPr>
        <w:tc>
          <w:tcPr>
            <w:tcW w:w="1140" w:type="dxa"/>
            <w:tcBorders>
              <w:top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13</w:t>
            </w:r>
          </w:p>
        </w:tc>
        <w:tc>
          <w:tcPr>
            <w:tcW w:w="1056"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龙湾镇</w:t>
            </w:r>
          </w:p>
        </w:tc>
        <w:tc>
          <w:tcPr>
            <w:tcW w:w="1338"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w:t>
            </w:r>
          </w:p>
        </w:tc>
        <w:tc>
          <w:tcPr>
            <w:tcW w:w="1087"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11</w:t>
            </w:r>
          </w:p>
        </w:tc>
        <w:tc>
          <w:tcPr>
            <w:tcW w:w="111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192</w:t>
            </w:r>
          </w:p>
        </w:tc>
        <w:tc>
          <w:tcPr>
            <w:tcW w:w="119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34799</w:t>
            </w:r>
          </w:p>
        </w:tc>
        <w:tc>
          <w:tcPr>
            <w:tcW w:w="1169" w:type="dxa"/>
            <w:tcBorders>
              <w:top w:val="single" w:color="000000" w:sz="6" w:space="0"/>
              <w:left w:val="single" w:color="000000" w:sz="6" w:space="0"/>
              <w:bottom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21145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 w:hRule="atLeast"/>
          <w:jc w:val="center"/>
        </w:trPr>
        <w:tc>
          <w:tcPr>
            <w:tcW w:w="1140" w:type="dxa"/>
            <w:tcBorders>
              <w:top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14</w:t>
            </w:r>
          </w:p>
        </w:tc>
        <w:tc>
          <w:tcPr>
            <w:tcW w:w="1056"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加益镇</w:t>
            </w:r>
          </w:p>
        </w:tc>
        <w:tc>
          <w:tcPr>
            <w:tcW w:w="1338"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w:t>
            </w:r>
          </w:p>
        </w:tc>
        <w:tc>
          <w:tcPr>
            <w:tcW w:w="1087"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9</w:t>
            </w:r>
          </w:p>
        </w:tc>
        <w:tc>
          <w:tcPr>
            <w:tcW w:w="111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145</w:t>
            </w:r>
          </w:p>
        </w:tc>
        <w:tc>
          <w:tcPr>
            <w:tcW w:w="119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27564</w:t>
            </w:r>
          </w:p>
        </w:tc>
        <w:tc>
          <w:tcPr>
            <w:tcW w:w="1169" w:type="dxa"/>
            <w:tcBorders>
              <w:top w:val="single" w:color="000000" w:sz="6" w:space="0"/>
              <w:left w:val="single" w:color="000000" w:sz="6" w:space="0"/>
              <w:bottom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21223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 w:hRule="atLeast"/>
          <w:jc w:val="center"/>
        </w:trPr>
        <w:tc>
          <w:tcPr>
            <w:tcW w:w="1140" w:type="dxa"/>
            <w:tcBorders>
              <w:top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15</w:t>
            </w:r>
          </w:p>
        </w:tc>
        <w:tc>
          <w:tcPr>
            <w:tcW w:w="1056"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分界镇</w:t>
            </w:r>
          </w:p>
        </w:tc>
        <w:tc>
          <w:tcPr>
            <w:tcW w:w="1338"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w:t>
            </w:r>
          </w:p>
        </w:tc>
        <w:tc>
          <w:tcPr>
            <w:tcW w:w="1087"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9</w:t>
            </w:r>
          </w:p>
        </w:tc>
        <w:tc>
          <w:tcPr>
            <w:tcW w:w="111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181</w:t>
            </w:r>
          </w:p>
        </w:tc>
        <w:tc>
          <w:tcPr>
            <w:tcW w:w="119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32979</w:t>
            </w:r>
          </w:p>
        </w:tc>
        <w:tc>
          <w:tcPr>
            <w:tcW w:w="1169" w:type="dxa"/>
            <w:tcBorders>
              <w:top w:val="single" w:color="000000" w:sz="6" w:space="0"/>
              <w:left w:val="single" w:color="000000" w:sz="6" w:space="0"/>
              <w:bottom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15429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 w:hRule="atLeast"/>
          <w:jc w:val="center"/>
        </w:trPr>
        <w:tc>
          <w:tcPr>
            <w:tcW w:w="1140" w:type="dxa"/>
            <w:tcBorders>
              <w:top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16</w:t>
            </w:r>
          </w:p>
        </w:tc>
        <w:tc>
          <w:tcPr>
            <w:tcW w:w="1056"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太平镇</w:t>
            </w:r>
          </w:p>
        </w:tc>
        <w:tc>
          <w:tcPr>
            <w:tcW w:w="1338"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w:t>
            </w:r>
          </w:p>
        </w:tc>
        <w:tc>
          <w:tcPr>
            <w:tcW w:w="1087"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16</w:t>
            </w:r>
          </w:p>
        </w:tc>
        <w:tc>
          <w:tcPr>
            <w:tcW w:w="111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153</w:t>
            </w:r>
          </w:p>
        </w:tc>
        <w:tc>
          <w:tcPr>
            <w:tcW w:w="119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69629</w:t>
            </w:r>
          </w:p>
        </w:tc>
        <w:tc>
          <w:tcPr>
            <w:tcW w:w="1169" w:type="dxa"/>
            <w:tcBorders>
              <w:top w:val="single" w:color="000000" w:sz="6" w:space="0"/>
              <w:left w:val="single" w:color="000000" w:sz="6" w:space="0"/>
              <w:bottom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50718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 w:hRule="atLeast"/>
          <w:jc w:val="center"/>
        </w:trPr>
        <w:tc>
          <w:tcPr>
            <w:tcW w:w="1140" w:type="dxa"/>
            <w:tcBorders>
              <w:top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17</w:t>
            </w:r>
          </w:p>
        </w:tc>
        <w:tc>
          <w:tcPr>
            <w:tcW w:w="1056"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船步镇</w:t>
            </w:r>
          </w:p>
        </w:tc>
        <w:tc>
          <w:tcPr>
            <w:tcW w:w="1338"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w:t>
            </w:r>
          </w:p>
        </w:tc>
        <w:tc>
          <w:tcPr>
            <w:tcW w:w="1087"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18</w:t>
            </w:r>
          </w:p>
        </w:tc>
        <w:tc>
          <w:tcPr>
            <w:tcW w:w="111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216</w:t>
            </w:r>
          </w:p>
        </w:tc>
        <w:tc>
          <w:tcPr>
            <w:tcW w:w="119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85637</w:t>
            </w:r>
          </w:p>
        </w:tc>
        <w:tc>
          <w:tcPr>
            <w:tcW w:w="1169" w:type="dxa"/>
            <w:tcBorders>
              <w:top w:val="single" w:color="000000" w:sz="6" w:space="0"/>
              <w:left w:val="single" w:color="000000" w:sz="6" w:space="0"/>
              <w:bottom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46878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 w:hRule="atLeast"/>
          <w:jc w:val="center"/>
        </w:trPr>
        <w:tc>
          <w:tcPr>
            <w:tcW w:w="1140" w:type="dxa"/>
            <w:tcBorders>
              <w:top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18</w:t>
            </w:r>
          </w:p>
        </w:tc>
        <w:tc>
          <w:tcPr>
            <w:tcW w:w="1056"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金鸡镇</w:t>
            </w:r>
          </w:p>
        </w:tc>
        <w:tc>
          <w:tcPr>
            <w:tcW w:w="1338"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w:t>
            </w:r>
          </w:p>
        </w:tc>
        <w:tc>
          <w:tcPr>
            <w:tcW w:w="1087"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10</w:t>
            </w:r>
          </w:p>
        </w:tc>
        <w:tc>
          <w:tcPr>
            <w:tcW w:w="111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109</w:t>
            </w:r>
          </w:p>
        </w:tc>
        <w:tc>
          <w:tcPr>
            <w:tcW w:w="119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36985</w:t>
            </w:r>
          </w:p>
        </w:tc>
        <w:tc>
          <w:tcPr>
            <w:tcW w:w="1169" w:type="dxa"/>
            <w:tcBorders>
              <w:top w:val="single" w:color="000000" w:sz="6" w:space="0"/>
              <w:left w:val="single" w:color="000000" w:sz="6" w:space="0"/>
              <w:bottom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28566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 w:hRule="atLeast"/>
          <w:jc w:val="center"/>
        </w:trPr>
        <w:tc>
          <w:tcPr>
            <w:tcW w:w="1140" w:type="dxa"/>
            <w:tcBorders>
              <w:top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19</w:t>
            </w:r>
          </w:p>
        </w:tc>
        <w:tc>
          <w:tcPr>
            <w:tcW w:w="1056"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生江镇</w:t>
            </w:r>
          </w:p>
        </w:tc>
        <w:tc>
          <w:tcPr>
            <w:tcW w:w="1338"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w:t>
            </w:r>
          </w:p>
        </w:tc>
        <w:tc>
          <w:tcPr>
            <w:tcW w:w="1087"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11</w:t>
            </w:r>
          </w:p>
        </w:tc>
        <w:tc>
          <w:tcPr>
            <w:tcW w:w="111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185</w:t>
            </w:r>
          </w:p>
        </w:tc>
        <w:tc>
          <w:tcPr>
            <w:tcW w:w="119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40441</w:t>
            </w:r>
          </w:p>
        </w:tc>
        <w:tc>
          <w:tcPr>
            <w:tcW w:w="1169" w:type="dxa"/>
            <w:tcBorders>
              <w:top w:val="single" w:color="000000" w:sz="6" w:space="0"/>
              <w:left w:val="single" w:color="000000" w:sz="6" w:space="0"/>
              <w:bottom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25195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 w:hRule="atLeast"/>
          <w:jc w:val="center"/>
        </w:trPr>
        <w:tc>
          <w:tcPr>
            <w:tcW w:w="1140" w:type="dxa"/>
            <w:tcBorders>
              <w:top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20</w:t>
            </w:r>
          </w:p>
        </w:tc>
        <w:tc>
          <w:tcPr>
            <w:tcW w:w="1056"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泗纶镇</w:t>
            </w:r>
          </w:p>
        </w:tc>
        <w:tc>
          <w:tcPr>
            <w:tcW w:w="1338"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w:t>
            </w:r>
          </w:p>
        </w:tc>
        <w:tc>
          <w:tcPr>
            <w:tcW w:w="1087"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27</w:t>
            </w:r>
          </w:p>
        </w:tc>
        <w:tc>
          <w:tcPr>
            <w:tcW w:w="111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349</w:t>
            </w:r>
          </w:p>
        </w:tc>
        <w:tc>
          <w:tcPr>
            <w:tcW w:w="119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78708</w:t>
            </w:r>
          </w:p>
        </w:tc>
        <w:tc>
          <w:tcPr>
            <w:tcW w:w="1169" w:type="dxa"/>
            <w:tcBorders>
              <w:top w:val="single" w:color="000000" w:sz="6" w:space="0"/>
              <w:left w:val="single" w:color="000000" w:sz="6" w:space="0"/>
              <w:bottom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43955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 w:hRule="atLeast"/>
          <w:jc w:val="center"/>
        </w:trPr>
        <w:tc>
          <w:tcPr>
            <w:tcW w:w="1140" w:type="dxa"/>
            <w:tcBorders>
              <w:top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21</w:t>
            </w:r>
          </w:p>
        </w:tc>
        <w:tc>
          <w:tcPr>
            <w:tcW w:w="1056"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罗镜镇</w:t>
            </w:r>
          </w:p>
        </w:tc>
        <w:tc>
          <w:tcPr>
            <w:tcW w:w="1338"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w:t>
            </w:r>
          </w:p>
        </w:tc>
        <w:tc>
          <w:tcPr>
            <w:tcW w:w="1087"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24</w:t>
            </w:r>
          </w:p>
        </w:tc>
        <w:tc>
          <w:tcPr>
            <w:tcW w:w="111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357</w:t>
            </w:r>
          </w:p>
        </w:tc>
        <w:tc>
          <w:tcPr>
            <w:tcW w:w="119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100862</w:t>
            </w:r>
          </w:p>
        </w:tc>
        <w:tc>
          <w:tcPr>
            <w:tcW w:w="1169" w:type="dxa"/>
            <w:tcBorders>
              <w:top w:val="single" w:color="000000" w:sz="6" w:space="0"/>
              <w:left w:val="single" w:color="000000" w:sz="6" w:space="0"/>
              <w:bottom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rPr>
              <w:t>65780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 w:hRule="atLeast"/>
          <w:jc w:val="center"/>
        </w:trPr>
        <w:tc>
          <w:tcPr>
            <w:tcW w:w="2196" w:type="dxa"/>
            <w:gridSpan w:val="2"/>
            <w:tcBorders>
              <w:top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lang w:val="en-US"/>
              </w:rPr>
            </w:pPr>
            <w:r>
              <w:rPr>
                <w:rFonts w:hint="eastAsia" w:ascii="宋体" w:hAnsi="宋体" w:eastAsia="宋体" w:cs="宋体"/>
                <w:color w:val="auto"/>
                <w:sz w:val="21"/>
                <w:szCs w:val="21"/>
                <w:lang w:val="en-US"/>
              </w:rPr>
              <w:t>合</w:t>
            </w:r>
            <w:r>
              <w:rPr>
                <w:rFonts w:hint="eastAsia" w:ascii="宋体" w:hAnsi="宋体" w:eastAsia="宋体" w:cs="宋体"/>
                <w:color w:val="auto"/>
                <w:sz w:val="21"/>
                <w:szCs w:val="21"/>
                <w:lang w:val="en-US"/>
              </w:rPr>
              <w:tab/>
            </w:r>
            <w:r>
              <w:rPr>
                <w:rFonts w:hint="eastAsia" w:ascii="宋体" w:hAnsi="宋体" w:eastAsia="宋体" w:cs="宋体"/>
                <w:color w:val="auto"/>
                <w:sz w:val="21"/>
                <w:szCs w:val="21"/>
                <w:lang w:val="en-US"/>
              </w:rPr>
              <w:t>计</w:t>
            </w:r>
          </w:p>
        </w:tc>
        <w:tc>
          <w:tcPr>
            <w:tcW w:w="1338"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lang w:val="en-US"/>
              </w:rPr>
            </w:pPr>
            <w:r>
              <w:rPr>
                <w:rFonts w:hint="eastAsia" w:ascii="宋体" w:hAnsi="宋体" w:eastAsia="宋体" w:cs="宋体"/>
                <w:color w:val="auto"/>
                <w:sz w:val="21"/>
                <w:szCs w:val="21"/>
                <w:lang w:val="en-US"/>
              </w:rPr>
              <w:t>30</w:t>
            </w:r>
          </w:p>
        </w:tc>
        <w:tc>
          <w:tcPr>
            <w:tcW w:w="1087"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lang w:val="en-US"/>
              </w:rPr>
            </w:pPr>
            <w:r>
              <w:rPr>
                <w:rFonts w:hint="eastAsia" w:ascii="宋体" w:hAnsi="宋体" w:eastAsia="宋体" w:cs="宋体"/>
                <w:color w:val="auto"/>
                <w:sz w:val="21"/>
                <w:szCs w:val="21"/>
                <w:lang w:val="en-US"/>
              </w:rPr>
              <w:t>306</w:t>
            </w:r>
          </w:p>
        </w:tc>
        <w:tc>
          <w:tcPr>
            <w:tcW w:w="111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lang w:val="en-US"/>
              </w:rPr>
            </w:pPr>
            <w:r>
              <w:rPr>
                <w:rFonts w:hint="eastAsia" w:ascii="宋体" w:hAnsi="宋体" w:eastAsia="宋体" w:cs="宋体"/>
                <w:color w:val="auto"/>
                <w:sz w:val="21"/>
                <w:szCs w:val="21"/>
                <w:lang w:val="en-US"/>
              </w:rPr>
              <w:t>3748</w:t>
            </w:r>
          </w:p>
        </w:tc>
        <w:tc>
          <w:tcPr>
            <w:tcW w:w="1192" w:type="dxa"/>
            <w:tcBorders>
              <w:top w:val="single" w:color="000000" w:sz="6" w:space="0"/>
              <w:left w:val="single" w:color="000000" w:sz="6" w:space="0"/>
              <w:bottom w:val="single" w:color="000000" w:sz="6" w:space="0"/>
              <w:right w:val="single" w:color="000000" w:sz="6" w:space="0"/>
            </w:tcBorders>
            <w:vAlign w:val="center"/>
          </w:tcPr>
          <w:p>
            <w:pPr>
              <w:jc w:val="center"/>
              <w:rPr>
                <w:rFonts w:ascii="宋体" w:hAnsi="宋体" w:eastAsia="宋体" w:cs="宋体"/>
                <w:color w:val="auto"/>
                <w:sz w:val="21"/>
                <w:szCs w:val="21"/>
                <w:lang w:val="en-US"/>
              </w:rPr>
            </w:pPr>
            <w:r>
              <w:rPr>
                <w:rFonts w:hint="eastAsia" w:ascii="宋体" w:hAnsi="宋体" w:eastAsia="宋体" w:cs="宋体"/>
                <w:color w:val="auto"/>
                <w:sz w:val="21"/>
                <w:szCs w:val="21"/>
                <w:lang w:val="en-US"/>
              </w:rPr>
              <w:t>1243986</w:t>
            </w:r>
          </w:p>
        </w:tc>
        <w:tc>
          <w:tcPr>
            <w:tcW w:w="1169" w:type="dxa"/>
            <w:tcBorders>
              <w:top w:val="single" w:color="000000" w:sz="6" w:space="0"/>
              <w:left w:val="single" w:color="000000" w:sz="6" w:space="0"/>
              <w:bottom w:val="single" w:color="000000" w:sz="6" w:space="0"/>
            </w:tcBorders>
            <w:vAlign w:val="center"/>
          </w:tcPr>
          <w:p>
            <w:pPr>
              <w:jc w:val="center"/>
              <w:rPr>
                <w:rFonts w:ascii="宋体" w:hAnsi="宋体" w:eastAsia="宋体" w:cs="宋体"/>
                <w:color w:val="auto"/>
                <w:sz w:val="21"/>
                <w:szCs w:val="21"/>
              </w:rPr>
            </w:pPr>
            <w:r>
              <w:rPr>
                <w:rFonts w:hint="eastAsia" w:ascii="宋体" w:hAnsi="宋体" w:eastAsia="宋体" w:cs="宋体"/>
                <w:color w:val="auto"/>
                <w:sz w:val="21"/>
                <w:szCs w:val="21"/>
                <w:lang w:val="en-US"/>
              </w:rPr>
              <w:t>900246</w:t>
            </w:r>
          </w:p>
        </w:tc>
      </w:tr>
    </w:tbl>
    <w:p>
      <w:pPr>
        <w:spacing w:line="500" w:lineRule="exact"/>
        <w:ind w:firstLine="420" w:firstLineChars="200"/>
        <w:jc w:val="both"/>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注：人口数据由各镇（街）政府提供。</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(5）社会经济</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经云浮市统计局初步核定，2021年罗定市实现地区生产总值（GDP）312.19亿元，同比增长6.0%，与2019年对比增长9.7%，两年平均增长4.8%。总量中： 第一产业实现增加值64.04亿元，增长7.7%，与 2019年对比增长14.6%，两年平均增长7.0%；第二产业实现增加值86.82亿元， 同比下降0.2%，与2019年对比增长2.6%，两年平均增长1.3%；第三产业实现增加值161.33亿元，同比增长8.8%，与2019年对比增长 12.0%，两年平均增长5.8%。三产比重分别为20.5︰27.8︰51.7。全市人均地区生产总值33224元，同比增长5.8%。</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全年居民消费价格与上年持平。分类别看，食品烟酒类价格下降1.5%，衣着类价格下降0.1%，居住类价格上涨0.6%，生活用品及服务类价格与上年持平， 交通和通信类价格上涨3.4%，教育文化和娱乐类价格上涨0.2%，医疗保健类价格下降1.0%，其他用品和服务类价格上涨0.2%。</w:t>
      </w:r>
    </w:p>
    <w:p>
      <w:pPr>
        <w:pStyle w:val="32"/>
        <w:numPr>
          <w:ilvl w:val="1"/>
          <w:numId w:val="4"/>
        </w:numPr>
        <w:tabs>
          <w:tab w:val="left" w:pos="1248"/>
        </w:tabs>
        <w:spacing w:line="500" w:lineRule="exact"/>
        <w:jc w:val="both"/>
        <w:outlineLvl w:val="1"/>
        <w:rPr>
          <w:rFonts w:asciiTheme="minorEastAsia" w:hAnsiTheme="minorEastAsia" w:eastAsiaTheme="minorEastAsia" w:cstheme="minorEastAsia"/>
          <w:b/>
          <w:color w:val="auto"/>
          <w:sz w:val="24"/>
          <w:szCs w:val="24"/>
        </w:rPr>
      </w:pPr>
      <w:bookmarkStart w:id="24" w:name="2.2城市自然环境"/>
      <w:bookmarkEnd w:id="24"/>
      <w:bookmarkStart w:id="25" w:name="_Toc27965"/>
      <w:bookmarkStart w:id="26" w:name="_Toc1086"/>
      <w:r>
        <w:rPr>
          <w:rFonts w:hint="eastAsia" w:asciiTheme="minorEastAsia" w:hAnsiTheme="minorEastAsia" w:eastAsiaTheme="minorEastAsia" w:cstheme="minorEastAsia"/>
          <w:b/>
          <w:color w:val="auto"/>
          <w:sz w:val="24"/>
          <w:szCs w:val="24"/>
        </w:rPr>
        <w:t>城市自然环境</w:t>
      </w:r>
      <w:bookmarkEnd w:id="25"/>
      <w:bookmarkEnd w:id="26"/>
    </w:p>
    <w:p>
      <w:pPr>
        <w:pStyle w:val="32"/>
        <w:numPr>
          <w:ilvl w:val="2"/>
          <w:numId w:val="5"/>
        </w:numPr>
        <w:tabs>
          <w:tab w:val="left" w:pos="1623"/>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地形地貌</w:t>
      </w:r>
    </w:p>
    <w:p>
      <w:pPr>
        <w:pStyle w:val="10"/>
        <w:spacing w:line="500" w:lineRule="exact"/>
        <w:ind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罗定市地势由西南向东北倾斜，西部、南部属于云开大山支脉，东部为云雾山余脉，属喀斯特地形区，中部和北部为盆地、丘陵地带。全境形成以东、西、南三面为边围，向东北开</w:t>
      </w:r>
      <w:r>
        <w:rPr>
          <w:rFonts w:hint="eastAsia" w:asciiTheme="minorEastAsia" w:hAnsiTheme="minorEastAsia" w:eastAsiaTheme="minorEastAsia" w:cstheme="minorEastAsia"/>
          <w:color w:val="auto"/>
          <w:spacing w:val="-12"/>
          <w:sz w:val="24"/>
          <w:szCs w:val="24"/>
        </w:rPr>
        <w:t>口的箕状盆地。海拔</w:t>
      </w:r>
      <w:r>
        <w:rPr>
          <w:rFonts w:hint="eastAsia" w:asciiTheme="minorEastAsia" w:hAnsiTheme="minorEastAsia" w:eastAsiaTheme="minorEastAsia" w:cstheme="minorEastAsia"/>
          <w:color w:val="auto"/>
          <w:sz w:val="24"/>
          <w:szCs w:val="24"/>
        </w:rPr>
        <w:t>1327</w:t>
      </w:r>
      <w:r>
        <w:rPr>
          <w:rFonts w:hint="eastAsia" w:asciiTheme="minorEastAsia" w:hAnsiTheme="minorEastAsia" w:eastAsiaTheme="minorEastAsia" w:cstheme="minorEastAsia"/>
          <w:color w:val="auto"/>
          <w:spacing w:val="-13"/>
          <w:sz w:val="24"/>
          <w:szCs w:val="24"/>
        </w:rPr>
        <w:t>米的龙须顶是全市的最高点。全市地</w:t>
      </w:r>
      <w:r>
        <w:rPr>
          <w:rFonts w:hint="eastAsia" w:asciiTheme="minorEastAsia" w:hAnsiTheme="minorEastAsia" w:eastAsiaTheme="minorEastAsia" w:cstheme="minorEastAsia"/>
          <w:color w:val="auto"/>
          <w:spacing w:val="-5"/>
          <w:sz w:val="24"/>
          <w:szCs w:val="24"/>
        </w:rPr>
        <w:t>貌类型以山地、丘陵、盆地和平原为主，其中山地、丘陵分别</w:t>
      </w:r>
      <w:r>
        <w:rPr>
          <w:rFonts w:hint="eastAsia" w:asciiTheme="minorEastAsia" w:hAnsiTheme="minorEastAsia" w:eastAsiaTheme="minorEastAsia" w:cstheme="minorEastAsia"/>
          <w:color w:val="auto"/>
          <w:spacing w:val="-15"/>
          <w:sz w:val="24"/>
          <w:szCs w:val="24"/>
        </w:rPr>
        <w:t>占全市总面积的</w:t>
      </w:r>
      <w:r>
        <w:rPr>
          <w:rFonts w:hint="eastAsia" w:asciiTheme="minorEastAsia" w:hAnsiTheme="minorEastAsia" w:eastAsiaTheme="minorEastAsia" w:cstheme="minorEastAsia"/>
          <w:color w:val="auto"/>
          <w:sz w:val="24"/>
          <w:szCs w:val="24"/>
        </w:rPr>
        <w:t>37.5</w:t>
      </w:r>
      <w:r>
        <w:rPr>
          <w:rFonts w:hint="eastAsia" w:asciiTheme="minorEastAsia" w:hAnsiTheme="minorEastAsia" w:eastAsiaTheme="minorEastAsia" w:cstheme="minorEastAsia"/>
          <w:color w:val="auto"/>
          <w:spacing w:val="-25"/>
          <w:sz w:val="24"/>
          <w:szCs w:val="24"/>
        </w:rPr>
        <w:t>%和</w:t>
      </w:r>
      <w:r>
        <w:rPr>
          <w:rFonts w:hint="eastAsia" w:asciiTheme="minorEastAsia" w:hAnsiTheme="minorEastAsia" w:eastAsiaTheme="minorEastAsia" w:cstheme="minorEastAsia"/>
          <w:color w:val="auto"/>
          <w:spacing w:val="-7"/>
          <w:sz w:val="24"/>
          <w:szCs w:val="24"/>
        </w:rPr>
        <w:t>41.0</w:t>
      </w:r>
      <w:r>
        <w:rPr>
          <w:rFonts w:hint="eastAsia" w:asciiTheme="minorEastAsia" w:hAnsiTheme="minorEastAsia" w:eastAsiaTheme="minorEastAsia" w:cstheme="minorEastAsia"/>
          <w:color w:val="auto"/>
          <w:spacing w:val="-15"/>
          <w:sz w:val="24"/>
          <w:szCs w:val="24"/>
        </w:rPr>
        <w:t>%，合计</w:t>
      </w:r>
      <w:r>
        <w:rPr>
          <w:rFonts w:hint="eastAsia" w:asciiTheme="minorEastAsia" w:hAnsiTheme="minorEastAsia" w:eastAsiaTheme="minorEastAsia" w:cstheme="minorEastAsia"/>
          <w:color w:val="auto"/>
          <w:spacing w:val="-4"/>
          <w:sz w:val="24"/>
          <w:szCs w:val="24"/>
        </w:rPr>
        <w:t>78.5</w:t>
      </w:r>
      <w:r>
        <w:rPr>
          <w:rFonts w:hint="eastAsia" w:asciiTheme="minorEastAsia" w:hAnsiTheme="minorEastAsia" w:eastAsiaTheme="minorEastAsia" w:cstheme="minorEastAsia"/>
          <w:color w:val="auto"/>
          <w:spacing w:val="-2"/>
          <w:sz w:val="24"/>
          <w:szCs w:val="24"/>
        </w:rPr>
        <w:t>%。</w:t>
      </w:r>
    </w:p>
    <w:p>
      <w:pPr>
        <w:pStyle w:val="32"/>
        <w:numPr>
          <w:ilvl w:val="2"/>
          <w:numId w:val="5"/>
        </w:numPr>
        <w:tabs>
          <w:tab w:val="left" w:pos="1623"/>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气象气候</w:t>
      </w:r>
    </w:p>
    <w:p>
      <w:pPr>
        <w:pStyle w:val="10"/>
        <w:spacing w:line="500" w:lineRule="exact"/>
        <w:ind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罗定地处北回归线南侧，属南亚热带季风气候区，夏长无</w:t>
      </w:r>
      <w:r>
        <w:rPr>
          <w:rFonts w:hint="eastAsia" w:asciiTheme="minorEastAsia" w:hAnsiTheme="minorEastAsia" w:eastAsiaTheme="minorEastAsia" w:cstheme="minorEastAsia"/>
          <w:color w:val="auto"/>
          <w:spacing w:val="-15"/>
          <w:sz w:val="24"/>
          <w:szCs w:val="24"/>
        </w:rPr>
        <w:t>严冬，气温偏高，热量丰富，春秋暖和，雨量变幅大，温、光、</w:t>
      </w:r>
      <w:r>
        <w:rPr>
          <w:rFonts w:hint="eastAsia" w:asciiTheme="minorEastAsia" w:hAnsiTheme="minorEastAsia" w:eastAsiaTheme="minorEastAsia" w:cstheme="minorEastAsia"/>
          <w:color w:val="auto"/>
          <w:spacing w:val="-5"/>
          <w:sz w:val="24"/>
          <w:szCs w:val="24"/>
        </w:rPr>
        <w:t>热地域差异明显，干旱及倒春寒灾害较多。全年平均日照率42%</w:t>
      </w:r>
      <w:r>
        <w:rPr>
          <w:rFonts w:hint="eastAsia" w:asciiTheme="minorEastAsia" w:hAnsiTheme="minorEastAsia" w:eastAsiaTheme="minorEastAsia" w:cstheme="minorEastAsia"/>
          <w:color w:val="auto"/>
          <w:spacing w:val="-3"/>
          <w:sz w:val="24"/>
          <w:szCs w:val="24"/>
        </w:rPr>
        <w:t>，平均气温在</w:t>
      </w:r>
      <w:r>
        <w:rPr>
          <w:rFonts w:hint="eastAsia" w:asciiTheme="minorEastAsia" w:hAnsiTheme="minorEastAsia" w:eastAsiaTheme="minorEastAsia" w:cstheme="minorEastAsia"/>
          <w:color w:val="auto"/>
          <w:sz w:val="24"/>
          <w:szCs w:val="24"/>
        </w:rPr>
        <w:t>18.30～22.10℃</w:t>
      </w:r>
      <w:r>
        <w:rPr>
          <w:rFonts w:hint="eastAsia" w:asciiTheme="minorEastAsia" w:hAnsiTheme="minorEastAsia" w:eastAsiaTheme="minorEastAsia" w:cstheme="minorEastAsia"/>
          <w:color w:val="auto"/>
          <w:spacing w:val="-3"/>
          <w:sz w:val="24"/>
          <w:szCs w:val="24"/>
        </w:rPr>
        <w:t>之间。累年降水量在</w:t>
      </w:r>
      <w:r>
        <w:rPr>
          <w:rFonts w:hint="eastAsia" w:asciiTheme="minorEastAsia" w:hAnsiTheme="minorEastAsia" w:eastAsiaTheme="minorEastAsia" w:cstheme="minorEastAsia"/>
          <w:color w:val="auto"/>
          <w:sz w:val="24"/>
          <w:szCs w:val="24"/>
        </w:rPr>
        <w:t>1260～1600毫米之间，平均值在1400毫米左右。</w:t>
      </w:r>
    </w:p>
    <w:p>
      <w:pPr>
        <w:pStyle w:val="32"/>
        <w:numPr>
          <w:ilvl w:val="2"/>
          <w:numId w:val="5"/>
        </w:numPr>
        <w:tabs>
          <w:tab w:val="left" w:pos="1620"/>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水系河流</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罗定地下水总储量为3.60亿立方米；地表水绝大部分汇集于罗定江及其支流，其中11条二三级支流流域面积在100平方公里以上，溪涧较多，落差大，水能可开发量6.27万千瓦。罗定江发源于信宜的鸡笼山，流经罗定境内的11个镇街，由郁南县的南江口注入西江。罗定江全长201公里，流域总面积4493平方公里。其中罗定境内长81公里，流域面积2220.50平方公里，占全市总面积的96.50%。罗定江流域风光如画，孕育着底蕴深厚的文化，被清代广东才子宋湘称为“人文古邹鲁，山水小蓬瀛”。</w:t>
      </w:r>
    </w:p>
    <w:p>
      <w:pPr>
        <w:pStyle w:val="32"/>
        <w:numPr>
          <w:ilvl w:val="2"/>
          <w:numId w:val="5"/>
        </w:numPr>
        <w:tabs>
          <w:tab w:val="left" w:pos="1623"/>
        </w:tabs>
        <w:spacing w:line="500" w:lineRule="exact"/>
        <w:ind w:left="0" w:firstLine="472"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2"/>
          <w:sz w:val="24"/>
          <w:szCs w:val="24"/>
        </w:rPr>
        <w:t>自然资源</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罗定矿产资源初步探明矿种46种，可供开发利用的矿种有16种，其中金属矿有锰矿、铁矿、锡矿、金矿、金红石等5种，非金属矿有石英砂、陶土、瓷土、石灰石、大理石、花岗岩等11种。有储量大、开发前景好的锰矿、石灰石、石英砂，其中锰矿主要分布在新榕、连州，已初步查明储量超过1000万吨，锰矿含量20%～30%，含铁量30%，属低磷锰矿；石英矿主要分布在分界、太平、罗镜等镇，已查明储量 1 亿立方米，二氧化硅含量达97%以上，自然白度达80%以上，是烧制玻璃、马赛克的主要原材料；石灰石矿主要分布在苹塘、金鸡、朗塘等镇，以裸露矿为主， 储量超过30亿吨，主要用于生产水泥、石灰、复粉等建筑材料。金鸡镇的红菱大理石“帝女红”，石质幼嫩坚韧，平面度好，光可鉴人，且水裂纹少，不会回潮，耐光耐冷耐热，是高级装饰材料。</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罗定物产丰富，全市农作物有水稻、小麦、番薯、大豆、黄豆、绿豆、黑豆、花生、黄烟、麻类（黄麻、红麻、苎麻）、木薯、蚕桑、甘蔗、茶叶及各种瓜菜。林副产品有松、杉、樟、肉 桂、竹、香胶木、八角、药材及各种果树。畜牧水产有猪、牛、羊、鸡、鸭、鹅、鸽、马以及鳙鱼、鲢鱼、鲩鱼、生鱼、塘虱、泥鳅、黄鳝、鲫鱼、福寿鱼等。罗定地形复杂，山地广阔，河溪纵横，农林产品种类繁多，有很多土特产。罗定肉桂种植历史悠久，经济价值极高，皮、枝、果、叶均可入药。其主产品桂皮肉厚、辛辣、香浓、色泽金黄，桂油纯度高，是制作食品、调味品、 香料、化妆品和药品的重要原料，产品大部分出口，在国内外市场久负盛名，晚清期间已享誉海内外，民国时期与“广宁竹”、“怀集木”一起成为广东有名的三大山林特产。2002年，罗定被中国特产之乡推荐组委会评为“中国肉桂之乡”。俗称“香粉”的上石粉，绝大部分提供出口，主要用于制作神香、卫生香，也广泛用于制作模具和人像等工艺品。用传统方法饲养的罗定三黄鸡，因嘴黄、脚黄、毛黄而得名，是家禽中的珍品，其肉体形 似沙田柚，呈黄白色，皮甘脆、肉嫩滑、骨细小、味鲜美，是省内外和港澳市场宴席上必不可少的一道肉菜。以传统工艺蒸煮、发酵、冲洗、晾晒、和味而成的罗定豆豉，已有100多年的历史，以质地松软、香味浓郁、适口开胃和营养丰富而被广泛用作菜肴配料，或作宴席小菜。国内外不少宾馆、酒楼都用罗定豆豉制作豆豉鸡、豉汁鸡、豉汁猪排等著名菜肴，深受顾客青睐。罗定鱼腐又名绉纱鱼腐，用鱼肉制成，外形呈椭圆形，嫩黄色，质地松软而带韧性，入口甘香爽滑，是罗定的宴席名菜。外地人到罗定，都以能吃到罗定鱼腐为荣。罗定茶叶以清香滑喉、色泽明净而闻名，有郎塘天子茶、连州白叶单丛茶和高香形系列茶叶等20多个品种，先后获得国家、部、省级奖项27个。用罗竹篾编织而成的罗定蒸笼，安全卫生，成本低，蒸出的食品具有竹的自然香味，产品畅销国内外市场，曾于2000年在北京农博会展出，深受客商欢迎。</w:t>
      </w:r>
    </w:p>
    <w:p>
      <w:pPr>
        <w:spacing w:line="500" w:lineRule="exact"/>
        <w:ind w:firstLine="480" w:firstLineChars="200"/>
        <w:jc w:val="both"/>
        <w:rPr>
          <w:rFonts w:asciiTheme="minorEastAsia" w:hAnsiTheme="minorEastAsia" w:eastAsiaTheme="minorEastAsia" w:cstheme="minorEastAsia"/>
          <w:color w:val="auto"/>
          <w:sz w:val="24"/>
          <w:szCs w:val="24"/>
        </w:rPr>
        <w:sectPr>
          <w:footerReference r:id="rId8" w:type="default"/>
          <w:type w:val="nextColumn"/>
          <w:pgSz w:w="11910" w:h="16840"/>
          <w:pgMar w:top="1418" w:right="1418" w:bottom="1418" w:left="1701" w:header="0" w:footer="426" w:gutter="0"/>
          <w:cols w:space="720" w:num="1"/>
        </w:sectPr>
      </w:pPr>
    </w:p>
    <w:p>
      <w:pPr>
        <w:pStyle w:val="2"/>
        <w:ind w:left="0"/>
        <w:jc w:val="center"/>
        <w:rPr>
          <w:color w:val="auto"/>
        </w:rPr>
      </w:pPr>
      <w:bookmarkStart w:id="27" w:name="_Toc6122"/>
      <w:bookmarkStart w:id="28" w:name="_Toc7689"/>
      <w:r>
        <w:rPr>
          <w:rFonts w:hint="eastAsia"/>
          <w:color w:val="auto"/>
        </w:rPr>
        <w:t>三、给排水现状及相关规划</w:t>
      </w:r>
      <w:bookmarkEnd w:id="27"/>
      <w:bookmarkEnd w:id="28"/>
    </w:p>
    <w:p>
      <w:pPr>
        <w:pStyle w:val="3"/>
        <w:numPr>
          <w:ilvl w:val="1"/>
          <w:numId w:val="6"/>
        </w:numPr>
        <w:tabs>
          <w:tab w:val="left" w:pos="1248"/>
        </w:tabs>
        <w:adjustRightInd/>
        <w:snapToGrid/>
        <w:spacing w:line="500" w:lineRule="exact"/>
        <w:jc w:val="both"/>
        <w:rPr>
          <w:rFonts w:asciiTheme="minorEastAsia" w:hAnsiTheme="minorEastAsia" w:eastAsiaTheme="minorEastAsia" w:cstheme="minorEastAsia"/>
          <w:color w:val="auto"/>
          <w:sz w:val="24"/>
          <w:szCs w:val="24"/>
        </w:rPr>
      </w:pPr>
      <w:bookmarkStart w:id="29" w:name="3.1城乡给水现状"/>
      <w:bookmarkEnd w:id="29"/>
      <w:bookmarkStart w:id="30" w:name="_Toc25543"/>
      <w:bookmarkStart w:id="31" w:name="_Toc7685"/>
      <w:r>
        <w:rPr>
          <w:rFonts w:hint="eastAsia" w:asciiTheme="minorEastAsia" w:hAnsiTheme="minorEastAsia" w:eastAsiaTheme="minorEastAsia" w:cstheme="minorEastAsia"/>
          <w:color w:val="auto"/>
          <w:sz w:val="24"/>
          <w:szCs w:val="24"/>
        </w:rPr>
        <w:t>城乡给水现状</w:t>
      </w:r>
      <w:bookmarkEnd w:id="30"/>
      <w:bookmarkEnd w:id="31"/>
    </w:p>
    <w:p>
      <w:pPr>
        <w:pStyle w:val="32"/>
        <w:numPr>
          <w:ilvl w:val="2"/>
          <w:numId w:val="6"/>
        </w:numPr>
        <w:tabs>
          <w:tab w:val="left" w:pos="1496"/>
        </w:tabs>
        <w:spacing w:line="500" w:lineRule="exact"/>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供水量及用水量</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根据《农村生活污水处理工程技术标准》（GBT51347- 2019），农村生活污水排放量应根据实地调查数据确定。当缺乏实地调查数据时，污水排放量应根据当地人口规模、用水现状、生活习惯、经济条件、地区规划等确定或根据其他类似地区排水量确定。GBT51347-2019提供了农村居民日用水量参考值和排放系数，见表 3.1-1。</w:t>
      </w:r>
    </w:p>
    <w:p>
      <w:pPr>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表 3.</w:t>
      </w:r>
      <w:r>
        <w:rPr>
          <w:rFonts w:hint="eastAsia" w:asciiTheme="minorEastAsia" w:hAnsiTheme="minorEastAsia" w:eastAsiaTheme="minorEastAsia" w:cstheme="minorEastAsia"/>
          <w:b/>
          <w:color w:val="auto"/>
          <w:sz w:val="21"/>
          <w:szCs w:val="21"/>
          <w:lang w:val="en-US"/>
        </w:rPr>
        <w:t>1</w:t>
      </w:r>
      <w:r>
        <w:rPr>
          <w:rFonts w:hint="eastAsia" w:asciiTheme="minorEastAsia" w:hAnsiTheme="minorEastAsia" w:eastAsiaTheme="minorEastAsia" w:cstheme="minorEastAsia"/>
          <w:b/>
          <w:color w:val="auto"/>
          <w:sz w:val="21"/>
          <w:szCs w:val="21"/>
        </w:rPr>
        <w:t>-1 农村居民日用水量参考值和排放系数</w:t>
      </w:r>
    </w:p>
    <w:tbl>
      <w:tblPr>
        <w:tblStyle w:val="27"/>
        <w:tblW w:w="830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26"/>
        <w:gridCol w:w="3407"/>
        <w:gridCol w:w="376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126" w:type="dxa"/>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序号</w:t>
            </w:r>
          </w:p>
        </w:tc>
        <w:tc>
          <w:tcPr>
            <w:tcW w:w="3407" w:type="dxa"/>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村庄类型</w:t>
            </w:r>
          </w:p>
        </w:tc>
        <w:tc>
          <w:tcPr>
            <w:tcW w:w="3767" w:type="dxa"/>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用水量 L/（人·天）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trPr>
        <w:tc>
          <w:tcPr>
            <w:tcW w:w="1126" w:type="dxa"/>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w:t>
            </w:r>
          </w:p>
        </w:tc>
        <w:tc>
          <w:tcPr>
            <w:tcW w:w="3407" w:type="dxa"/>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有水冲厕所，有淋浴设施</w:t>
            </w:r>
          </w:p>
        </w:tc>
        <w:tc>
          <w:tcPr>
            <w:tcW w:w="3767" w:type="dxa"/>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100～180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126" w:type="dxa"/>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w:t>
            </w:r>
          </w:p>
        </w:tc>
        <w:tc>
          <w:tcPr>
            <w:tcW w:w="3407" w:type="dxa"/>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有水冲厕所，无淋浴设施</w:t>
            </w:r>
          </w:p>
        </w:tc>
        <w:tc>
          <w:tcPr>
            <w:tcW w:w="3767" w:type="dxa"/>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60～120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5" w:hRule="atLeast"/>
        </w:trPr>
        <w:tc>
          <w:tcPr>
            <w:tcW w:w="1126" w:type="dxa"/>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3.</w:t>
            </w:r>
          </w:p>
        </w:tc>
        <w:tc>
          <w:tcPr>
            <w:tcW w:w="3407" w:type="dxa"/>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无水冲厕所，有淋浴设施</w:t>
            </w:r>
          </w:p>
        </w:tc>
        <w:tc>
          <w:tcPr>
            <w:tcW w:w="3767" w:type="dxa"/>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50～80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8" w:hRule="atLeast"/>
        </w:trPr>
        <w:tc>
          <w:tcPr>
            <w:tcW w:w="1126" w:type="dxa"/>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4.</w:t>
            </w:r>
          </w:p>
        </w:tc>
        <w:tc>
          <w:tcPr>
            <w:tcW w:w="3407" w:type="dxa"/>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无水冲厕所，无淋浴设施</w:t>
            </w:r>
          </w:p>
        </w:tc>
        <w:tc>
          <w:tcPr>
            <w:tcW w:w="3767" w:type="dxa"/>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40～60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126" w:type="dxa"/>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5.</w:t>
            </w:r>
          </w:p>
        </w:tc>
        <w:tc>
          <w:tcPr>
            <w:tcW w:w="7174" w:type="dxa"/>
            <w:gridSpan w:val="2"/>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排水系数取用水量的 40%～80%</w:t>
            </w:r>
          </w:p>
        </w:tc>
      </w:tr>
    </w:tbl>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考虑到罗定市下辖的村庄农户卫生设施配置较齐全，用水量按150（L/人·天），综合排水系数取用水量的70%计算则罗定市农村居民排水量初步测算为105L（/人·天）。根据全域农村人居环境整治数据上报系统提供的各街镇常住人口数， 估算罗定市农村居民排水量73549</w:t>
      </w:r>
      <w:r>
        <w:rPr>
          <w:rFonts w:hint="eastAsia" w:asciiTheme="minorEastAsia" w:hAnsiTheme="minorEastAsia" w:eastAsiaTheme="minorEastAsia" w:cstheme="minorEastAsia"/>
          <w:color w:val="auto"/>
          <w:sz w:val="24"/>
          <w:szCs w:val="24"/>
          <w:lang w:val="en-US"/>
        </w:rPr>
        <w:t>m³</w:t>
      </w:r>
      <w:r>
        <w:rPr>
          <w:rFonts w:hint="eastAsia" w:asciiTheme="minorEastAsia" w:hAnsiTheme="minorEastAsia" w:eastAsiaTheme="minorEastAsia" w:cstheme="minorEastAsia"/>
          <w:color w:val="auto"/>
          <w:sz w:val="24"/>
          <w:szCs w:val="24"/>
        </w:rPr>
        <w:t>/天，各街镇排水量统计如表3</w:t>
      </w:r>
      <w:r>
        <w:rPr>
          <w:rFonts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z w:val="24"/>
          <w:szCs w:val="24"/>
        </w:rPr>
        <w:t>1-2。</w:t>
      </w:r>
    </w:p>
    <w:p>
      <w:pPr>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表 3.</w:t>
      </w:r>
      <w:r>
        <w:rPr>
          <w:rFonts w:hint="eastAsia" w:asciiTheme="minorEastAsia" w:hAnsiTheme="minorEastAsia" w:eastAsiaTheme="minorEastAsia" w:cstheme="minorEastAsia"/>
          <w:b/>
          <w:color w:val="auto"/>
          <w:sz w:val="21"/>
          <w:szCs w:val="21"/>
          <w:lang w:val="en-US"/>
        </w:rPr>
        <w:t>1</w:t>
      </w:r>
      <w:r>
        <w:rPr>
          <w:rFonts w:hint="eastAsia" w:asciiTheme="minorEastAsia" w:hAnsiTheme="minorEastAsia" w:eastAsiaTheme="minorEastAsia" w:cstheme="minorEastAsia"/>
          <w:b/>
          <w:color w:val="auto"/>
          <w:sz w:val="21"/>
          <w:szCs w:val="21"/>
        </w:rPr>
        <w:t>-2 罗定市各农村居民日排水量估算一览表</w:t>
      </w:r>
    </w:p>
    <w:tbl>
      <w:tblPr>
        <w:tblStyle w:val="27"/>
        <w:tblW w:w="5000" w:type="pct"/>
        <w:jc w:val="center"/>
        <w:tblLayout w:type="autofit"/>
        <w:tblCellMar>
          <w:top w:w="0" w:type="dxa"/>
          <w:left w:w="108" w:type="dxa"/>
          <w:bottom w:w="0" w:type="dxa"/>
          <w:right w:w="108" w:type="dxa"/>
        </w:tblCellMar>
      </w:tblPr>
      <w:tblGrid>
        <w:gridCol w:w="1801"/>
        <w:gridCol w:w="1801"/>
        <w:gridCol w:w="1801"/>
        <w:gridCol w:w="1802"/>
        <w:gridCol w:w="1802"/>
      </w:tblGrid>
      <w:tr>
        <w:tblPrEx>
          <w:tblCellMar>
            <w:top w:w="0" w:type="dxa"/>
            <w:left w:w="108" w:type="dxa"/>
            <w:bottom w:w="0" w:type="dxa"/>
            <w:right w:w="108" w:type="dxa"/>
          </w:tblCellMar>
        </w:tblPrEx>
        <w:trPr>
          <w:trHeight w:val="540" w:hRule="atLeast"/>
          <w:tblHeader/>
          <w:jc w:val="center"/>
        </w:trPr>
        <w:tc>
          <w:tcPr>
            <w:tcW w:w="1000"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序号</w:t>
            </w:r>
          </w:p>
        </w:tc>
        <w:tc>
          <w:tcPr>
            <w:tcW w:w="1000" w:type="pct"/>
            <w:tcBorders>
              <w:top w:val="single" w:color="000000" w:sz="8" w:space="0"/>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镇街名称</w:t>
            </w:r>
          </w:p>
        </w:tc>
        <w:tc>
          <w:tcPr>
            <w:tcW w:w="1000" w:type="pct"/>
            <w:tcBorders>
              <w:top w:val="single" w:color="000000" w:sz="8" w:space="0"/>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自然村数量</w:t>
            </w:r>
          </w:p>
        </w:tc>
        <w:tc>
          <w:tcPr>
            <w:tcW w:w="1000" w:type="pct"/>
            <w:tcBorders>
              <w:top w:val="single" w:color="000000" w:sz="8" w:space="0"/>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常住人口数</w:t>
            </w:r>
          </w:p>
        </w:tc>
        <w:tc>
          <w:tcPr>
            <w:tcW w:w="1000" w:type="pct"/>
            <w:tcBorders>
              <w:top w:val="single" w:color="000000" w:sz="8" w:space="0"/>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排水量 m³/天</w:t>
            </w:r>
          </w:p>
        </w:tc>
      </w:tr>
      <w:tr>
        <w:tblPrEx>
          <w:tblCellMar>
            <w:top w:w="0" w:type="dxa"/>
            <w:left w:w="108" w:type="dxa"/>
            <w:bottom w:w="0" w:type="dxa"/>
            <w:right w:w="108" w:type="dxa"/>
          </w:tblCellMar>
        </w:tblPrEx>
        <w:trPr>
          <w:trHeight w:val="285" w:hRule="atLeast"/>
          <w:jc w:val="center"/>
        </w:trPr>
        <w:tc>
          <w:tcPr>
            <w:tcW w:w="100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船步镇</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216</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49990</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5249</w:t>
            </w:r>
          </w:p>
        </w:tc>
      </w:tr>
      <w:tr>
        <w:tblPrEx>
          <w:tblCellMar>
            <w:top w:w="0" w:type="dxa"/>
            <w:left w:w="108" w:type="dxa"/>
            <w:bottom w:w="0" w:type="dxa"/>
            <w:right w:w="108" w:type="dxa"/>
          </w:tblCellMar>
        </w:tblPrEx>
        <w:trPr>
          <w:trHeight w:val="285" w:hRule="atLeast"/>
          <w:jc w:val="center"/>
        </w:trPr>
        <w:tc>
          <w:tcPr>
            <w:tcW w:w="100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2</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分界镇</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181</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16118</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1692</w:t>
            </w:r>
          </w:p>
        </w:tc>
      </w:tr>
      <w:tr>
        <w:tblPrEx>
          <w:tblCellMar>
            <w:top w:w="0" w:type="dxa"/>
            <w:left w:w="108" w:type="dxa"/>
            <w:bottom w:w="0" w:type="dxa"/>
            <w:right w:w="108" w:type="dxa"/>
          </w:tblCellMar>
        </w:tblPrEx>
        <w:trPr>
          <w:trHeight w:val="285" w:hRule="atLeast"/>
          <w:jc w:val="center"/>
        </w:trPr>
        <w:tc>
          <w:tcPr>
            <w:tcW w:w="100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3</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附城街道</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271</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35940</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3774</w:t>
            </w:r>
          </w:p>
        </w:tc>
      </w:tr>
      <w:tr>
        <w:tblPrEx>
          <w:tblCellMar>
            <w:top w:w="0" w:type="dxa"/>
            <w:left w:w="108" w:type="dxa"/>
            <w:bottom w:w="0" w:type="dxa"/>
            <w:right w:w="108" w:type="dxa"/>
          </w:tblCellMar>
        </w:tblPrEx>
        <w:trPr>
          <w:trHeight w:val="285" w:hRule="atLeast"/>
          <w:jc w:val="center"/>
        </w:trPr>
        <w:tc>
          <w:tcPr>
            <w:tcW w:w="100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4</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华石镇</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112</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16041</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1684</w:t>
            </w:r>
          </w:p>
        </w:tc>
      </w:tr>
      <w:tr>
        <w:tblPrEx>
          <w:tblCellMar>
            <w:top w:w="0" w:type="dxa"/>
            <w:left w:w="108" w:type="dxa"/>
            <w:bottom w:w="0" w:type="dxa"/>
            <w:right w:w="108" w:type="dxa"/>
          </w:tblCellMar>
        </w:tblPrEx>
        <w:trPr>
          <w:trHeight w:val="285" w:hRule="atLeast"/>
          <w:jc w:val="center"/>
        </w:trPr>
        <w:tc>
          <w:tcPr>
            <w:tcW w:w="100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5</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加益镇</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145</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13079</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1373</w:t>
            </w:r>
          </w:p>
        </w:tc>
      </w:tr>
      <w:tr>
        <w:tblPrEx>
          <w:tblCellMar>
            <w:top w:w="0" w:type="dxa"/>
            <w:left w:w="108" w:type="dxa"/>
            <w:bottom w:w="0" w:type="dxa"/>
            <w:right w:w="108" w:type="dxa"/>
          </w:tblCellMar>
        </w:tblPrEx>
        <w:trPr>
          <w:trHeight w:val="285" w:hRule="atLeast"/>
          <w:jc w:val="center"/>
        </w:trPr>
        <w:tc>
          <w:tcPr>
            <w:tcW w:w="100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6</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金鸡镇</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109</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21398</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2247</w:t>
            </w:r>
          </w:p>
        </w:tc>
      </w:tr>
      <w:tr>
        <w:tblPrEx>
          <w:tblCellMar>
            <w:top w:w="0" w:type="dxa"/>
            <w:left w:w="108" w:type="dxa"/>
            <w:bottom w:w="0" w:type="dxa"/>
            <w:right w:w="108" w:type="dxa"/>
          </w:tblCellMar>
        </w:tblPrEx>
        <w:trPr>
          <w:trHeight w:val="285" w:hRule="atLeast"/>
          <w:jc w:val="center"/>
        </w:trPr>
        <w:tc>
          <w:tcPr>
            <w:tcW w:w="100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7</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黎少镇</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220</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30971</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3252</w:t>
            </w:r>
          </w:p>
        </w:tc>
      </w:tr>
      <w:tr>
        <w:tblPrEx>
          <w:tblCellMar>
            <w:top w:w="0" w:type="dxa"/>
            <w:left w:w="108" w:type="dxa"/>
            <w:bottom w:w="0" w:type="dxa"/>
            <w:right w:w="108" w:type="dxa"/>
          </w:tblCellMar>
        </w:tblPrEx>
        <w:trPr>
          <w:trHeight w:val="285" w:hRule="atLeast"/>
          <w:jc w:val="center"/>
        </w:trPr>
        <w:tc>
          <w:tcPr>
            <w:tcW w:w="100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8</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连州镇</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240</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36887</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3873</w:t>
            </w:r>
          </w:p>
        </w:tc>
      </w:tr>
      <w:tr>
        <w:tblPrEx>
          <w:tblCellMar>
            <w:top w:w="0" w:type="dxa"/>
            <w:left w:w="108" w:type="dxa"/>
            <w:bottom w:w="0" w:type="dxa"/>
            <w:right w:w="108" w:type="dxa"/>
          </w:tblCellMar>
        </w:tblPrEx>
        <w:trPr>
          <w:trHeight w:val="285" w:hRule="atLeast"/>
          <w:jc w:val="center"/>
        </w:trPr>
        <w:tc>
          <w:tcPr>
            <w:tcW w:w="100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9</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龙湾镇</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192</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19878</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2087</w:t>
            </w:r>
          </w:p>
        </w:tc>
      </w:tr>
      <w:tr>
        <w:tblPrEx>
          <w:tblCellMar>
            <w:top w:w="0" w:type="dxa"/>
            <w:left w:w="108" w:type="dxa"/>
            <w:bottom w:w="0" w:type="dxa"/>
            <w:right w:w="108" w:type="dxa"/>
          </w:tblCellMar>
        </w:tblPrEx>
        <w:trPr>
          <w:trHeight w:val="285" w:hRule="atLeast"/>
          <w:jc w:val="center"/>
        </w:trPr>
        <w:tc>
          <w:tcPr>
            <w:tcW w:w="100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10</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罗镜镇</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357</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60248</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6326</w:t>
            </w:r>
          </w:p>
        </w:tc>
      </w:tr>
      <w:tr>
        <w:tblPrEx>
          <w:tblCellMar>
            <w:top w:w="0" w:type="dxa"/>
            <w:left w:w="108" w:type="dxa"/>
            <w:bottom w:w="0" w:type="dxa"/>
            <w:right w:w="108" w:type="dxa"/>
          </w:tblCellMar>
        </w:tblPrEx>
        <w:trPr>
          <w:trHeight w:val="285" w:hRule="atLeast"/>
          <w:jc w:val="center"/>
        </w:trPr>
        <w:tc>
          <w:tcPr>
            <w:tcW w:w="100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11</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罗平镇</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157</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61292</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6436</w:t>
            </w:r>
          </w:p>
        </w:tc>
      </w:tr>
      <w:tr>
        <w:tblPrEx>
          <w:tblCellMar>
            <w:top w:w="0" w:type="dxa"/>
            <w:left w:w="108" w:type="dxa"/>
            <w:bottom w:w="0" w:type="dxa"/>
            <w:right w:w="108" w:type="dxa"/>
          </w:tblCellMar>
        </w:tblPrEx>
        <w:trPr>
          <w:trHeight w:val="285" w:hRule="atLeast"/>
          <w:jc w:val="center"/>
        </w:trPr>
        <w:tc>
          <w:tcPr>
            <w:tcW w:w="100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12</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满塘镇</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126</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31917</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3351</w:t>
            </w:r>
          </w:p>
        </w:tc>
      </w:tr>
      <w:tr>
        <w:tblPrEx>
          <w:tblCellMar>
            <w:top w:w="0" w:type="dxa"/>
            <w:left w:w="108" w:type="dxa"/>
            <w:bottom w:w="0" w:type="dxa"/>
            <w:right w:w="108" w:type="dxa"/>
          </w:tblCellMar>
        </w:tblPrEx>
        <w:trPr>
          <w:trHeight w:val="285" w:hRule="atLeast"/>
          <w:jc w:val="center"/>
        </w:trPr>
        <w:tc>
          <w:tcPr>
            <w:tcW w:w="100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13</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苹塘镇</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114</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23866</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2506</w:t>
            </w:r>
          </w:p>
        </w:tc>
      </w:tr>
      <w:tr>
        <w:tblPrEx>
          <w:tblCellMar>
            <w:top w:w="0" w:type="dxa"/>
            <w:left w:w="108" w:type="dxa"/>
            <w:bottom w:w="0" w:type="dxa"/>
            <w:right w:w="108" w:type="dxa"/>
          </w:tblCellMar>
        </w:tblPrEx>
        <w:trPr>
          <w:trHeight w:val="285" w:hRule="atLeast"/>
          <w:jc w:val="center"/>
        </w:trPr>
        <w:tc>
          <w:tcPr>
            <w:tcW w:w="100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14</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生江镇</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185</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29390</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3086</w:t>
            </w:r>
          </w:p>
        </w:tc>
      </w:tr>
      <w:tr>
        <w:tblPrEx>
          <w:tblCellMar>
            <w:top w:w="0" w:type="dxa"/>
            <w:left w:w="108" w:type="dxa"/>
            <w:bottom w:w="0" w:type="dxa"/>
            <w:right w:w="108" w:type="dxa"/>
          </w:tblCellMar>
        </w:tblPrEx>
        <w:trPr>
          <w:trHeight w:val="285" w:hRule="atLeast"/>
          <w:jc w:val="center"/>
        </w:trPr>
        <w:tc>
          <w:tcPr>
            <w:tcW w:w="100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15</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双东街道</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67</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19754</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2074</w:t>
            </w:r>
          </w:p>
        </w:tc>
      </w:tr>
      <w:tr>
        <w:tblPrEx>
          <w:tblCellMar>
            <w:top w:w="0" w:type="dxa"/>
            <w:left w:w="108" w:type="dxa"/>
            <w:bottom w:w="0" w:type="dxa"/>
            <w:right w:w="108" w:type="dxa"/>
          </w:tblCellMar>
        </w:tblPrEx>
        <w:trPr>
          <w:trHeight w:val="285" w:hRule="atLeast"/>
          <w:jc w:val="center"/>
        </w:trPr>
        <w:tc>
          <w:tcPr>
            <w:tcW w:w="100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16</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泗纶镇</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349</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37075</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3893</w:t>
            </w:r>
          </w:p>
        </w:tc>
      </w:tr>
      <w:tr>
        <w:tblPrEx>
          <w:tblCellMar>
            <w:top w:w="0" w:type="dxa"/>
            <w:left w:w="108" w:type="dxa"/>
            <w:bottom w:w="0" w:type="dxa"/>
            <w:right w:w="108" w:type="dxa"/>
          </w:tblCellMar>
        </w:tblPrEx>
        <w:trPr>
          <w:trHeight w:val="285" w:hRule="atLeast"/>
          <w:jc w:val="center"/>
        </w:trPr>
        <w:tc>
          <w:tcPr>
            <w:tcW w:w="100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17</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素龙街道</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231</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92496</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9712</w:t>
            </w:r>
          </w:p>
        </w:tc>
      </w:tr>
      <w:tr>
        <w:tblPrEx>
          <w:tblCellMar>
            <w:top w:w="0" w:type="dxa"/>
            <w:left w:w="108" w:type="dxa"/>
            <w:bottom w:w="0" w:type="dxa"/>
            <w:right w:w="108" w:type="dxa"/>
          </w:tblCellMar>
        </w:tblPrEx>
        <w:trPr>
          <w:trHeight w:val="315" w:hRule="atLeast"/>
          <w:jc w:val="center"/>
        </w:trPr>
        <w:tc>
          <w:tcPr>
            <w:tcW w:w="100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18</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太平镇</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153</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45149</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4741</w:t>
            </w:r>
          </w:p>
        </w:tc>
      </w:tr>
      <w:tr>
        <w:tblPrEx>
          <w:tblCellMar>
            <w:top w:w="0" w:type="dxa"/>
            <w:left w:w="108" w:type="dxa"/>
            <w:bottom w:w="0" w:type="dxa"/>
            <w:right w:w="108" w:type="dxa"/>
          </w:tblCellMar>
        </w:tblPrEx>
        <w:trPr>
          <w:trHeight w:val="285" w:hRule="atLeast"/>
          <w:jc w:val="center"/>
        </w:trPr>
        <w:tc>
          <w:tcPr>
            <w:tcW w:w="100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19</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榃滨镇</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246</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23089</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2424</w:t>
            </w:r>
          </w:p>
        </w:tc>
      </w:tr>
      <w:tr>
        <w:tblPrEx>
          <w:tblCellMar>
            <w:top w:w="0" w:type="dxa"/>
            <w:left w:w="108" w:type="dxa"/>
            <w:bottom w:w="0" w:type="dxa"/>
            <w:right w:w="108" w:type="dxa"/>
          </w:tblCellMar>
        </w:tblPrEx>
        <w:trPr>
          <w:trHeight w:val="285" w:hRule="atLeast"/>
          <w:jc w:val="center"/>
        </w:trPr>
        <w:tc>
          <w:tcPr>
            <w:tcW w:w="100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20</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围底镇</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77</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35884</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3768</w:t>
            </w:r>
          </w:p>
        </w:tc>
      </w:tr>
      <w:tr>
        <w:tblPrEx>
          <w:tblCellMar>
            <w:top w:w="0" w:type="dxa"/>
            <w:left w:w="108" w:type="dxa"/>
            <w:bottom w:w="0" w:type="dxa"/>
            <w:right w:w="108" w:type="dxa"/>
          </w:tblCellMar>
        </w:tblPrEx>
        <w:trPr>
          <w:trHeight w:val="285" w:hRule="atLeast"/>
          <w:jc w:val="center"/>
        </w:trPr>
        <w:tc>
          <w:tcPr>
            <w:tcW w:w="2000" w:type="pct"/>
            <w:gridSpan w:val="2"/>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合计</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3748</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700462</w:t>
            </w:r>
          </w:p>
        </w:tc>
        <w:tc>
          <w:tcPr>
            <w:tcW w:w="100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73549</w:t>
            </w:r>
          </w:p>
        </w:tc>
      </w:tr>
    </w:tbl>
    <w:p>
      <w:pPr>
        <w:rPr>
          <w:color w:val="auto"/>
        </w:rPr>
      </w:pP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由于近年来，广东省常住人口自然增长率逐年下跌</w:t>
      </w:r>
      <w:r>
        <w:rPr>
          <w:rFonts w:hint="eastAsia" w:asciiTheme="minorEastAsia" w:hAnsiTheme="minorEastAsia" w:eastAsiaTheme="minorEastAsia" w:cstheme="minorEastAsia"/>
          <w:color w:val="auto"/>
          <w:sz w:val="24"/>
          <w:szCs w:val="24"/>
          <w:lang w:val="en-US"/>
        </w:rPr>
        <w:t>,</w:t>
      </w:r>
      <w:r>
        <w:rPr>
          <w:rFonts w:hint="eastAsia" w:asciiTheme="minorEastAsia" w:hAnsiTheme="minorEastAsia" w:eastAsiaTheme="minorEastAsia" w:cstheme="minorEastAsia"/>
          <w:color w:val="auto"/>
          <w:sz w:val="24"/>
          <w:szCs w:val="24"/>
        </w:rPr>
        <w:t>2021年跌至4.5‰，云浮市近3年常住人口数更是基本持平，根据《2021年云浮市国民经济和社会发展统计公报》，2021年末常住人口239.33万人，自然增长率4.03‰。考虑到罗定市当前的城镇化发展阶段和人口流入流出因素，拟按4‰的净增长率预测2025年农村居民常住人口数，即70.89万人；根据广东省水资源公报，近年来人均综合用水</w:t>
      </w:r>
      <w:r>
        <w:rPr>
          <w:rFonts w:hint="eastAsia" w:asciiTheme="minorEastAsia" w:hAnsiTheme="minorEastAsia" w:eastAsiaTheme="minorEastAsia" w:cstheme="minorEastAsia"/>
          <w:color w:val="auto"/>
          <w:spacing w:val="-3"/>
          <w:sz w:val="24"/>
          <w:szCs w:val="24"/>
        </w:rPr>
        <w:t>量有下降趋势，但考虑到罗定市农村居民设施卫生淋浴设施 可能进一步完备，排水更集中，因此排水量测算与当前持平</w:t>
      </w:r>
      <w:r>
        <w:rPr>
          <w:rFonts w:hint="eastAsia" w:asciiTheme="minorEastAsia" w:hAnsiTheme="minorEastAsia" w:eastAsiaTheme="minorEastAsia" w:cstheme="minorEastAsia"/>
          <w:color w:val="auto"/>
          <w:spacing w:val="-3"/>
          <w:sz w:val="24"/>
          <w:szCs w:val="24"/>
          <w:lang w:val="en-US"/>
        </w:rPr>
        <w:t>,</w:t>
      </w:r>
      <w:r>
        <w:rPr>
          <w:rFonts w:hint="eastAsia" w:asciiTheme="minorEastAsia" w:hAnsiTheme="minorEastAsia" w:eastAsiaTheme="minorEastAsia" w:cstheme="minorEastAsia"/>
          <w:color w:val="auto"/>
          <w:sz w:val="24"/>
          <w:szCs w:val="24"/>
        </w:rPr>
        <w:t>调整为100L（/人</w:t>
      </w:r>
      <w:r>
        <w:rPr>
          <w:rFonts w:hint="eastAsia" w:asciiTheme="minorEastAsia" w:hAnsiTheme="minorEastAsia" w:eastAsiaTheme="minorEastAsia" w:cstheme="minorEastAsia"/>
          <w:color w:val="auto"/>
          <w:spacing w:val="-3"/>
          <w:sz w:val="24"/>
          <w:szCs w:val="24"/>
        </w:rPr>
        <w:t>·</w:t>
      </w:r>
      <w:r>
        <w:rPr>
          <w:rFonts w:hint="eastAsia" w:asciiTheme="minorEastAsia" w:hAnsiTheme="minorEastAsia" w:eastAsiaTheme="minorEastAsia" w:cstheme="minorEastAsia"/>
          <w:color w:val="auto"/>
          <w:sz w:val="24"/>
          <w:szCs w:val="24"/>
        </w:rPr>
        <w:t>天</w:t>
      </w:r>
      <w:r>
        <w:rPr>
          <w:rFonts w:hint="eastAsia" w:asciiTheme="minorEastAsia" w:hAnsiTheme="minorEastAsia" w:eastAsiaTheme="minorEastAsia" w:cstheme="minorEastAsia"/>
          <w:color w:val="auto"/>
          <w:spacing w:val="-3"/>
          <w:sz w:val="24"/>
          <w:szCs w:val="24"/>
        </w:rPr>
        <w:t>）</w:t>
      </w:r>
      <w:r>
        <w:rPr>
          <w:rFonts w:hint="eastAsia" w:asciiTheme="minorEastAsia" w:hAnsiTheme="minorEastAsia" w:eastAsiaTheme="minorEastAsia" w:cstheme="minorEastAsia"/>
          <w:color w:val="auto"/>
          <w:spacing w:val="-1"/>
          <w:sz w:val="24"/>
          <w:szCs w:val="24"/>
        </w:rPr>
        <w:t>据此预测</w:t>
      </w:r>
      <w:r>
        <w:rPr>
          <w:rFonts w:hint="eastAsia" w:asciiTheme="minorEastAsia" w:hAnsiTheme="minorEastAsia" w:eastAsiaTheme="minorEastAsia" w:cstheme="minorEastAsia"/>
          <w:color w:val="auto"/>
          <w:sz w:val="24"/>
          <w:szCs w:val="24"/>
        </w:rPr>
        <w:t>2025</w:t>
      </w:r>
      <w:r>
        <w:rPr>
          <w:rFonts w:hint="eastAsia" w:asciiTheme="minorEastAsia" w:hAnsiTheme="minorEastAsia" w:eastAsiaTheme="minorEastAsia" w:cstheme="minorEastAsia"/>
          <w:color w:val="auto"/>
          <w:spacing w:val="-1"/>
          <w:sz w:val="24"/>
          <w:szCs w:val="24"/>
        </w:rPr>
        <w:t>年，罗定市农村居</w:t>
      </w:r>
      <w:r>
        <w:rPr>
          <w:rFonts w:hint="eastAsia" w:asciiTheme="minorEastAsia" w:hAnsiTheme="minorEastAsia" w:eastAsiaTheme="minorEastAsia" w:cstheme="minorEastAsia"/>
          <w:color w:val="auto"/>
          <w:spacing w:val="-2"/>
          <w:sz w:val="24"/>
          <w:szCs w:val="24"/>
        </w:rPr>
        <w:t>民排水量</w:t>
      </w:r>
      <w:r>
        <w:rPr>
          <w:rFonts w:hint="eastAsia" w:asciiTheme="minorEastAsia" w:hAnsiTheme="minorEastAsia" w:eastAsiaTheme="minorEastAsia" w:cstheme="minorEastAsia"/>
          <w:color w:val="auto"/>
          <w:sz w:val="24"/>
          <w:szCs w:val="24"/>
        </w:rPr>
        <w:t>70890m³/天。</w:t>
      </w:r>
    </w:p>
    <w:p>
      <w:pPr>
        <w:pStyle w:val="32"/>
        <w:numPr>
          <w:ilvl w:val="2"/>
          <w:numId w:val="6"/>
        </w:numPr>
        <w:tabs>
          <w:tab w:val="left" w:pos="1496"/>
        </w:tabs>
        <w:spacing w:line="500" w:lineRule="exact"/>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供水设施</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根据罗定市目前供水系统分布，全市各供水厂的情况见表3.1-3。罗定市内的水管网布设完善。经调查，罗定市农村生活用水方式主要为炊事、洗衣、淋浴、饮用、餐具洗涤、日常洗漱、冲厕和清洁用水等，农户最主要的用水集中在炊事、洗衣和灌溉。</w:t>
      </w:r>
    </w:p>
    <w:p>
      <w:pPr>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表 3.</w:t>
      </w:r>
      <w:r>
        <w:rPr>
          <w:rFonts w:asciiTheme="minorEastAsia" w:hAnsiTheme="minorEastAsia" w:eastAsiaTheme="minorEastAsia" w:cstheme="minorEastAsia"/>
          <w:b/>
          <w:color w:val="auto"/>
          <w:sz w:val="21"/>
          <w:szCs w:val="21"/>
          <w:lang w:val="en-US"/>
        </w:rPr>
        <w:t>1</w:t>
      </w:r>
      <w:r>
        <w:rPr>
          <w:rFonts w:hint="eastAsia" w:asciiTheme="minorEastAsia" w:hAnsiTheme="minorEastAsia" w:eastAsiaTheme="minorEastAsia" w:cstheme="minorEastAsia"/>
          <w:b/>
          <w:color w:val="auto"/>
          <w:sz w:val="21"/>
          <w:szCs w:val="21"/>
        </w:rPr>
        <w:t>-3 罗定市供水厂情况一览表</w:t>
      </w:r>
    </w:p>
    <w:tbl>
      <w:tblPr>
        <w:tblStyle w:val="27"/>
        <w:tblW w:w="5000" w:type="pct"/>
        <w:jc w:val="center"/>
        <w:tblLayout w:type="autofit"/>
        <w:tblCellMar>
          <w:top w:w="0" w:type="dxa"/>
          <w:left w:w="108" w:type="dxa"/>
          <w:bottom w:w="0" w:type="dxa"/>
          <w:right w:w="108" w:type="dxa"/>
        </w:tblCellMar>
      </w:tblPr>
      <w:tblGrid>
        <w:gridCol w:w="1242"/>
        <w:gridCol w:w="3261"/>
        <w:gridCol w:w="2252"/>
        <w:gridCol w:w="2252"/>
      </w:tblGrid>
      <w:tr>
        <w:tblPrEx>
          <w:tblCellMar>
            <w:top w:w="0" w:type="dxa"/>
            <w:left w:w="108" w:type="dxa"/>
            <w:bottom w:w="0" w:type="dxa"/>
            <w:right w:w="108" w:type="dxa"/>
          </w:tblCellMar>
        </w:tblPrEx>
        <w:trPr>
          <w:trHeight w:val="454" w:hRule="atLeast"/>
          <w:tblHeader/>
          <w:jc w:val="center"/>
        </w:trPr>
        <w:tc>
          <w:tcPr>
            <w:tcW w:w="690"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b/>
                <w:bCs/>
                <w:color w:val="auto"/>
                <w:sz w:val="21"/>
                <w:szCs w:val="21"/>
                <w:lang w:val="en-US" w:bidi="ar-SA"/>
              </w:rPr>
            </w:pPr>
            <w:r>
              <w:rPr>
                <w:rFonts w:hint="eastAsia" w:ascii="宋体" w:hAnsi="宋体" w:eastAsia="宋体" w:cs="宋体"/>
                <w:b/>
                <w:bCs/>
                <w:color w:val="auto"/>
                <w:sz w:val="21"/>
                <w:szCs w:val="21"/>
                <w:lang w:val="en-US" w:bidi="ar-SA"/>
              </w:rPr>
              <w:t>序号</w:t>
            </w:r>
          </w:p>
        </w:tc>
        <w:tc>
          <w:tcPr>
            <w:tcW w:w="1810" w:type="pct"/>
            <w:tcBorders>
              <w:top w:val="single" w:color="000000" w:sz="8" w:space="0"/>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b/>
                <w:bCs/>
                <w:color w:val="auto"/>
                <w:sz w:val="21"/>
                <w:szCs w:val="21"/>
                <w:lang w:val="en-US" w:bidi="ar-SA"/>
              </w:rPr>
            </w:pPr>
            <w:r>
              <w:rPr>
                <w:rFonts w:hint="eastAsia" w:ascii="宋体" w:hAnsi="宋体" w:eastAsia="宋体" w:cs="宋体"/>
                <w:b/>
                <w:bCs/>
                <w:color w:val="auto"/>
                <w:sz w:val="21"/>
                <w:szCs w:val="21"/>
                <w:lang w:val="en-US" w:bidi="ar-SA"/>
              </w:rPr>
              <w:t>名称</w:t>
            </w:r>
          </w:p>
        </w:tc>
        <w:tc>
          <w:tcPr>
            <w:tcW w:w="1250" w:type="pct"/>
            <w:tcBorders>
              <w:top w:val="single" w:color="000000" w:sz="8" w:space="0"/>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b/>
                <w:bCs/>
                <w:color w:val="auto"/>
                <w:sz w:val="21"/>
                <w:szCs w:val="21"/>
                <w:lang w:val="en-US" w:bidi="ar-SA"/>
              </w:rPr>
            </w:pPr>
            <w:r>
              <w:rPr>
                <w:rFonts w:hint="eastAsia" w:ascii="宋体" w:hAnsi="宋体" w:eastAsia="宋体" w:cs="宋体"/>
                <w:b/>
                <w:bCs/>
                <w:color w:val="auto"/>
                <w:sz w:val="21"/>
                <w:szCs w:val="21"/>
                <w:lang w:val="en-US" w:bidi="ar-SA"/>
              </w:rPr>
              <w:t>取水河段</w:t>
            </w:r>
          </w:p>
        </w:tc>
        <w:tc>
          <w:tcPr>
            <w:tcW w:w="1250" w:type="pct"/>
            <w:tcBorders>
              <w:top w:val="single" w:color="000000" w:sz="8" w:space="0"/>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b/>
                <w:bCs/>
                <w:color w:val="auto"/>
                <w:sz w:val="21"/>
                <w:szCs w:val="21"/>
                <w:lang w:val="en-US" w:bidi="ar-SA"/>
              </w:rPr>
            </w:pPr>
            <w:r>
              <w:rPr>
                <w:rFonts w:hint="eastAsia" w:ascii="宋体" w:hAnsi="宋体" w:eastAsia="宋体" w:cs="宋体"/>
                <w:b/>
                <w:bCs/>
                <w:color w:val="auto"/>
                <w:sz w:val="21"/>
                <w:szCs w:val="21"/>
                <w:lang w:val="en-US" w:bidi="ar-SA"/>
              </w:rPr>
              <w:t>备注</w:t>
            </w:r>
          </w:p>
        </w:tc>
      </w:tr>
      <w:tr>
        <w:tblPrEx>
          <w:tblCellMar>
            <w:top w:w="0" w:type="dxa"/>
            <w:left w:w="108" w:type="dxa"/>
            <w:bottom w:w="0" w:type="dxa"/>
            <w:right w:w="108" w:type="dxa"/>
          </w:tblCellMar>
        </w:tblPrEx>
        <w:trPr>
          <w:trHeight w:val="454" w:hRule="atLeast"/>
          <w:jc w:val="center"/>
        </w:trPr>
        <w:tc>
          <w:tcPr>
            <w:tcW w:w="69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1</w:t>
            </w:r>
          </w:p>
        </w:tc>
        <w:tc>
          <w:tcPr>
            <w:tcW w:w="181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七和水厂</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西江</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p>
        </w:tc>
      </w:tr>
      <w:tr>
        <w:tblPrEx>
          <w:tblCellMar>
            <w:top w:w="0" w:type="dxa"/>
            <w:left w:w="108" w:type="dxa"/>
            <w:bottom w:w="0" w:type="dxa"/>
            <w:right w:w="108" w:type="dxa"/>
          </w:tblCellMar>
        </w:tblPrEx>
        <w:trPr>
          <w:trHeight w:val="454" w:hRule="atLeast"/>
          <w:jc w:val="center"/>
        </w:trPr>
        <w:tc>
          <w:tcPr>
            <w:tcW w:w="69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2</w:t>
            </w:r>
          </w:p>
        </w:tc>
        <w:tc>
          <w:tcPr>
            <w:tcW w:w="181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北角水厂</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西江</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p>
        </w:tc>
      </w:tr>
      <w:tr>
        <w:tblPrEx>
          <w:tblCellMar>
            <w:top w:w="0" w:type="dxa"/>
            <w:left w:w="108" w:type="dxa"/>
            <w:bottom w:w="0" w:type="dxa"/>
            <w:right w:w="108" w:type="dxa"/>
          </w:tblCellMar>
        </w:tblPrEx>
        <w:trPr>
          <w:trHeight w:val="454" w:hRule="atLeast"/>
          <w:jc w:val="center"/>
        </w:trPr>
        <w:tc>
          <w:tcPr>
            <w:tcW w:w="69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3</w:t>
            </w:r>
          </w:p>
        </w:tc>
        <w:tc>
          <w:tcPr>
            <w:tcW w:w="181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附城水厂</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西江</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p>
        </w:tc>
      </w:tr>
      <w:tr>
        <w:tblPrEx>
          <w:tblCellMar>
            <w:top w:w="0" w:type="dxa"/>
            <w:left w:w="108" w:type="dxa"/>
            <w:bottom w:w="0" w:type="dxa"/>
            <w:right w:w="108" w:type="dxa"/>
          </w:tblCellMar>
        </w:tblPrEx>
        <w:trPr>
          <w:trHeight w:val="454" w:hRule="atLeast"/>
          <w:jc w:val="center"/>
        </w:trPr>
        <w:tc>
          <w:tcPr>
            <w:tcW w:w="69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4</w:t>
            </w:r>
          </w:p>
        </w:tc>
        <w:tc>
          <w:tcPr>
            <w:tcW w:w="181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生江水厂</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西江</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p>
        </w:tc>
      </w:tr>
      <w:tr>
        <w:tblPrEx>
          <w:tblCellMar>
            <w:top w:w="0" w:type="dxa"/>
            <w:left w:w="108" w:type="dxa"/>
            <w:bottom w:w="0" w:type="dxa"/>
            <w:right w:w="108" w:type="dxa"/>
          </w:tblCellMar>
        </w:tblPrEx>
        <w:trPr>
          <w:trHeight w:val="454" w:hRule="atLeast"/>
          <w:jc w:val="center"/>
        </w:trPr>
        <w:tc>
          <w:tcPr>
            <w:tcW w:w="69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5</w:t>
            </w:r>
          </w:p>
        </w:tc>
        <w:tc>
          <w:tcPr>
            <w:tcW w:w="181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罗定市苹塘镇自来水厂</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粤西诸河</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p>
        </w:tc>
      </w:tr>
      <w:tr>
        <w:tblPrEx>
          <w:tblCellMar>
            <w:top w:w="0" w:type="dxa"/>
            <w:left w:w="108" w:type="dxa"/>
            <w:bottom w:w="0" w:type="dxa"/>
            <w:right w:w="108" w:type="dxa"/>
          </w:tblCellMar>
        </w:tblPrEx>
        <w:trPr>
          <w:trHeight w:val="454" w:hRule="atLeast"/>
          <w:jc w:val="center"/>
        </w:trPr>
        <w:tc>
          <w:tcPr>
            <w:tcW w:w="69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6</w:t>
            </w:r>
          </w:p>
        </w:tc>
        <w:tc>
          <w:tcPr>
            <w:tcW w:w="181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罗定市金鸡镇永康自来水厂</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粤西诸河</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p>
        </w:tc>
      </w:tr>
      <w:tr>
        <w:tblPrEx>
          <w:tblCellMar>
            <w:top w:w="0" w:type="dxa"/>
            <w:left w:w="108" w:type="dxa"/>
            <w:bottom w:w="0" w:type="dxa"/>
            <w:right w:w="108" w:type="dxa"/>
          </w:tblCellMar>
        </w:tblPrEx>
        <w:trPr>
          <w:trHeight w:val="454" w:hRule="atLeast"/>
          <w:jc w:val="center"/>
        </w:trPr>
        <w:tc>
          <w:tcPr>
            <w:tcW w:w="69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7</w:t>
            </w:r>
          </w:p>
        </w:tc>
        <w:tc>
          <w:tcPr>
            <w:tcW w:w="181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山田水厂</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粤西诸河</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p>
        </w:tc>
      </w:tr>
      <w:tr>
        <w:tblPrEx>
          <w:tblCellMar>
            <w:top w:w="0" w:type="dxa"/>
            <w:left w:w="108" w:type="dxa"/>
            <w:bottom w:w="0" w:type="dxa"/>
            <w:right w:w="108" w:type="dxa"/>
          </w:tblCellMar>
        </w:tblPrEx>
        <w:trPr>
          <w:trHeight w:val="454" w:hRule="atLeast"/>
          <w:jc w:val="center"/>
        </w:trPr>
        <w:tc>
          <w:tcPr>
            <w:tcW w:w="69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8</w:t>
            </w:r>
          </w:p>
        </w:tc>
        <w:tc>
          <w:tcPr>
            <w:tcW w:w="181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广记自来水厂</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粤西诸河</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已注销，由满塘镇润康自来水有限公司</w:t>
            </w:r>
          </w:p>
        </w:tc>
      </w:tr>
      <w:tr>
        <w:tblPrEx>
          <w:tblCellMar>
            <w:top w:w="0" w:type="dxa"/>
            <w:left w:w="108" w:type="dxa"/>
            <w:bottom w:w="0" w:type="dxa"/>
            <w:right w:w="108" w:type="dxa"/>
          </w:tblCellMar>
        </w:tblPrEx>
        <w:trPr>
          <w:trHeight w:val="454" w:hRule="atLeast"/>
          <w:jc w:val="center"/>
        </w:trPr>
        <w:tc>
          <w:tcPr>
            <w:tcW w:w="69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9</w:t>
            </w:r>
          </w:p>
        </w:tc>
        <w:tc>
          <w:tcPr>
            <w:tcW w:w="181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罗定船步镇海翔自来水厂</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粤西诸河</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p>
        </w:tc>
      </w:tr>
      <w:tr>
        <w:tblPrEx>
          <w:tblCellMar>
            <w:top w:w="0" w:type="dxa"/>
            <w:left w:w="108" w:type="dxa"/>
            <w:bottom w:w="0" w:type="dxa"/>
            <w:right w:w="108" w:type="dxa"/>
          </w:tblCellMar>
        </w:tblPrEx>
        <w:trPr>
          <w:trHeight w:val="454" w:hRule="atLeast"/>
          <w:jc w:val="center"/>
        </w:trPr>
        <w:tc>
          <w:tcPr>
            <w:tcW w:w="69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10</w:t>
            </w:r>
          </w:p>
        </w:tc>
        <w:tc>
          <w:tcPr>
            <w:tcW w:w="181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罗定市罗平镇罗泉自来水有限公司</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粤西诸河</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p>
        </w:tc>
      </w:tr>
      <w:tr>
        <w:tblPrEx>
          <w:tblCellMar>
            <w:top w:w="0" w:type="dxa"/>
            <w:left w:w="108" w:type="dxa"/>
            <w:bottom w:w="0" w:type="dxa"/>
            <w:right w:w="108" w:type="dxa"/>
          </w:tblCellMar>
        </w:tblPrEx>
        <w:trPr>
          <w:trHeight w:val="454" w:hRule="atLeast"/>
          <w:jc w:val="center"/>
        </w:trPr>
        <w:tc>
          <w:tcPr>
            <w:tcW w:w="69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11</w:t>
            </w:r>
          </w:p>
        </w:tc>
        <w:tc>
          <w:tcPr>
            <w:tcW w:w="181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太平自来水厂</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粤西诸河</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p>
        </w:tc>
      </w:tr>
      <w:tr>
        <w:tblPrEx>
          <w:tblCellMar>
            <w:top w:w="0" w:type="dxa"/>
            <w:left w:w="108" w:type="dxa"/>
            <w:bottom w:w="0" w:type="dxa"/>
            <w:right w:w="108" w:type="dxa"/>
          </w:tblCellMar>
        </w:tblPrEx>
        <w:trPr>
          <w:trHeight w:val="454" w:hRule="atLeast"/>
          <w:jc w:val="center"/>
        </w:trPr>
        <w:tc>
          <w:tcPr>
            <w:tcW w:w="69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12</w:t>
            </w:r>
          </w:p>
        </w:tc>
        <w:tc>
          <w:tcPr>
            <w:tcW w:w="181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罗镜镇自来水厂</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粤西诸河</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p>
        </w:tc>
      </w:tr>
      <w:tr>
        <w:tblPrEx>
          <w:tblCellMar>
            <w:top w:w="0" w:type="dxa"/>
            <w:left w:w="108" w:type="dxa"/>
            <w:bottom w:w="0" w:type="dxa"/>
            <w:right w:w="108" w:type="dxa"/>
          </w:tblCellMar>
        </w:tblPrEx>
        <w:trPr>
          <w:trHeight w:val="454" w:hRule="atLeast"/>
          <w:jc w:val="center"/>
        </w:trPr>
        <w:tc>
          <w:tcPr>
            <w:tcW w:w="69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13</w:t>
            </w:r>
          </w:p>
        </w:tc>
        <w:tc>
          <w:tcPr>
            <w:tcW w:w="181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连州水厂</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粤西诸河</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p>
        </w:tc>
      </w:tr>
      <w:tr>
        <w:tblPrEx>
          <w:tblCellMar>
            <w:top w:w="0" w:type="dxa"/>
            <w:left w:w="108" w:type="dxa"/>
            <w:bottom w:w="0" w:type="dxa"/>
            <w:right w:w="108" w:type="dxa"/>
          </w:tblCellMar>
        </w:tblPrEx>
        <w:trPr>
          <w:trHeight w:val="454" w:hRule="atLeast"/>
          <w:jc w:val="center"/>
        </w:trPr>
        <w:tc>
          <w:tcPr>
            <w:tcW w:w="69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14</w:t>
            </w:r>
          </w:p>
        </w:tc>
        <w:tc>
          <w:tcPr>
            <w:tcW w:w="181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罗定市石英自来水有限公司</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粤西诸河</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p>
        </w:tc>
      </w:tr>
      <w:tr>
        <w:tblPrEx>
          <w:tblCellMar>
            <w:top w:w="0" w:type="dxa"/>
            <w:left w:w="108" w:type="dxa"/>
            <w:bottom w:w="0" w:type="dxa"/>
            <w:right w:w="108" w:type="dxa"/>
          </w:tblCellMar>
        </w:tblPrEx>
        <w:trPr>
          <w:trHeight w:val="454" w:hRule="atLeast"/>
          <w:jc w:val="center"/>
        </w:trPr>
        <w:tc>
          <w:tcPr>
            <w:tcW w:w="69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15</w:t>
            </w:r>
          </w:p>
        </w:tc>
        <w:tc>
          <w:tcPr>
            <w:tcW w:w="181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泗纶镇湘垌水库</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粤西诸河</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p>
        </w:tc>
      </w:tr>
      <w:tr>
        <w:tblPrEx>
          <w:tblCellMar>
            <w:top w:w="0" w:type="dxa"/>
            <w:left w:w="108" w:type="dxa"/>
            <w:bottom w:w="0" w:type="dxa"/>
            <w:right w:w="108" w:type="dxa"/>
          </w:tblCellMar>
        </w:tblPrEx>
        <w:trPr>
          <w:trHeight w:val="454" w:hRule="atLeast"/>
          <w:jc w:val="center"/>
        </w:trPr>
        <w:tc>
          <w:tcPr>
            <w:tcW w:w="69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16</w:t>
            </w:r>
          </w:p>
        </w:tc>
        <w:tc>
          <w:tcPr>
            <w:tcW w:w="181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红辉自来水厂</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粤西诸河</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p>
        </w:tc>
      </w:tr>
      <w:tr>
        <w:tblPrEx>
          <w:tblCellMar>
            <w:top w:w="0" w:type="dxa"/>
            <w:left w:w="108" w:type="dxa"/>
            <w:bottom w:w="0" w:type="dxa"/>
            <w:right w:w="108" w:type="dxa"/>
          </w:tblCellMar>
        </w:tblPrEx>
        <w:trPr>
          <w:trHeight w:val="454" w:hRule="atLeast"/>
          <w:jc w:val="center"/>
        </w:trPr>
        <w:tc>
          <w:tcPr>
            <w:tcW w:w="69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17</w:t>
            </w:r>
          </w:p>
        </w:tc>
        <w:tc>
          <w:tcPr>
            <w:tcW w:w="181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罗定市加益镇源福自来水厂</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粤西诸河</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p>
        </w:tc>
      </w:tr>
      <w:tr>
        <w:tblPrEx>
          <w:tblCellMar>
            <w:top w:w="0" w:type="dxa"/>
            <w:left w:w="108" w:type="dxa"/>
            <w:bottom w:w="0" w:type="dxa"/>
            <w:right w:w="108" w:type="dxa"/>
          </w:tblCellMar>
        </w:tblPrEx>
        <w:trPr>
          <w:trHeight w:val="454" w:hRule="atLeast"/>
          <w:jc w:val="center"/>
        </w:trPr>
        <w:tc>
          <w:tcPr>
            <w:tcW w:w="69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18</w:t>
            </w:r>
          </w:p>
        </w:tc>
        <w:tc>
          <w:tcPr>
            <w:tcW w:w="181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柏宝水厂</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粤西诸河</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p>
        </w:tc>
      </w:tr>
      <w:tr>
        <w:tblPrEx>
          <w:tblCellMar>
            <w:top w:w="0" w:type="dxa"/>
            <w:left w:w="108" w:type="dxa"/>
            <w:bottom w:w="0" w:type="dxa"/>
            <w:right w:w="108" w:type="dxa"/>
          </w:tblCellMar>
        </w:tblPrEx>
        <w:trPr>
          <w:trHeight w:val="454" w:hRule="atLeast"/>
          <w:jc w:val="center"/>
        </w:trPr>
        <w:tc>
          <w:tcPr>
            <w:tcW w:w="69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19</w:t>
            </w:r>
          </w:p>
        </w:tc>
        <w:tc>
          <w:tcPr>
            <w:tcW w:w="181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榃滨镇桂源自来水有限公司</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粤西诸河</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jc w:val="center"/>
              <w:rPr>
                <w:rFonts w:ascii="宋体" w:hAnsi="宋体" w:eastAsia="宋体" w:cs="宋体"/>
                <w:color w:val="auto"/>
                <w:sz w:val="21"/>
                <w:szCs w:val="21"/>
                <w:lang w:val="en-US" w:bidi="ar-SA"/>
              </w:rPr>
            </w:pPr>
          </w:p>
        </w:tc>
      </w:tr>
    </w:tbl>
    <w:p>
      <w:pPr>
        <w:pStyle w:val="10"/>
        <w:spacing w:line="500" w:lineRule="exact"/>
        <w:ind w:firstLine="482" w:firstLineChars="200"/>
        <w:jc w:val="both"/>
        <w:rPr>
          <w:rFonts w:asciiTheme="minorEastAsia" w:hAnsiTheme="minorEastAsia" w:eastAsiaTheme="minorEastAsia" w:cstheme="minorEastAsia"/>
          <w:b/>
          <w:color w:val="auto"/>
          <w:sz w:val="24"/>
          <w:szCs w:val="24"/>
        </w:rPr>
      </w:pPr>
    </w:p>
    <w:p>
      <w:pPr>
        <w:pStyle w:val="3"/>
        <w:numPr>
          <w:ilvl w:val="1"/>
          <w:numId w:val="7"/>
        </w:numPr>
        <w:tabs>
          <w:tab w:val="left" w:pos="1248"/>
        </w:tabs>
        <w:adjustRightInd/>
        <w:snapToGrid/>
        <w:spacing w:line="500" w:lineRule="exact"/>
        <w:jc w:val="both"/>
        <w:rPr>
          <w:rFonts w:asciiTheme="minorEastAsia" w:hAnsiTheme="minorEastAsia" w:eastAsiaTheme="minorEastAsia" w:cstheme="minorEastAsia"/>
          <w:color w:val="auto"/>
          <w:sz w:val="24"/>
          <w:szCs w:val="24"/>
        </w:rPr>
      </w:pPr>
      <w:bookmarkStart w:id="32" w:name="3.2城镇排水现状"/>
      <w:bookmarkEnd w:id="32"/>
      <w:bookmarkStart w:id="33" w:name="_Toc19713"/>
      <w:bookmarkStart w:id="34" w:name="_Toc18141"/>
      <w:r>
        <w:rPr>
          <w:rFonts w:hint="eastAsia" w:asciiTheme="minorEastAsia" w:hAnsiTheme="minorEastAsia" w:eastAsiaTheme="minorEastAsia" w:cstheme="minorEastAsia"/>
          <w:color w:val="auto"/>
          <w:sz w:val="24"/>
          <w:szCs w:val="24"/>
        </w:rPr>
        <w:t>城镇排水现状</w:t>
      </w:r>
      <w:bookmarkEnd w:id="33"/>
      <w:bookmarkEnd w:id="34"/>
    </w:p>
    <w:p>
      <w:pPr>
        <w:pStyle w:val="32"/>
        <w:numPr>
          <w:ilvl w:val="2"/>
          <w:numId w:val="7"/>
        </w:numPr>
        <w:tabs>
          <w:tab w:val="left" w:pos="1496"/>
        </w:tabs>
        <w:spacing w:line="500" w:lineRule="exact"/>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总体情况</w:t>
      </w:r>
    </w:p>
    <w:p>
      <w:pPr>
        <w:pStyle w:val="10"/>
        <w:spacing w:line="500" w:lineRule="exact"/>
        <w:ind w:firstLine="44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8"/>
          <w:sz w:val="24"/>
          <w:szCs w:val="24"/>
        </w:rPr>
        <w:t>近年来</w:t>
      </w:r>
      <w:r>
        <w:rPr>
          <w:rFonts w:hint="eastAsia" w:asciiTheme="minorEastAsia" w:hAnsiTheme="minorEastAsia" w:eastAsiaTheme="minorEastAsia" w:cstheme="minorEastAsia"/>
          <w:color w:val="auto"/>
          <w:spacing w:val="-8"/>
          <w:sz w:val="24"/>
          <w:szCs w:val="24"/>
          <w:lang w:val="en-US"/>
        </w:rPr>
        <w:t>,</w:t>
      </w:r>
      <w:r>
        <w:rPr>
          <w:rFonts w:hint="eastAsia" w:asciiTheme="minorEastAsia" w:hAnsiTheme="minorEastAsia" w:eastAsiaTheme="minorEastAsia" w:cstheme="minorEastAsia"/>
          <w:color w:val="auto"/>
          <w:spacing w:val="-8"/>
          <w:sz w:val="24"/>
          <w:szCs w:val="24"/>
        </w:rPr>
        <w:t>罗定市城市开发建设快速推进，污水处理设施建设</w:t>
      </w:r>
      <w:r>
        <w:rPr>
          <w:rFonts w:hint="eastAsia" w:asciiTheme="minorEastAsia" w:hAnsiTheme="minorEastAsia" w:eastAsiaTheme="minorEastAsia" w:cstheme="minorEastAsia"/>
          <w:color w:val="auto"/>
          <w:spacing w:val="-10"/>
          <w:sz w:val="24"/>
          <w:szCs w:val="24"/>
        </w:rPr>
        <w:t>也取得一定进展。但罗定市城区的排水系统，特别是污水收集系统因为经济条件、建设时序等原因，尚未形成完整的体系，明显滞后于城市的建设。现状排水管道无法有效收集污水，污水处理设施无法体现应有的处理效能，污水仍通过排水渠涵排至自然水体，造成地表水污染及沟渠淤积严重，对城市形象和居民的正常</w:t>
      </w:r>
      <w:r>
        <w:rPr>
          <w:rFonts w:hint="eastAsia" w:asciiTheme="minorEastAsia" w:hAnsiTheme="minorEastAsia" w:eastAsiaTheme="minorEastAsia" w:cstheme="minorEastAsia"/>
          <w:color w:val="auto"/>
          <w:spacing w:val="-13"/>
          <w:sz w:val="24"/>
          <w:szCs w:val="24"/>
        </w:rPr>
        <w:t>生活质量均造成了极其不良的影响。</w:t>
      </w:r>
    </w:p>
    <w:p>
      <w:pPr>
        <w:pStyle w:val="32"/>
        <w:numPr>
          <w:ilvl w:val="3"/>
          <w:numId w:val="7"/>
        </w:numPr>
        <w:tabs>
          <w:tab w:val="left" w:pos="2400"/>
        </w:tabs>
        <w:spacing w:line="500" w:lineRule="exact"/>
        <w:jc w:val="both"/>
        <w:rPr>
          <w:rFonts w:asciiTheme="minorEastAsia" w:hAnsiTheme="minorEastAsia" w:eastAsiaTheme="minorEastAsia" w:cstheme="minorEastAsia"/>
          <w:b/>
          <w:color w:val="auto"/>
          <w:sz w:val="24"/>
          <w:szCs w:val="24"/>
        </w:rPr>
      </w:pPr>
      <w:bookmarkStart w:id="35" w:name="_Toc7123_WPSOffice_Level3"/>
      <w:r>
        <w:rPr>
          <w:rFonts w:hint="eastAsia" w:asciiTheme="minorEastAsia" w:hAnsiTheme="minorEastAsia" w:eastAsiaTheme="minorEastAsia" w:cstheme="minorEastAsia"/>
          <w:b/>
          <w:color w:val="auto"/>
          <w:spacing w:val="-1"/>
          <w:w w:val="95"/>
          <w:sz w:val="24"/>
          <w:szCs w:val="24"/>
        </w:rPr>
        <w:t>排水体制</w:t>
      </w:r>
      <w:bookmarkEnd w:id="35"/>
    </w:p>
    <w:p>
      <w:pPr>
        <w:pStyle w:val="10"/>
        <w:spacing w:line="500" w:lineRule="exact"/>
        <w:ind w:firstLine="42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3"/>
          <w:sz w:val="24"/>
          <w:szCs w:val="24"/>
        </w:rPr>
        <w:t>目前罗定市城区的排水体制为雨污合流制。污水管网主要集</w:t>
      </w:r>
      <w:r>
        <w:rPr>
          <w:rFonts w:hint="eastAsia" w:asciiTheme="minorEastAsia" w:hAnsiTheme="minorEastAsia" w:eastAsiaTheme="minorEastAsia" w:cstheme="minorEastAsia"/>
          <w:color w:val="auto"/>
          <w:spacing w:val="-15"/>
          <w:sz w:val="24"/>
          <w:szCs w:val="24"/>
        </w:rPr>
        <w:t>中在老城区，城北区沿江路部分路段有污水管及污水提升泵站，</w:t>
      </w:r>
      <w:r>
        <w:rPr>
          <w:rFonts w:hint="eastAsia" w:asciiTheme="minorEastAsia" w:hAnsiTheme="minorEastAsia" w:eastAsiaTheme="minorEastAsia" w:cstheme="minorEastAsia"/>
          <w:color w:val="auto"/>
          <w:spacing w:val="-17"/>
          <w:sz w:val="24"/>
          <w:szCs w:val="24"/>
        </w:rPr>
        <w:t>现有的排水管渠主要为钢筋混凝土管及明沟加盖板等形式。受现状</w:t>
      </w:r>
      <w:r>
        <w:rPr>
          <w:rFonts w:hint="eastAsia" w:asciiTheme="minorEastAsia" w:hAnsiTheme="minorEastAsia" w:eastAsiaTheme="minorEastAsia" w:cstheme="minorEastAsia"/>
          <w:color w:val="auto"/>
          <w:spacing w:val="-22"/>
          <w:sz w:val="24"/>
          <w:szCs w:val="24"/>
        </w:rPr>
        <w:t>地形限制，部分路段暂无排水管道，造成排水困难，部分路段排水管道敷设混乱，大部分为合流暗渠或加盖后的自然排污渠，污水直</w:t>
      </w:r>
      <w:r>
        <w:rPr>
          <w:rFonts w:hint="eastAsia" w:asciiTheme="minorEastAsia" w:hAnsiTheme="minorEastAsia" w:eastAsiaTheme="minorEastAsia" w:cstheme="minorEastAsia"/>
          <w:color w:val="auto"/>
          <w:spacing w:val="-17"/>
          <w:sz w:val="24"/>
          <w:szCs w:val="24"/>
        </w:rPr>
        <w:t>接排入河流的排污口较多，致使部分污水未经处理直接排入罗定江，</w:t>
      </w:r>
      <w:r>
        <w:rPr>
          <w:rFonts w:hint="eastAsia" w:asciiTheme="minorEastAsia" w:hAnsiTheme="minorEastAsia" w:eastAsiaTheme="minorEastAsia" w:cstheme="minorEastAsia"/>
          <w:color w:val="auto"/>
          <w:spacing w:val="-10"/>
          <w:sz w:val="24"/>
          <w:szCs w:val="24"/>
        </w:rPr>
        <w:t>造成水体污染。目前罗定市村镇的排水均采用雨污合流制污水管或污水渠，部分地区采用盖板渠甚至明渠，生活污水及雨水均直接通过自流</w:t>
      </w:r>
      <w:r>
        <w:rPr>
          <w:rFonts w:hint="eastAsia" w:asciiTheme="minorEastAsia" w:hAnsiTheme="minorEastAsia" w:eastAsiaTheme="minorEastAsia" w:cstheme="minorEastAsia"/>
          <w:color w:val="auto"/>
          <w:sz w:val="24"/>
          <w:szCs w:val="24"/>
        </w:rPr>
        <w:t>方式排入附近水体，导致周边河涌水体水环境持续恶化。</w:t>
      </w:r>
    </w:p>
    <w:p>
      <w:pPr>
        <w:spacing w:line="500" w:lineRule="exact"/>
        <w:ind w:firstLine="2400" w:firstLineChars="1000"/>
        <w:jc w:val="both"/>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color w:val="auto"/>
          <w:sz w:val="24"/>
          <w:szCs w:val="24"/>
          <w:lang w:val="en-US" w:bidi="ar-SA"/>
        </w:rPr>
        <w:drawing>
          <wp:anchor distT="0" distB="0" distL="0" distR="0" simplePos="0" relativeHeight="251680768" behindDoc="0" locked="0" layoutInCell="1" allowOverlap="1">
            <wp:simplePos x="0" y="0"/>
            <wp:positionH relativeFrom="column">
              <wp:posOffset>86360</wp:posOffset>
            </wp:positionH>
            <wp:positionV relativeFrom="paragraph">
              <wp:posOffset>3548380</wp:posOffset>
            </wp:positionV>
            <wp:extent cx="5315585" cy="3382010"/>
            <wp:effectExtent l="0" t="0" r="18415" b="8890"/>
            <wp:wrapTopAndBottom/>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jpeg"/>
                    <pic:cNvPicPr>
                      <a:picLocks noChangeAspect="1"/>
                    </pic:cNvPicPr>
                  </pic:nvPicPr>
                  <pic:blipFill>
                    <a:blip r:embed="rId28" cstate="print"/>
                    <a:stretch>
                      <a:fillRect/>
                    </a:stretch>
                  </pic:blipFill>
                  <pic:spPr>
                    <a:xfrm>
                      <a:off x="0" y="0"/>
                      <a:ext cx="5316104" cy="3382137"/>
                    </a:xfrm>
                    <a:prstGeom prst="rect">
                      <a:avLst/>
                    </a:prstGeom>
                  </pic:spPr>
                </pic:pic>
              </a:graphicData>
            </a:graphic>
          </wp:anchor>
        </w:drawing>
      </w:r>
      <w:r>
        <w:rPr>
          <w:rFonts w:hint="eastAsia" w:asciiTheme="minorEastAsia" w:hAnsiTheme="minorEastAsia" w:eastAsiaTheme="minorEastAsia" w:cstheme="minorEastAsia"/>
          <w:color w:val="auto"/>
          <w:sz w:val="24"/>
          <w:szCs w:val="24"/>
          <w:lang w:val="en-US" w:bidi="ar-SA"/>
        </w:rPr>
        <w:drawing>
          <wp:anchor distT="0" distB="0" distL="0" distR="0" simplePos="0" relativeHeight="251678720" behindDoc="0" locked="0" layoutInCell="1" allowOverlap="1">
            <wp:simplePos x="0" y="0"/>
            <wp:positionH relativeFrom="page">
              <wp:posOffset>1088390</wp:posOffset>
            </wp:positionH>
            <wp:positionV relativeFrom="paragraph">
              <wp:posOffset>55245</wp:posOffset>
            </wp:positionV>
            <wp:extent cx="5372735" cy="3116580"/>
            <wp:effectExtent l="0" t="0" r="18415" b="7620"/>
            <wp:wrapTopAndBottom/>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jpeg"/>
                    <pic:cNvPicPr>
                      <a:picLocks noChangeAspect="1"/>
                    </pic:cNvPicPr>
                  </pic:nvPicPr>
                  <pic:blipFill>
                    <a:blip r:embed="rId29" cstate="print"/>
                    <a:stretch>
                      <a:fillRect/>
                    </a:stretch>
                  </pic:blipFill>
                  <pic:spPr>
                    <a:xfrm>
                      <a:off x="0" y="0"/>
                      <a:ext cx="5372735" cy="3116580"/>
                    </a:xfrm>
                    <a:prstGeom prst="rect">
                      <a:avLst/>
                    </a:prstGeom>
                  </pic:spPr>
                </pic:pic>
              </a:graphicData>
            </a:graphic>
          </wp:anchor>
        </w:drawing>
      </w:r>
      <w:r>
        <w:rPr>
          <w:rFonts w:hint="eastAsia" w:asciiTheme="minorEastAsia" w:hAnsiTheme="minorEastAsia" w:eastAsiaTheme="minorEastAsia" w:cstheme="minorEastAsia"/>
          <w:color w:val="auto"/>
          <w:sz w:val="24"/>
          <w:szCs w:val="24"/>
          <w:lang w:val="en-US" w:bidi="ar-SA"/>
        </w:rPr>
        <w:t xml:space="preserve">  </w:t>
      </w:r>
      <w:r>
        <w:rPr>
          <w:rFonts w:hint="eastAsia" w:asciiTheme="minorEastAsia" w:hAnsiTheme="minorEastAsia" w:eastAsiaTheme="minorEastAsia" w:cstheme="minorEastAsia"/>
          <w:b/>
          <w:color w:val="auto"/>
          <w:sz w:val="21"/>
          <w:szCs w:val="21"/>
        </w:rPr>
        <w:t>图3.2-1  自然村典型排污沟渠现状</w:t>
      </w:r>
    </w:p>
    <w:p>
      <w:pPr>
        <w:spacing w:line="500" w:lineRule="exact"/>
        <w:ind w:firstLine="2108" w:firstLineChars="1000"/>
        <w:jc w:val="both"/>
        <w:rPr>
          <w:rFonts w:asciiTheme="minorEastAsia" w:hAnsiTheme="minorEastAsia" w:eastAsiaTheme="minorEastAsia" w:cstheme="minorEastAsia"/>
          <w:color w:val="auto"/>
          <w:sz w:val="24"/>
          <w:szCs w:val="24"/>
          <w:lang w:val="en-US" w:bidi="ar-SA"/>
        </w:rPr>
      </w:pPr>
      <w:r>
        <w:rPr>
          <w:rFonts w:hint="eastAsia" w:asciiTheme="minorEastAsia" w:hAnsiTheme="minorEastAsia" w:eastAsiaTheme="minorEastAsia" w:cstheme="minorEastAsia"/>
          <w:b/>
          <w:color w:val="auto"/>
          <w:sz w:val="21"/>
          <w:szCs w:val="21"/>
        </w:rPr>
        <w:t>图3.2-</w:t>
      </w:r>
      <w:r>
        <w:rPr>
          <w:rFonts w:hint="eastAsia" w:asciiTheme="minorEastAsia" w:hAnsiTheme="minorEastAsia" w:eastAsiaTheme="minorEastAsia" w:cstheme="minorEastAsia"/>
          <w:b/>
          <w:color w:val="auto"/>
          <w:sz w:val="21"/>
          <w:szCs w:val="21"/>
          <w:lang w:val="en-US"/>
        </w:rPr>
        <w:t>2</w:t>
      </w:r>
      <w:r>
        <w:rPr>
          <w:rFonts w:hint="eastAsia" w:asciiTheme="minorEastAsia" w:hAnsiTheme="minorEastAsia" w:eastAsiaTheme="minorEastAsia" w:cstheme="minorEastAsia"/>
          <w:b/>
          <w:color w:val="auto"/>
          <w:sz w:val="21"/>
          <w:szCs w:val="21"/>
        </w:rPr>
        <w:t xml:space="preserve">  自然村典型排污沟渠现状</w:t>
      </w:r>
    </w:p>
    <w:p>
      <w:pPr>
        <w:pStyle w:val="32"/>
        <w:numPr>
          <w:ilvl w:val="3"/>
          <w:numId w:val="7"/>
        </w:numPr>
        <w:tabs>
          <w:tab w:val="left" w:pos="2400"/>
        </w:tabs>
        <w:spacing w:line="500" w:lineRule="exact"/>
        <w:jc w:val="both"/>
        <w:rPr>
          <w:rFonts w:asciiTheme="minorEastAsia" w:hAnsiTheme="minorEastAsia" w:eastAsiaTheme="minorEastAsia" w:cstheme="minorEastAsia"/>
          <w:b/>
          <w:color w:val="auto"/>
          <w:sz w:val="24"/>
          <w:szCs w:val="24"/>
        </w:rPr>
      </w:pPr>
      <w:bookmarkStart w:id="36" w:name="_Toc28486_WPSOffice_Level3"/>
      <w:r>
        <w:rPr>
          <w:rFonts w:hint="eastAsia" w:asciiTheme="minorEastAsia" w:hAnsiTheme="minorEastAsia" w:eastAsiaTheme="minorEastAsia" w:cstheme="minorEastAsia"/>
          <w:b/>
          <w:color w:val="auto"/>
          <w:sz w:val="24"/>
          <w:szCs w:val="24"/>
        </w:rPr>
        <w:t>污水处理设施现状</w:t>
      </w:r>
      <w:bookmarkEnd w:id="36"/>
    </w:p>
    <w:p>
      <w:pPr>
        <w:pStyle w:val="10"/>
        <w:spacing w:line="500" w:lineRule="exact"/>
        <w:ind w:firstLine="480" w:firstLineChars="200"/>
        <w:jc w:val="both"/>
        <w:rPr>
          <w:rFonts w:asciiTheme="minorEastAsia" w:hAnsiTheme="minorEastAsia" w:eastAsiaTheme="minorEastAsia" w:cstheme="minorEastAsia"/>
          <w:color w:val="auto"/>
          <w:sz w:val="24"/>
          <w:szCs w:val="24"/>
          <w:lang w:val="en-US"/>
        </w:rPr>
      </w:pPr>
      <w:bookmarkStart w:id="37" w:name="_Toc23603_WPSOffice_Level3"/>
      <w:r>
        <w:rPr>
          <w:rFonts w:hint="eastAsia" w:asciiTheme="minorEastAsia" w:hAnsiTheme="minorEastAsia" w:eastAsiaTheme="minorEastAsia" w:cstheme="minorEastAsia"/>
          <w:color w:val="auto"/>
          <w:sz w:val="24"/>
          <w:szCs w:val="24"/>
        </w:rPr>
        <w:t>（1）农村污水处理设施现状</w:t>
      </w:r>
      <w:bookmarkEnd w:id="37"/>
      <w:r>
        <w:rPr>
          <w:rFonts w:hint="eastAsia" w:asciiTheme="minorEastAsia" w:hAnsiTheme="minorEastAsia" w:eastAsiaTheme="minorEastAsia" w:cstheme="minorEastAsia"/>
          <w:color w:val="auto"/>
          <w:sz w:val="24"/>
          <w:szCs w:val="24"/>
        </w:rPr>
        <w:t>罗定市农村污水处理设施较为缺乏，大部分行政村及自然村未建设污水处理设施。2017年前罗定市选择了30个自然村作为农村污水处理的示范性试点，采用“厌氧+人工湿地”工艺建设农村污水处理设施。截止到</w:t>
      </w:r>
      <w:r>
        <w:rPr>
          <w:rFonts w:hint="eastAsia" w:asciiTheme="minorEastAsia" w:hAnsiTheme="minorEastAsia" w:eastAsiaTheme="minorEastAsia" w:cstheme="minorEastAsia"/>
          <w:color w:val="auto"/>
          <w:sz w:val="24"/>
          <w:szCs w:val="24"/>
          <w:lang w:val="en-US"/>
        </w:rPr>
        <w:t>2022年，农村污水设施有所增加。</w:t>
      </w:r>
    </w:p>
    <w:p>
      <w:pPr>
        <w:spacing w:line="500" w:lineRule="exact"/>
        <w:ind w:firstLine="2108" w:firstLineChars="1000"/>
        <w:jc w:val="both"/>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表3.2-1 罗定市在建或已建的农村污水处理设施一览表</w:t>
      </w:r>
    </w:p>
    <w:tbl>
      <w:tblPr>
        <w:tblStyle w:val="27"/>
        <w:tblW w:w="8304"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81"/>
        <w:gridCol w:w="15"/>
        <w:gridCol w:w="4749"/>
        <w:gridCol w:w="285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tblHeader/>
          <w:jc w:val="center"/>
        </w:trPr>
        <w:tc>
          <w:tcPr>
            <w:tcW w:w="681" w:type="dxa"/>
            <w:tcBorders>
              <w:bottom w:val="single" w:color="000000" w:sz="6" w:space="0"/>
              <w:right w:val="single" w:color="000000" w:sz="6" w:space="0"/>
            </w:tcBorders>
            <w:vAlign w:val="center"/>
          </w:tcPr>
          <w:p>
            <w:pPr>
              <w:pStyle w:val="33"/>
              <w:spacing w:line="38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序号</w:t>
            </w:r>
          </w:p>
        </w:tc>
        <w:tc>
          <w:tcPr>
            <w:tcW w:w="4762" w:type="dxa"/>
            <w:gridSpan w:val="2"/>
            <w:tcBorders>
              <w:left w:val="single" w:color="000000" w:sz="6" w:space="0"/>
              <w:bottom w:val="single" w:color="000000" w:sz="6" w:space="0"/>
              <w:right w:val="single" w:color="000000" w:sz="6" w:space="0"/>
            </w:tcBorders>
            <w:vAlign w:val="center"/>
          </w:tcPr>
          <w:p>
            <w:pPr>
              <w:pStyle w:val="33"/>
              <w:spacing w:line="38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农村污水处理设施服务范围</w:t>
            </w:r>
          </w:p>
        </w:tc>
        <w:tc>
          <w:tcPr>
            <w:tcW w:w="2861" w:type="dxa"/>
            <w:tcBorders>
              <w:left w:val="single" w:color="000000" w:sz="6" w:space="0"/>
              <w:bottom w:val="single" w:color="000000" w:sz="6" w:space="0"/>
            </w:tcBorders>
            <w:vAlign w:val="center"/>
          </w:tcPr>
          <w:p>
            <w:pPr>
              <w:pStyle w:val="33"/>
              <w:spacing w:line="38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设计处理规模（m³/d）</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681" w:type="dxa"/>
            <w:tcBorders>
              <w:top w:val="single" w:color="000000" w:sz="6" w:space="0"/>
              <w:bottom w:val="single" w:color="000000" w:sz="6" w:space="0"/>
              <w:right w:val="single" w:color="000000" w:sz="6"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w:t>
            </w:r>
          </w:p>
        </w:tc>
        <w:tc>
          <w:tcPr>
            <w:tcW w:w="4762" w:type="dxa"/>
            <w:gridSpan w:val="2"/>
            <w:tcBorders>
              <w:top w:val="single" w:color="000000" w:sz="6" w:space="0"/>
              <w:left w:val="single" w:color="000000" w:sz="6" w:space="0"/>
              <w:bottom w:val="single" w:color="000000" w:sz="6" w:space="0"/>
              <w:right w:val="single" w:color="000000" w:sz="6"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附城街道丰盛村委张一、张二</w:t>
            </w:r>
          </w:p>
        </w:tc>
        <w:tc>
          <w:tcPr>
            <w:tcW w:w="2861" w:type="dxa"/>
            <w:tcBorders>
              <w:top w:val="single" w:color="000000" w:sz="6" w:space="0"/>
              <w:left w:val="single" w:color="000000" w:sz="6" w:space="0"/>
              <w:bottom w:val="single" w:color="000000" w:sz="6"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50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681" w:type="dxa"/>
            <w:tcBorders>
              <w:top w:val="single" w:color="000000" w:sz="6" w:space="0"/>
              <w:bottom w:val="single" w:color="000000" w:sz="6" w:space="0"/>
              <w:right w:val="single" w:color="000000" w:sz="6"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w:t>
            </w:r>
          </w:p>
        </w:tc>
        <w:tc>
          <w:tcPr>
            <w:tcW w:w="4762" w:type="dxa"/>
            <w:gridSpan w:val="2"/>
            <w:tcBorders>
              <w:top w:val="single" w:color="000000" w:sz="6" w:space="0"/>
              <w:left w:val="single" w:color="000000" w:sz="6" w:space="0"/>
              <w:bottom w:val="single" w:color="000000" w:sz="6" w:space="0"/>
              <w:right w:val="single" w:color="000000" w:sz="6"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附城街道丰盛村委东边村、赖五村、林屋</w:t>
            </w:r>
          </w:p>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村、新中村、崔梁村</w:t>
            </w:r>
          </w:p>
        </w:tc>
        <w:tc>
          <w:tcPr>
            <w:tcW w:w="2861" w:type="dxa"/>
            <w:tcBorders>
              <w:top w:val="single" w:color="000000" w:sz="6" w:space="0"/>
              <w:left w:val="single" w:color="000000" w:sz="6" w:space="0"/>
              <w:bottom w:val="single" w:color="000000" w:sz="6"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20" w:hRule="atLeast"/>
          <w:jc w:val="center"/>
        </w:trPr>
        <w:tc>
          <w:tcPr>
            <w:tcW w:w="681" w:type="dxa"/>
            <w:tcBorders>
              <w:top w:val="single" w:color="000000" w:sz="6" w:space="0"/>
              <w:bottom w:val="single" w:color="000000" w:sz="6" w:space="0"/>
              <w:right w:val="single" w:color="000000" w:sz="6"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3</w:t>
            </w:r>
          </w:p>
        </w:tc>
        <w:tc>
          <w:tcPr>
            <w:tcW w:w="4762" w:type="dxa"/>
            <w:gridSpan w:val="2"/>
            <w:tcBorders>
              <w:top w:val="single" w:color="000000" w:sz="6" w:space="0"/>
              <w:left w:val="single" w:color="000000" w:sz="6" w:space="0"/>
              <w:bottom w:val="single" w:color="000000" w:sz="6" w:space="0"/>
              <w:right w:val="single" w:color="000000" w:sz="6"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双东街道新开坝村</w:t>
            </w:r>
          </w:p>
        </w:tc>
        <w:tc>
          <w:tcPr>
            <w:tcW w:w="2861" w:type="dxa"/>
            <w:tcBorders>
              <w:top w:val="single" w:color="000000" w:sz="6" w:space="0"/>
              <w:left w:val="single" w:color="000000" w:sz="6" w:space="0"/>
              <w:bottom w:val="single" w:color="000000" w:sz="6"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 w:hRule="atLeast"/>
          <w:jc w:val="center"/>
        </w:trPr>
        <w:tc>
          <w:tcPr>
            <w:tcW w:w="681" w:type="dxa"/>
            <w:tcBorders>
              <w:top w:val="single" w:color="000000" w:sz="6" w:space="0"/>
              <w:bottom w:val="single" w:color="000000" w:sz="6" w:space="0"/>
              <w:right w:val="single" w:color="000000" w:sz="6"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4</w:t>
            </w:r>
          </w:p>
        </w:tc>
        <w:tc>
          <w:tcPr>
            <w:tcW w:w="4762" w:type="dxa"/>
            <w:gridSpan w:val="2"/>
            <w:tcBorders>
              <w:top w:val="single" w:color="000000" w:sz="6" w:space="0"/>
              <w:left w:val="single" w:color="000000" w:sz="6" w:space="0"/>
              <w:bottom w:val="single" w:color="000000" w:sz="6" w:space="0"/>
              <w:right w:val="single" w:color="000000" w:sz="6"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素龙街道思围村</w:t>
            </w:r>
          </w:p>
        </w:tc>
        <w:tc>
          <w:tcPr>
            <w:tcW w:w="2861" w:type="dxa"/>
            <w:tcBorders>
              <w:top w:val="single" w:color="000000" w:sz="6" w:space="0"/>
              <w:left w:val="single" w:color="000000" w:sz="6" w:space="0"/>
              <w:bottom w:val="single" w:color="000000" w:sz="6"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696" w:type="dxa"/>
            <w:gridSpan w:val="2"/>
            <w:tcBorders>
              <w:lef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5</w:t>
            </w:r>
          </w:p>
        </w:tc>
        <w:tc>
          <w:tcPr>
            <w:tcW w:w="4752" w:type="dxa"/>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朗塘镇黄金朗村委高树围村</w:t>
            </w:r>
          </w:p>
        </w:tc>
        <w:tc>
          <w:tcPr>
            <w:tcW w:w="2856" w:type="dxa"/>
            <w:tcBorders>
              <w:righ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696" w:type="dxa"/>
            <w:gridSpan w:val="2"/>
            <w:tcBorders>
              <w:lef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6</w:t>
            </w:r>
          </w:p>
        </w:tc>
        <w:tc>
          <w:tcPr>
            <w:tcW w:w="4752" w:type="dxa"/>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朗塘镇黄金朗村委思罗村</w:t>
            </w:r>
          </w:p>
        </w:tc>
        <w:tc>
          <w:tcPr>
            <w:tcW w:w="2856" w:type="dxa"/>
            <w:tcBorders>
              <w:righ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30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696" w:type="dxa"/>
            <w:gridSpan w:val="2"/>
            <w:tcBorders>
              <w:lef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7</w:t>
            </w:r>
          </w:p>
        </w:tc>
        <w:tc>
          <w:tcPr>
            <w:tcW w:w="4752" w:type="dxa"/>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苹塘镇良官村委金桔村</w:t>
            </w:r>
          </w:p>
        </w:tc>
        <w:tc>
          <w:tcPr>
            <w:tcW w:w="2856" w:type="dxa"/>
            <w:tcBorders>
              <w:righ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30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696" w:type="dxa"/>
            <w:gridSpan w:val="2"/>
            <w:tcBorders>
              <w:lef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8</w:t>
            </w:r>
          </w:p>
        </w:tc>
        <w:tc>
          <w:tcPr>
            <w:tcW w:w="4752" w:type="dxa"/>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苹塘镇良官村委金山下马汗塘村</w:t>
            </w:r>
          </w:p>
        </w:tc>
        <w:tc>
          <w:tcPr>
            <w:tcW w:w="2856" w:type="dxa"/>
            <w:tcBorders>
              <w:righ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696" w:type="dxa"/>
            <w:gridSpan w:val="2"/>
            <w:tcBorders>
              <w:lef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9</w:t>
            </w:r>
          </w:p>
        </w:tc>
        <w:tc>
          <w:tcPr>
            <w:tcW w:w="4752" w:type="dxa"/>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围底镇朗社村</w:t>
            </w:r>
          </w:p>
        </w:tc>
        <w:tc>
          <w:tcPr>
            <w:tcW w:w="2856" w:type="dxa"/>
            <w:tcBorders>
              <w:righ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30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696" w:type="dxa"/>
            <w:gridSpan w:val="2"/>
            <w:tcBorders>
              <w:lef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10</w:t>
            </w:r>
          </w:p>
        </w:tc>
        <w:tc>
          <w:tcPr>
            <w:tcW w:w="4752" w:type="dxa"/>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围底镇朗社村委塘角村</w:t>
            </w:r>
          </w:p>
        </w:tc>
        <w:tc>
          <w:tcPr>
            <w:tcW w:w="2856" w:type="dxa"/>
            <w:tcBorders>
              <w:righ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696" w:type="dxa"/>
            <w:gridSpan w:val="2"/>
            <w:tcBorders>
              <w:lef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11</w:t>
            </w:r>
          </w:p>
        </w:tc>
        <w:tc>
          <w:tcPr>
            <w:tcW w:w="4752" w:type="dxa"/>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罗平镇竹围村委竹围村</w:t>
            </w:r>
          </w:p>
        </w:tc>
        <w:tc>
          <w:tcPr>
            <w:tcW w:w="2856" w:type="dxa"/>
            <w:tcBorders>
              <w:righ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696" w:type="dxa"/>
            <w:gridSpan w:val="2"/>
            <w:tcBorders>
              <w:lef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12</w:t>
            </w:r>
          </w:p>
        </w:tc>
        <w:tc>
          <w:tcPr>
            <w:tcW w:w="4752" w:type="dxa"/>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罗平镇黄牛木村委清水塘村</w:t>
            </w:r>
          </w:p>
        </w:tc>
        <w:tc>
          <w:tcPr>
            <w:tcW w:w="2856" w:type="dxa"/>
            <w:tcBorders>
              <w:righ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696" w:type="dxa"/>
            <w:gridSpan w:val="2"/>
            <w:tcBorders>
              <w:lef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13</w:t>
            </w:r>
          </w:p>
        </w:tc>
        <w:tc>
          <w:tcPr>
            <w:tcW w:w="4752" w:type="dxa"/>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罗平镇山田村委坎头村</w:t>
            </w:r>
          </w:p>
        </w:tc>
        <w:tc>
          <w:tcPr>
            <w:tcW w:w="2856" w:type="dxa"/>
            <w:tcBorders>
              <w:righ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696" w:type="dxa"/>
            <w:gridSpan w:val="2"/>
            <w:tcBorders>
              <w:lef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14</w:t>
            </w:r>
          </w:p>
        </w:tc>
        <w:tc>
          <w:tcPr>
            <w:tcW w:w="4752" w:type="dxa"/>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罗平农场三队</w:t>
            </w:r>
          </w:p>
        </w:tc>
        <w:tc>
          <w:tcPr>
            <w:tcW w:w="2856" w:type="dxa"/>
            <w:tcBorders>
              <w:righ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696" w:type="dxa"/>
            <w:gridSpan w:val="2"/>
            <w:tcBorders>
              <w:lef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15</w:t>
            </w:r>
          </w:p>
        </w:tc>
        <w:tc>
          <w:tcPr>
            <w:tcW w:w="4752" w:type="dxa"/>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太平镇太东村委岗头山村</w:t>
            </w:r>
          </w:p>
        </w:tc>
        <w:tc>
          <w:tcPr>
            <w:tcW w:w="2856" w:type="dxa"/>
            <w:tcBorders>
              <w:righ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30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696" w:type="dxa"/>
            <w:gridSpan w:val="2"/>
            <w:tcBorders>
              <w:lef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16</w:t>
            </w:r>
          </w:p>
        </w:tc>
        <w:tc>
          <w:tcPr>
            <w:tcW w:w="4752" w:type="dxa"/>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泗纶镇山栗村委栗场村</w:t>
            </w:r>
          </w:p>
        </w:tc>
        <w:tc>
          <w:tcPr>
            <w:tcW w:w="2856" w:type="dxa"/>
            <w:tcBorders>
              <w:righ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696" w:type="dxa"/>
            <w:gridSpan w:val="2"/>
            <w:tcBorders>
              <w:lef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17</w:t>
            </w:r>
          </w:p>
        </w:tc>
        <w:tc>
          <w:tcPr>
            <w:tcW w:w="4752" w:type="dxa"/>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黎少镇波塘村委榃安口村</w:t>
            </w:r>
          </w:p>
        </w:tc>
        <w:tc>
          <w:tcPr>
            <w:tcW w:w="2856" w:type="dxa"/>
            <w:tcBorders>
              <w:righ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696" w:type="dxa"/>
            <w:gridSpan w:val="2"/>
            <w:tcBorders>
              <w:lef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18</w:t>
            </w:r>
          </w:p>
        </w:tc>
        <w:tc>
          <w:tcPr>
            <w:tcW w:w="4752" w:type="dxa"/>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黎少镇田心村委牛角坝村</w:t>
            </w:r>
          </w:p>
        </w:tc>
        <w:tc>
          <w:tcPr>
            <w:tcW w:w="2856" w:type="dxa"/>
            <w:tcBorders>
              <w:righ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696" w:type="dxa"/>
            <w:gridSpan w:val="2"/>
            <w:tcBorders>
              <w:lef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19</w:t>
            </w:r>
          </w:p>
        </w:tc>
        <w:tc>
          <w:tcPr>
            <w:tcW w:w="4752" w:type="dxa"/>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金鸡镇洪塘村委田心村</w:t>
            </w:r>
          </w:p>
        </w:tc>
        <w:tc>
          <w:tcPr>
            <w:tcW w:w="2856" w:type="dxa"/>
            <w:tcBorders>
              <w:righ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30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696" w:type="dxa"/>
            <w:gridSpan w:val="2"/>
            <w:tcBorders>
              <w:lef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w:t>
            </w:r>
          </w:p>
        </w:tc>
        <w:tc>
          <w:tcPr>
            <w:tcW w:w="4752" w:type="dxa"/>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金鸡镇坪塘村委化龙岗村</w:t>
            </w:r>
          </w:p>
        </w:tc>
        <w:tc>
          <w:tcPr>
            <w:tcW w:w="2856" w:type="dxa"/>
            <w:tcBorders>
              <w:righ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696" w:type="dxa"/>
            <w:gridSpan w:val="2"/>
            <w:tcBorders>
              <w:lef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21</w:t>
            </w:r>
          </w:p>
        </w:tc>
        <w:tc>
          <w:tcPr>
            <w:tcW w:w="4752" w:type="dxa"/>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金鸡镇黎垌村</w:t>
            </w:r>
          </w:p>
        </w:tc>
        <w:tc>
          <w:tcPr>
            <w:tcW w:w="2856" w:type="dxa"/>
            <w:tcBorders>
              <w:righ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696" w:type="dxa"/>
            <w:gridSpan w:val="2"/>
            <w:tcBorders>
              <w:lef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22</w:t>
            </w:r>
          </w:p>
        </w:tc>
        <w:tc>
          <w:tcPr>
            <w:tcW w:w="4752" w:type="dxa"/>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金鸡镇大罩村</w:t>
            </w:r>
          </w:p>
        </w:tc>
        <w:tc>
          <w:tcPr>
            <w:tcW w:w="2856" w:type="dxa"/>
            <w:tcBorders>
              <w:righ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696" w:type="dxa"/>
            <w:gridSpan w:val="2"/>
            <w:tcBorders>
              <w:lef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23</w:t>
            </w:r>
          </w:p>
        </w:tc>
        <w:tc>
          <w:tcPr>
            <w:tcW w:w="4752" w:type="dxa"/>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罗镜镇塘涌村</w:t>
            </w:r>
          </w:p>
        </w:tc>
        <w:tc>
          <w:tcPr>
            <w:tcW w:w="2856" w:type="dxa"/>
            <w:tcBorders>
              <w:righ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20" w:hRule="atLeast"/>
          <w:jc w:val="center"/>
        </w:trPr>
        <w:tc>
          <w:tcPr>
            <w:tcW w:w="696" w:type="dxa"/>
            <w:gridSpan w:val="2"/>
            <w:tcBorders>
              <w:lef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24</w:t>
            </w:r>
          </w:p>
        </w:tc>
        <w:tc>
          <w:tcPr>
            <w:tcW w:w="4752" w:type="dxa"/>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罗镜镇龙星村委古调坡村</w:t>
            </w:r>
          </w:p>
        </w:tc>
        <w:tc>
          <w:tcPr>
            <w:tcW w:w="2856" w:type="dxa"/>
            <w:tcBorders>
              <w:righ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696" w:type="dxa"/>
            <w:gridSpan w:val="2"/>
            <w:tcBorders>
              <w:lef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25</w:t>
            </w:r>
          </w:p>
        </w:tc>
        <w:tc>
          <w:tcPr>
            <w:tcW w:w="4752" w:type="dxa"/>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罗镜镇镜南村委双凤村</w:t>
            </w:r>
          </w:p>
        </w:tc>
        <w:tc>
          <w:tcPr>
            <w:tcW w:w="2856" w:type="dxa"/>
            <w:tcBorders>
              <w:righ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696" w:type="dxa"/>
            <w:gridSpan w:val="2"/>
            <w:tcBorders>
              <w:lef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26</w:t>
            </w:r>
          </w:p>
        </w:tc>
        <w:tc>
          <w:tcPr>
            <w:tcW w:w="4752" w:type="dxa"/>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罗镜镇红光村委崔屋村</w:t>
            </w:r>
          </w:p>
        </w:tc>
        <w:tc>
          <w:tcPr>
            <w:tcW w:w="2856" w:type="dxa"/>
            <w:tcBorders>
              <w:righ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696" w:type="dxa"/>
            <w:gridSpan w:val="2"/>
            <w:tcBorders>
              <w:lef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27</w:t>
            </w:r>
          </w:p>
        </w:tc>
        <w:tc>
          <w:tcPr>
            <w:tcW w:w="4752" w:type="dxa"/>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太平镇洞美村委社主背村</w:t>
            </w:r>
          </w:p>
        </w:tc>
        <w:tc>
          <w:tcPr>
            <w:tcW w:w="2856" w:type="dxa"/>
            <w:tcBorders>
              <w:righ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696" w:type="dxa"/>
            <w:gridSpan w:val="2"/>
            <w:tcBorders>
              <w:lef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28</w:t>
            </w:r>
          </w:p>
        </w:tc>
        <w:tc>
          <w:tcPr>
            <w:tcW w:w="4752" w:type="dxa"/>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龙湾镇大石村委中湴、长湾村</w:t>
            </w:r>
          </w:p>
        </w:tc>
        <w:tc>
          <w:tcPr>
            <w:tcW w:w="2856" w:type="dxa"/>
            <w:tcBorders>
              <w:righ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30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696" w:type="dxa"/>
            <w:gridSpan w:val="2"/>
            <w:tcBorders>
              <w:lef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29</w:t>
            </w:r>
          </w:p>
        </w:tc>
        <w:tc>
          <w:tcPr>
            <w:tcW w:w="4752" w:type="dxa"/>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加益镇合江村委红星村</w:t>
            </w:r>
          </w:p>
        </w:tc>
        <w:tc>
          <w:tcPr>
            <w:tcW w:w="2856" w:type="dxa"/>
            <w:tcBorders>
              <w:righ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696" w:type="dxa"/>
            <w:gridSpan w:val="2"/>
            <w:tcBorders>
              <w:left w:val="single" w:color="000000" w:sz="2" w:space="0"/>
              <w:bottom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30</w:t>
            </w:r>
          </w:p>
        </w:tc>
        <w:tc>
          <w:tcPr>
            <w:tcW w:w="4752" w:type="dxa"/>
            <w:tcBorders>
              <w:bottom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加益镇合江村委东风村</w:t>
            </w:r>
          </w:p>
        </w:tc>
        <w:tc>
          <w:tcPr>
            <w:tcW w:w="2856" w:type="dxa"/>
            <w:tcBorders>
              <w:bottom w:val="single" w:color="000000" w:sz="2" w:space="0"/>
              <w:right w:val="single" w:color="000000" w:sz="2" w:space="0"/>
            </w:tcBorders>
            <w:vAlign w:val="center"/>
          </w:tcPr>
          <w:p>
            <w:pPr>
              <w:pStyle w:val="33"/>
              <w:spacing w:line="38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w:t>
            </w:r>
          </w:p>
        </w:tc>
      </w:tr>
    </w:tbl>
    <w:p>
      <w:pPr>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注：表格信息由</w:t>
      </w:r>
      <w:r>
        <w:rPr>
          <w:rFonts w:hint="eastAsia" w:asciiTheme="minorEastAsia" w:hAnsiTheme="minorEastAsia" w:eastAsiaTheme="minorEastAsia" w:cstheme="minorEastAsia"/>
          <w:color w:val="auto"/>
          <w:spacing w:val="-5"/>
          <w:sz w:val="24"/>
          <w:szCs w:val="24"/>
        </w:rPr>
        <w:t>云浮市生态环境局罗定分局</w:t>
      </w:r>
      <w:r>
        <w:rPr>
          <w:rFonts w:hint="eastAsia" w:asciiTheme="minorEastAsia" w:hAnsiTheme="minorEastAsia" w:eastAsiaTheme="minorEastAsia" w:cstheme="minorEastAsia"/>
          <w:color w:val="auto"/>
          <w:sz w:val="24"/>
          <w:szCs w:val="24"/>
        </w:rPr>
        <w:t>提供。</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2018</w:t>
      </w:r>
      <w:r>
        <w:rPr>
          <w:rFonts w:hint="eastAsia" w:asciiTheme="minorEastAsia" w:hAnsiTheme="minorEastAsia" w:eastAsiaTheme="minorEastAsia" w:cstheme="minorEastAsia"/>
          <w:color w:val="auto"/>
          <w:spacing w:val="-17"/>
          <w:sz w:val="24"/>
          <w:szCs w:val="24"/>
        </w:rPr>
        <w:t xml:space="preserve"> 年，罗定市又采用了 </w:t>
      </w:r>
      <w:r>
        <w:rPr>
          <w:rFonts w:hint="eastAsia" w:asciiTheme="minorEastAsia" w:hAnsiTheme="minorEastAsia" w:eastAsiaTheme="minorEastAsia" w:cstheme="minorEastAsia"/>
          <w:color w:val="auto"/>
          <w:sz w:val="24"/>
          <w:szCs w:val="24"/>
        </w:rPr>
        <w:t>PPP</w:t>
      </w:r>
      <w:r>
        <w:rPr>
          <w:rFonts w:hint="eastAsia" w:asciiTheme="minorEastAsia" w:hAnsiTheme="minorEastAsia" w:eastAsiaTheme="minorEastAsia" w:cstheme="minorEastAsia"/>
          <w:color w:val="auto"/>
          <w:spacing w:val="-12"/>
          <w:sz w:val="24"/>
          <w:szCs w:val="24"/>
        </w:rPr>
        <w:t xml:space="preserve"> 的方式，对以下各镇街的自</w:t>
      </w:r>
      <w:r>
        <w:rPr>
          <w:rFonts w:hint="eastAsia" w:asciiTheme="minorEastAsia" w:hAnsiTheme="minorEastAsia" w:eastAsiaTheme="minorEastAsia" w:cstheme="minorEastAsia"/>
          <w:color w:val="auto"/>
          <w:spacing w:val="-10"/>
          <w:sz w:val="24"/>
          <w:szCs w:val="24"/>
        </w:rPr>
        <w:t>然村污水处理设施点进行了规划和建设，基本上采用“厌</w:t>
      </w:r>
      <w:r>
        <w:rPr>
          <w:rFonts w:hint="eastAsia" w:asciiTheme="minorEastAsia" w:hAnsiTheme="minorEastAsia" w:eastAsiaTheme="minorEastAsia" w:cstheme="minorEastAsia"/>
          <w:color w:val="auto"/>
          <w:spacing w:val="-22"/>
          <w:sz w:val="24"/>
          <w:szCs w:val="24"/>
        </w:rPr>
        <w:t>氧</w:t>
      </w: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15"/>
          <w:sz w:val="24"/>
          <w:szCs w:val="24"/>
        </w:rPr>
        <w:t>人工湿地”工艺建设农村污水处理设施，建设规模清单</w:t>
      </w:r>
      <w:r>
        <w:rPr>
          <w:rFonts w:hint="eastAsia" w:asciiTheme="minorEastAsia" w:hAnsiTheme="minorEastAsia" w:eastAsiaTheme="minorEastAsia" w:cstheme="minorEastAsia"/>
          <w:color w:val="auto"/>
          <w:spacing w:val="-6"/>
          <w:sz w:val="24"/>
          <w:szCs w:val="24"/>
        </w:rPr>
        <w:t>见下表。</w:t>
      </w:r>
    </w:p>
    <w:p>
      <w:pPr>
        <w:spacing w:line="500" w:lineRule="exact"/>
        <w:ind w:firstLine="2108" w:firstLineChars="1000"/>
        <w:jc w:val="both"/>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表3.2-2 罗定市农村污水处理设施点建设方案</w:t>
      </w:r>
    </w:p>
    <w:tbl>
      <w:tblPr>
        <w:tblStyle w:val="27"/>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439"/>
        <w:gridCol w:w="2438"/>
        <w:gridCol w:w="2663"/>
        <w:gridCol w:w="246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b/>
                <w:bCs/>
                <w:i w:val="0"/>
                <w:iCs w:val="0"/>
                <w:color w:val="auto"/>
                <w:sz w:val="22"/>
                <w:szCs w:val="22"/>
                <w:u w:val="none"/>
              </w:rPr>
            </w:pPr>
            <w:r>
              <w:rPr>
                <w:rFonts w:hint="eastAsia" w:ascii="宋体" w:hAnsi="宋体" w:eastAsia="宋体" w:cs="宋体"/>
                <w:b/>
                <w:bCs/>
                <w:i w:val="0"/>
                <w:iCs w:val="0"/>
                <w:color w:val="auto"/>
                <w:kern w:val="0"/>
                <w:sz w:val="22"/>
                <w:szCs w:val="22"/>
                <w:u w:val="none"/>
                <w:lang w:val="en-US" w:eastAsia="zh-CN" w:bidi="ar"/>
              </w:rPr>
              <w:t>序号</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b/>
                <w:bCs/>
                <w:i w:val="0"/>
                <w:iCs w:val="0"/>
                <w:color w:val="auto"/>
                <w:sz w:val="22"/>
                <w:szCs w:val="22"/>
                <w:u w:val="none"/>
              </w:rPr>
            </w:pPr>
            <w:r>
              <w:rPr>
                <w:rFonts w:hint="eastAsia" w:ascii="宋体" w:hAnsi="宋体" w:eastAsia="宋体" w:cs="宋体"/>
                <w:b/>
                <w:bCs/>
                <w:i w:val="0"/>
                <w:iCs w:val="0"/>
                <w:color w:val="auto"/>
                <w:kern w:val="0"/>
                <w:sz w:val="22"/>
                <w:szCs w:val="22"/>
                <w:u w:val="none"/>
                <w:lang w:val="en-US" w:eastAsia="zh-CN" w:bidi="ar"/>
              </w:rPr>
              <w:t>镇、街</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b/>
                <w:bCs/>
                <w:i w:val="0"/>
                <w:iCs w:val="0"/>
                <w:color w:val="auto"/>
                <w:sz w:val="22"/>
                <w:szCs w:val="22"/>
                <w:u w:val="none"/>
              </w:rPr>
            </w:pPr>
            <w:r>
              <w:rPr>
                <w:rFonts w:hint="eastAsia" w:ascii="宋体" w:hAnsi="宋体" w:eastAsia="宋体" w:cs="宋体"/>
                <w:b/>
                <w:bCs/>
                <w:i w:val="0"/>
                <w:iCs w:val="0"/>
                <w:color w:val="auto"/>
                <w:kern w:val="0"/>
                <w:sz w:val="22"/>
                <w:szCs w:val="22"/>
                <w:u w:val="none"/>
                <w:lang w:val="en-US" w:eastAsia="zh-CN" w:bidi="ar"/>
              </w:rPr>
              <w:t>行政村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b/>
                <w:bCs/>
                <w:i w:val="0"/>
                <w:iCs w:val="0"/>
                <w:color w:val="auto"/>
                <w:sz w:val="22"/>
                <w:szCs w:val="22"/>
                <w:u w:val="none"/>
              </w:rPr>
            </w:pPr>
            <w:r>
              <w:rPr>
                <w:rFonts w:hint="eastAsia" w:ascii="宋体" w:hAnsi="宋体" w:eastAsia="宋体" w:cs="宋体"/>
                <w:b/>
                <w:bCs/>
                <w:i w:val="0"/>
                <w:iCs w:val="0"/>
                <w:color w:val="auto"/>
                <w:kern w:val="0"/>
                <w:sz w:val="22"/>
                <w:szCs w:val="22"/>
                <w:u w:val="none"/>
                <w:lang w:val="en-US" w:eastAsia="zh-CN" w:bidi="ar"/>
              </w:rPr>
              <w:t>自然村</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1</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素龙街道</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七和</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茶仔山</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2</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素龙街道</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龙税</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古城角</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3</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附城街道</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丰盛村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地心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4</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黎少镇</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榃濮村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坑口</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5</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黎少镇</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榃濮村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风良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6</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生江镇</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生江村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北冲</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7</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素龙镇</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沙步村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上渡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8</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黎少镇</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圆珠村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圆珠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9</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连州镇</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木坪村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松木脚</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10</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生江镇</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生江村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新蓬</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11</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素龙街道</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上宁村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七根松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12</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双东街道</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大同村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界牌</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13</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双东街道</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以民村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杉塝</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14</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黎少镇</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榃泽迳村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枫梢</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15</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围底</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文岗村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新屋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16</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船步镇</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船东村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开阳新村</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17</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连州镇</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万车村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古屯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18</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ind w:firstLineChars="10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华石镇</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莫村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下潭桥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19</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素龙街道</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上宁村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上前表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20</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泗纶镇</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连城村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七堆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21</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黎少镇</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榃濮村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鱼花塘</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22</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华石镇</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木埇口村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梅乐村</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23</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围底镇</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文岗村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塘头岗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24</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围底镇</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文岗村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石古岗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25</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金鸡镇</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大垌村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龙眼塘</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26</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金鸡镇</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大垌村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蒲芦塘</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27</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金鸡镇</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大垌村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清水村</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28</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华石镇</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马路村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步周岗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29</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华石镇</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荔枝埇村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新寨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30</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太平镇</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埒口村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光第</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31</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罗平镇</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双莲村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平龙</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32</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罗平镇</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榃北村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彭华楼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33</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太平镇</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木利村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木利</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34</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太平镇</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木利村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新生</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35</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素龙街道</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大榄村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大榄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36</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素龙街道</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大榄村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义社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79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37</w:t>
            </w:r>
          </w:p>
        </w:tc>
        <w:tc>
          <w:tcPr>
            <w:tcW w:w="135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素龙街道</w:t>
            </w:r>
          </w:p>
        </w:tc>
        <w:tc>
          <w:tcPr>
            <w:tcW w:w="147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大榄村</w:t>
            </w:r>
          </w:p>
        </w:tc>
        <w:tc>
          <w:tcPr>
            <w:tcW w:w="136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top"/>
              <w:rPr>
                <w:rFonts w:hint="eastAsia" w:ascii="宋体" w:hAnsi="宋体" w:eastAsia="宋体" w:cs="宋体"/>
                <w:i w:val="0"/>
                <w:iCs w:val="0"/>
                <w:color w:val="auto"/>
                <w:sz w:val="22"/>
                <w:szCs w:val="22"/>
                <w:u w:val="none"/>
              </w:rPr>
            </w:pPr>
            <w:r>
              <w:rPr>
                <w:rFonts w:hint="eastAsia" w:ascii="宋体" w:hAnsi="宋体" w:eastAsia="宋体" w:cs="宋体"/>
                <w:i w:val="0"/>
                <w:iCs w:val="0"/>
                <w:color w:val="auto"/>
                <w:kern w:val="0"/>
                <w:sz w:val="22"/>
                <w:szCs w:val="22"/>
                <w:u w:val="none"/>
                <w:lang w:val="en-US" w:eastAsia="zh-CN" w:bidi="ar"/>
              </w:rPr>
              <w:t>上亨</w:t>
            </w:r>
          </w:p>
        </w:tc>
      </w:tr>
    </w:tbl>
    <w:p>
      <w:pPr>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 xml:space="preserve">表3.2-3 </w:t>
      </w:r>
      <w:r>
        <w:rPr>
          <w:rFonts w:hint="eastAsia" w:asciiTheme="minorEastAsia" w:hAnsiTheme="minorEastAsia" w:eastAsiaTheme="minorEastAsia" w:cstheme="minorEastAsia"/>
          <w:b/>
          <w:color w:val="auto"/>
          <w:sz w:val="21"/>
          <w:szCs w:val="21"/>
          <w:lang w:val="en-US"/>
        </w:rPr>
        <w:t xml:space="preserve"> </w:t>
      </w:r>
      <w:bookmarkStart w:id="38" w:name="_Toc19063_WPSOffice_Level2"/>
      <w:r>
        <w:rPr>
          <w:rFonts w:hint="eastAsia" w:asciiTheme="minorEastAsia" w:hAnsiTheme="minorEastAsia" w:eastAsiaTheme="minorEastAsia" w:cstheme="minorEastAsia"/>
          <w:b/>
          <w:color w:val="auto"/>
          <w:sz w:val="21"/>
          <w:szCs w:val="21"/>
        </w:rPr>
        <w:t>市扶贫办</w:t>
      </w:r>
      <w:r>
        <w:rPr>
          <w:rFonts w:hint="eastAsia" w:asciiTheme="minorEastAsia" w:hAnsiTheme="minorEastAsia" w:eastAsiaTheme="minorEastAsia" w:cstheme="minorEastAsia"/>
          <w:b/>
          <w:color w:val="auto"/>
          <w:sz w:val="21"/>
          <w:szCs w:val="21"/>
          <w:lang w:val="en-US" w:eastAsia="zh-CN"/>
        </w:rPr>
        <w:t>已完成名单</w:t>
      </w:r>
    </w:p>
    <w:bookmarkEnd w:id="38"/>
    <w:tbl>
      <w:tblPr>
        <w:tblStyle w:val="27"/>
        <w:tblW w:w="4999" w:type="pct"/>
        <w:tblInd w:w="0" w:type="dxa"/>
        <w:tblBorders>
          <w:top w:val="single" w:color="836967" w:sz="4" w:space="0"/>
          <w:left w:val="single" w:color="836967" w:sz="4" w:space="0"/>
          <w:bottom w:val="single" w:color="836967" w:sz="4" w:space="0"/>
          <w:right w:val="single" w:color="836967" w:sz="4" w:space="0"/>
          <w:insideH w:val="single" w:color="836967" w:sz="4" w:space="0"/>
          <w:insideV w:val="single" w:color="836967" w:sz="4" w:space="0"/>
        </w:tblBorders>
        <w:tblLayout w:type="autofit"/>
        <w:tblCellMar>
          <w:top w:w="0" w:type="dxa"/>
          <w:left w:w="0" w:type="dxa"/>
          <w:bottom w:w="0" w:type="dxa"/>
          <w:right w:w="0" w:type="dxa"/>
        </w:tblCellMar>
      </w:tblPr>
      <w:tblGrid>
        <w:gridCol w:w="1067"/>
        <w:gridCol w:w="2514"/>
        <w:gridCol w:w="2704"/>
        <w:gridCol w:w="2514"/>
      </w:tblGrid>
      <w:tr>
        <w:tblPrEx>
          <w:tblBorders>
            <w:top w:val="single" w:color="836967" w:sz="4" w:space="0"/>
            <w:left w:val="single" w:color="836967" w:sz="4" w:space="0"/>
            <w:bottom w:val="single" w:color="836967" w:sz="4" w:space="0"/>
            <w:right w:val="single" w:color="836967" w:sz="4" w:space="0"/>
            <w:insideH w:val="single" w:color="836967" w:sz="4" w:space="0"/>
            <w:insideV w:val="single" w:color="836967" w:sz="4" w:space="0"/>
          </w:tblBorders>
          <w:tblCellMar>
            <w:top w:w="0" w:type="dxa"/>
            <w:left w:w="0" w:type="dxa"/>
            <w:bottom w:w="0" w:type="dxa"/>
            <w:right w:w="0" w:type="dxa"/>
          </w:tblCellMar>
        </w:tblPrEx>
        <w:trPr>
          <w:trHeight w:val="662" w:hRule="atLeast"/>
        </w:trPr>
        <w:tc>
          <w:tcPr>
            <w:tcW w:w="606"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b/>
                <w:bCs/>
                <w:i w:val="0"/>
                <w:iCs w:val="0"/>
                <w:color w:val="auto"/>
                <w:kern w:val="0"/>
                <w:sz w:val="22"/>
                <w:szCs w:val="22"/>
                <w:u w:val="none"/>
                <w:lang w:val="en-US" w:eastAsia="zh-CN" w:bidi="ar"/>
              </w:rPr>
              <w:t>序号</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b/>
                <w:bCs/>
                <w:i w:val="0"/>
                <w:iCs w:val="0"/>
                <w:color w:val="auto"/>
                <w:kern w:val="0"/>
                <w:sz w:val="22"/>
                <w:szCs w:val="22"/>
                <w:u w:val="none"/>
                <w:lang w:val="en-US" w:eastAsia="zh-CN" w:bidi="ar"/>
              </w:rPr>
              <w:t>镇、街</w:t>
            </w:r>
          </w:p>
        </w:tc>
        <w:tc>
          <w:tcPr>
            <w:tcW w:w="1536"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b/>
                <w:bCs/>
                <w:i w:val="0"/>
                <w:iCs w:val="0"/>
                <w:color w:val="auto"/>
                <w:kern w:val="0"/>
                <w:sz w:val="22"/>
                <w:szCs w:val="22"/>
                <w:u w:val="none"/>
                <w:lang w:val="en-US" w:eastAsia="zh-CN" w:bidi="ar"/>
              </w:rPr>
              <w:t>行政村</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b/>
                <w:bCs/>
                <w:i w:val="0"/>
                <w:iCs w:val="0"/>
                <w:color w:val="auto"/>
                <w:kern w:val="0"/>
                <w:sz w:val="22"/>
                <w:szCs w:val="22"/>
                <w:u w:val="none"/>
                <w:lang w:val="en-US" w:eastAsia="zh-CN" w:bidi="ar"/>
              </w:rPr>
              <w:t>自然村</w:t>
            </w:r>
          </w:p>
        </w:tc>
      </w:tr>
      <w:tr>
        <w:tblPrEx>
          <w:tblBorders>
            <w:top w:val="single" w:color="836967" w:sz="4" w:space="0"/>
            <w:left w:val="single" w:color="836967" w:sz="4" w:space="0"/>
            <w:bottom w:val="single" w:color="836967" w:sz="4" w:space="0"/>
            <w:right w:val="single" w:color="836967" w:sz="4" w:space="0"/>
            <w:insideH w:val="single" w:color="836967" w:sz="4" w:space="0"/>
            <w:insideV w:val="single" w:color="836967" w:sz="4" w:space="0"/>
          </w:tblBorders>
          <w:tblCellMar>
            <w:top w:w="0" w:type="dxa"/>
            <w:left w:w="0" w:type="dxa"/>
            <w:bottom w:w="0" w:type="dxa"/>
            <w:right w:w="0" w:type="dxa"/>
          </w:tblCellMar>
        </w:tblPrEx>
        <w:trPr>
          <w:trHeight w:val="330" w:hRule="atLeast"/>
        </w:trPr>
        <w:tc>
          <w:tcPr>
            <w:tcW w:w="606"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1</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分界</w:t>
            </w:r>
          </w:p>
        </w:tc>
        <w:tc>
          <w:tcPr>
            <w:tcW w:w="1536"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金田</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上垌头</w:t>
            </w:r>
          </w:p>
        </w:tc>
      </w:tr>
      <w:tr>
        <w:tblPrEx>
          <w:tblBorders>
            <w:top w:val="single" w:color="836967" w:sz="4" w:space="0"/>
            <w:left w:val="single" w:color="836967" w:sz="4" w:space="0"/>
            <w:bottom w:val="single" w:color="836967" w:sz="4" w:space="0"/>
            <w:right w:val="single" w:color="836967" w:sz="4" w:space="0"/>
            <w:insideH w:val="single" w:color="836967" w:sz="4" w:space="0"/>
            <w:insideV w:val="single" w:color="836967" w:sz="4" w:space="0"/>
          </w:tblBorders>
          <w:tblCellMar>
            <w:top w:w="0" w:type="dxa"/>
            <w:left w:w="0" w:type="dxa"/>
            <w:bottom w:w="0" w:type="dxa"/>
            <w:right w:w="0" w:type="dxa"/>
          </w:tblCellMar>
        </w:tblPrEx>
        <w:trPr>
          <w:trHeight w:val="330" w:hRule="atLeast"/>
        </w:trPr>
        <w:tc>
          <w:tcPr>
            <w:tcW w:w="606" w:type="pct"/>
            <w:tcBorders>
              <w:top w:val="nil"/>
            </w:tcBorders>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2</w:t>
            </w:r>
          </w:p>
        </w:tc>
        <w:tc>
          <w:tcPr>
            <w:tcW w:w="1428" w:type="pct"/>
            <w:tcBorders>
              <w:top w:val="nil"/>
            </w:tcBorders>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金鸡</w:t>
            </w:r>
          </w:p>
        </w:tc>
        <w:tc>
          <w:tcPr>
            <w:tcW w:w="1536" w:type="pct"/>
            <w:tcBorders>
              <w:top w:val="nil"/>
            </w:tcBorders>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坪塘</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鸡岭</w:t>
            </w:r>
          </w:p>
        </w:tc>
      </w:tr>
      <w:tr>
        <w:tblPrEx>
          <w:tblBorders>
            <w:top w:val="single" w:color="836967" w:sz="4" w:space="0"/>
            <w:left w:val="single" w:color="836967" w:sz="4" w:space="0"/>
            <w:bottom w:val="single" w:color="836967" w:sz="4" w:space="0"/>
            <w:right w:val="single" w:color="836967" w:sz="4" w:space="0"/>
            <w:insideH w:val="single" w:color="836967" w:sz="4" w:space="0"/>
            <w:insideV w:val="single" w:color="836967" w:sz="4" w:space="0"/>
          </w:tblBorders>
          <w:tblCellMar>
            <w:top w:w="0" w:type="dxa"/>
            <w:left w:w="0" w:type="dxa"/>
            <w:bottom w:w="0" w:type="dxa"/>
            <w:right w:w="0" w:type="dxa"/>
          </w:tblCellMar>
        </w:tblPrEx>
        <w:trPr>
          <w:trHeight w:val="327" w:hRule="atLeast"/>
        </w:trPr>
        <w:tc>
          <w:tcPr>
            <w:tcW w:w="606"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3</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朗塘</w:t>
            </w:r>
          </w:p>
        </w:tc>
        <w:tc>
          <w:tcPr>
            <w:tcW w:w="1536"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朗南</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坭寨</w:t>
            </w:r>
          </w:p>
        </w:tc>
      </w:tr>
      <w:tr>
        <w:tblPrEx>
          <w:tblBorders>
            <w:top w:val="single" w:color="836967" w:sz="4" w:space="0"/>
            <w:left w:val="single" w:color="836967" w:sz="4" w:space="0"/>
            <w:bottom w:val="single" w:color="836967" w:sz="4" w:space="0"/>
            <w:right w:val="single" w:color="836967" w:sz="4" w:space="0"/>
            <w:insideH w:val="single" w:color="836967" w:sz="4" w:space="0"/>
            <w:insideV w:val="single" w:color="836967" w:sz="4" w:space="0"/>
          </w:tblBorders>
          <w:tblCellMar>
            <w:top w:w="0" w:type="dxa"/>
            <w:left w:w="0" w:type="dxa"/>
            <w:bottom w:w="0" w:type="dxa"/>
            <w:right w:w="0" w:type="dxa"/>
          </w:tblCellMar>
        </w:tblPrEx>
        <w:trPr>
          <w:trHeight w:val="330" w:hRule="atLeast"/>
        </w:trPr>
        <w:tc>
          <w:tcPr>
            <w:tcW w:w="606"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4</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朗塘</w:t>
            </w:r>
          </w:p>
        </w:tc>
        <w:tc>
          <w:tcPr>
            <w:tcW w:w="1536"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朗南</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九座屋</w:t>
            </w:r>
          </w:p>
        </w:tc>
      </w:tr>
      <w:tr>
        <w:tblPrEx>
          <w:tblBorders>
            <w:top w:val="single" w:color="836967" w:sz="4" w:space="0"/>
            <w:left w:val="single" w:color="836967" w:sz="4" w:space="0"/>
            <w:bottom w:val="single" w:color="836967" w:sz="4" w:space="0"/>
            <w:right w:val="single" w:color="836967" w:sz="4" w:space="0"/>
            <w:insideH w:val="single" w:color="836967" w:sz="4" w:space="0"/>
            <w:insideV w:val="single" w:color="836967" w:sz="4" w:space="0"/>
          </w:tblBorders>
          <w:tblCellMar>
            <w:top w:w="0" w:type="dxa"/>
            <w:left w:w="0" w:type="dxa"/>
            <w:bottom w:w="0" w:type="dxa"/>
            <w:right w:w="0" w:type="dxa"/>
          </w:tblCellMar>
        </w:tblPrEx>
        <w:trPr>
          <w:trHeight w:val="332" w:hRule="atLeast"/>
        </w:trPr>
        <w:tc>
          <w:tcPr>
            <w:tcW w:w="606" w:type="pct"/>
            <w:tcBorders>
              <w:top w:val="nil"/>
            </w:tcBorders>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5</w:t>
            </w:r>
          </w:p>
        </w:tc>
        <w:tc>
          <w:tcPr>
            <w:tcW w:w="1428" w:type="pct"/>
            <w:tcBorders>
              <w:top w:val="nil"/>
            </w:tcBorders>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罗平</w:t>
            </w:r>
          </w:p>
        </w:tc>
        <w:tc>
          <w:tcPr>
            <w:tcW w:w="1536" w:type="pct"/>
            <w:tcBorders>
              <w:top w:val="nil"/>
            </w:tcBorders>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榃阳</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榃阳</w:t>
            </w:r>
          </w:p>
        </w:tc>
      </w:tr>
      <w:tr>
        <w:tblPrEx>
          <w:tblBorders>
            <w:top w:val="single" w:color="836967" w:sz="4" w:space="0"/>
            <w:left w:val="single" w:color="836967" w:sz="4" w:space="0"/>
            <w:bottom w:val="single" w:color="836967" w:sz="4" w:space="0"/>
            <w:right w:val="single" w:color="836967" w:sz="4" w:space="0"/>
            <w:insideH w:val="single" w:color="836967" w:sz="4" w:space="0"/>
            <w:insideV w:val="single" w:color="836967" w:sz="4" w:space="0"/>
          </w:tblBorders>
          <w:tblCellMar>
            <w:top w:w="0" w:type="dxa"/>
            <w:left w:w="0" w:type="dxa"/>
            <w:bottom w:w="0" w:type="dxa"/>
            <w:right w:w="0" w:type="dxa"/>
          </w:tblCellMar>
        </w:tblPrEx>
        <w:trPr>
          <w:trHeight w:val="330" w:hRule="atLeast"/>
        </w:trPr>
        <w:tc>
          <w:tcPr>
            <w:tcW w:w="606" w:type="pct"/>
            <w:tcBorders>
              <w:top w:val="nil"/>
            </w:tcBorders>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6</w:t>
            </w:r>
          </w:p>
        </w:tc>
        <w:tc>
          <w:tcPr>
            <w:tcW w:w="1428" w:type="pct"/>
            <w:tcBorders>
              <w:top w:val="nil"/>
            </w:tcBorders>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罗平</w:t>
            </w:r>
          </w:p>
        </w:tc>
        <w:tc>
          <w:tcPr>
            <w:tcW w:w="1536" w:type="pct"/>
            <w:tcBorders>
              <w:top w:val="nil"/>
            </w:tcBorders>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围头</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雁岗（改至清水村）</w:t>
            </w:r>
          </w:p>
        </w:tc>
      </w:tr>
      <w:tr>
        <w:tblPrEx>
          <w:tblBorders>
            <w:top w:val="single" w:color="836967" w:sz="4" w:space="0"/>
            <w:left w:val="single" w:color="836967" w:sz="4" w:space="0"/>
            <w:bottom w:val="single" w:color="836967" w:sz="4" w:space="0"/>
            <w:right w:val="single" w:color="836967" w:sz="4" w:space="0"/>
            <w:insideH w:val="single" w:color="836967" w:sz="4" w:space="0"/>
            <w:insideV w:val="single" w:color="836967" w:sz="4" w:space="0"/>
          </w:tblBorders>
          <w:tblCellMar>
            <w:top w:w="0" w:type="dxa"/>
            <w:left w:w="0" w:type="dxa"/>
            <w:bottom w:w="0" w:type="dxa"/>
            <w:right w:w="0" w:type="dxa"/>
          </w:tblCellMar>
        </w:tblPrEx>
        <w:trPr>
          <w:trHeight w:val="330" w:hRule="atLeast"/>
        </w:trPr>
        <w:tc>
          <w:tcPr>
            <w:tcW w:w="606"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7</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太平</w:t>
            </w:r>
          </w:p>
        </w:tc>
        <w:tc>
          <w:tcPr>
            <w:tcW w:w="1536"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西良</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翁屋</w:t>
            </w:r>
          </w:p>
        </w:tc>
      </w:tr>
      <w:tr>
        <w:tblPrEx>
          <w:tblBorders>
            <w:top w:val="single" w:color="836967" w:sz="4" w:space="0"/>
            <w:left w:val="single" w:color="836967" w:sz="4" w:space="0"/>
            <w:bottom w:val="single" w:color="836967" w:sz="4" w:space="0"/>
            <w:right w:val="single" w:color="836967" w:sz="4" w:space="0"/>
            <w:insideH w:val="single" w:color="836967" w:sz="4" w:space="0"/>
            <w:insideV w:val="single" w:color="836967" w:sz="4" w:space="0"/>
          </w:tblBorders>
          <w:tblCellMar>
            <w:top w:w="0" w:type="dxa"/>
            <w:left w:w="0" w:type="dxa"/>
            <w:bottom w:w="0" w:type="dxa"/>
            <w:right w:w="0" w:type="dxa"/>
          </w:tblCellMar>
        </w:tblPrEx>
        <w:trPr>
          <w:trHeight w:val="330" w:hRule="atLeast"/>
        </w:trPr>
        <w:tc>
          <w:tcPr>
            <w:tcW w:w="606" w:type="pct"/>
            <w:tcBorders>
              <w:top w:val="nil"/>
            </w:tcBorders>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8</w:t>
            </w:r>
          </w:p>
        </w:tc>
        <w:tc>
          <w:tcPr>
            <w:tcW w:w="1428" w:type="pct"/>
            <w:tcBorders>
              <w:top w:val="nil"/>
            </w:tcBorders>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太平</w:t>
            </w:r>
          </w:p>
        </w:tc>
        <w:tc>
          <w:tcPr>
            <w:tcW w:w="1536" w:type="pct"/>
            <w:tcBorders>
              <w:top w:val="nil"/>
            </w:tcBorders>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西良</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田垌屋</w:t>
            </w:r>
          </w:p>
        </w:tc>
      </w:tr>
      <w:tr>
        <w:tblPrEx>
          <w:tblBorders>
            <w:top w:val="single" w:color="836967" w:sz="4" w:space="0"/>
            <w:left w:val="single" w:color="836967" w:sz="4" w:space="0"/>
            <w:bottom w:val="single" w:color="836967" w:sz="4" w:space="0"/>
            <w:right w:val="single" w:color="836967" w:sz="4" w:space="0"/>
            <w:insideH w:val="single" w:color="836967" w:sz="4" w:space="0"/>
            <w:insideV w:val="single" w:color="836967" w:sz="4" w:space="0"/>
          </w:tblBorders>
          <w:tblCellMar>
            <w:top w:w="0" w:type="dxa"/>
            <w:left w:w="0" w:type="dxa"/>
            <w:bottom w:w="0" w:type="dxa"/>
            <w:right w:w="0" w:type="dxa"/>
          </w:tblCellMar>
        </w:tblPrEx>
        <w:trPr>
          <w:trHeight w:val="332" w:hRule="atLeast"/>
        </w:trPr>
        <w:tc>
          <w:tcPr>
            <w:tcW w:w="606" w:type="pct"/>
            <w:tcBorders>
              <w:top w:val="nil"/>
            </w:tcBorders>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9</w:t>
            </w:r>
          </w:p>
        </w:tc>
        <w:tc>
          <w:tcPr>
            <w:tcW w:w="1428" w:type="pct"/>
            <w:tcBorders>
              <w:top w:val="nil"/>
            </w:tcBorders>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太平</w:t>
            </w:r>
          </w:p>
        </w:tc>
        <w:tc>
          <w:tcPr>
            <w:tcW w:w="1536" w:type="pct"/>
            <w:tcBorders>
              <w:top w:val="nil"/>
            </w:tcBorders>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洞美</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凡头岗</w:t>
            </w:r>
          </w:p>
        </w:tc>
      </w:tr>
      <w:tr>
        <w:tblPrEx>
          <w:tblBorders>
            <w:top w:val="single" w:color="836967" w:sz="4" w:space="0"/>
            <w:left w:val="single" w:color="836967" w:sz="4" w:space="0"/>
            <w:bottom w:val="single" w:color="836967" w:sz="4" w:space="0"/>
            <w:right w:val="single" w:color="836967" w:sz="4" w:space="0"/>
            <w:insideH w:val="single" w:color="836967" w:sz="4" w:space="0"/>
            <w:insideV w:val="single" w:color="836967" w:sz="4" w:space="0"/>
          </w:tblBorders>
          <w:tblCellMar>
            <w:top w:w="0" w:type="dxa"/>
            <w:left w:w="0" w:type="dxa"/>
            <w:bottom w:w="0" w:type="dxa"/>
            <w:right w:w="0" w:type="dxa"/>
          </w:tblCellMar>
        </w:tblPrEx>
        <w:trPr>
          <w:trHeight w:val="330" w:hRule="atLeast"/>
        </w:trPr>
        <w:tc>
          <w:tcPr>
            <w:tcW w:w="606"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10</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太平</w:t>
            </w:r>
          </w:p>
        </w:tc>
        <w:tc>
          <w:tcPr>
            <w:tcW w:w="1536"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太北</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地五</w:t>
            </w:r>
          </w:p>
        </w:tc>
      </w:tr>
      <w:tr>
        <w:tblPrEx>
          <w:tblBorders>
            <w:top w:val="single" w:color="836967" w:sz="4" w:space="0"/>
            <w:left w:val="single" w:color="836967" w:sz="4" w:space="0"/>
            <w:bottom w:val="single" w:color="836967" w:sz="4" w:space="0"/>
            <w:right w:val="single" w:color="836967" w:sz="4" w:space="0"/>
            <w:insideH w:val="single" w:color="836967" w:sz="4" w:space="0"/>
            <w:insideV w:val="single" w:color="836967" w:sz="4" w:space="0"/>
          </w:tblBorders>
          <w:tblCellMar>
            <w:top w:w="0" w:type="dxa"/>
            <w:left w:w="0" w:type="dxa"/>
            <w:bottom w:w="0" w:type="dxa"/>
            <w:right w:w="0" w:type="dxa"/>
          </w:tblCellMar>
        </w:tblPrEx>
        <w:trPr>
          <w:trHeight w:val="330" w:hRule="atLeast"/>
        </w:trPr>
        <w:tc>
          <w:tcPr>
            <w:tcW w:w="606" w:type="pct"/>
            <w:tcBorders>
              <w:top w:val="nil"/>
            </w:tcBorders>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11</w:t>
            </w:r>
          </w:p>
        </w:tc>
        <w:tc>
          <w:tcPr>
            <w:tcW w:w="1428" w:type="pct"/>
            <w:tcBorders>
              <w:top w:val="nil"/>
            </w:tcBorders>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围底</w:t>
            </w:r>
          </w:p>
        </w:tc>
        <w:tc>
          <w:tcPr>
            <w:tcW w:w="1536" w:type="pct"/>
            <w:tcBorders>
              <w:top w:val="nil"/>
            </w:tcBorders>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渡头</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渡头</w:t>
            </w:r>
          </w:p>
        </w:tc>
      </w:tr>
      <w:tr>
        <w:tblPrEx>
          <w:tblBorders>
            <w:top w:val="single" w:color="836967" w:sz="4" w:space="0"/>
            <w:left w:val="single" w:color="836967" w:sz="4" w:space="0"/>
            <w:bottom w:val="single" w:color="836967" w:sz="4" w:space="0"/>
            <w:right w:val="single" w:color="836967" w:sz="4" w:space="0"/>
            <w:insideH w:val="single" w:color="836967" w:sz="4" w:space="0"/>
            <w:insideV w:val="single" w:color="836967" w:sz="4" w:space="0"/>
          </w:tblBorders>
          <w:tblCellMar>
            <w:top w:w="0" w:type="dxa"/>
            <w:left w:w="0" w:type="dxa"/>
            <w:bottom w:w="0" w:type="dxa"/>
            <w:right w:w="0" w:type="dxa"/>
          </w:tblCellMar>
        </w:tblPrEx>
        <w:trPr>
          <w:trHeight w:val="330" w:hRule="atLeast"/>
        </w:trPr>
        <w:tc>
          <w:tcPr>
            <w:tcW w:w="606"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12</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围底</w:t>
            </w:r>
          </w:p>
        </w:tc>
        <w:tc>
          <w:tcPr>
            <w:tcW w:w="1536"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渡头</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曾屋</w:t>
            </w:r>
          </w:p>
        </w:tc>
      </w:tr>
      <w:tr>
        <w:tblPrEx>
          <w:tblBorders>
            <w:top w:val="single" w:color="836967" w:sz="4" w:space="0"/>
            <w:left w:val="single" w:color="836967" w:sz="4" w:space="0"/>
            <w:bottom w:val="single" w:color="836967" w:sz="4" w:space="0"/>
            <w:right w:val="single" w:color="836967" w:sz="4" w:space="0"/>
            <w:insideH w:val="single" w:color="836967" w:sz="4" w:space="0"/>
            <w:insideV w:val="single" w:color="836967" w:sz="4" w:space="0"/>
          </w:tblBorders>
          <w:tblCellMar>
            <w:top w:w="0" w:type="dxa"/>
            <w:left w:w="0" w:type="dxa"/>
            <w:bottom w:w="0" w:type="dxa"/>
            <w:right w:w="0" w:type="dxa"/>
          </w:tblCellMar>
        </w:tblPrEx>
        <w:trPr>
          <w:trHeight w:val="332" w:hRule="atLeast"/>
        </w:trPr>
        <w:tc>
          <w:tcPr>
            <w:tcW w:w="606"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13</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围底</w:t>
            </w:r>
          </w:p>
        </w:tc>
        <w:tc>
          <w:tcPr>
            <w:tcW w:w="1536"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渡头</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下洞</w:t>
            </w:r>
          </w:p>
        </w:tc>
      </w:tr>
      <w:tr>
        <w:tblPrEx>
          <w:tblBorders>
            <w:top w:val="single" w:color="836967" w:sz="4" w:space="0"/>
            <w:left w:val="single" w:color="836967" w:sz="4" w:space="0"/>
            <w:bottom w:val="single" w:color="836967" w:sz="4" w:space="0"/>
            <w:right w:val="single" w:color="836967" w:sz="4" w:space="0"/>
            <w:insideH w:val="single" w:color="836967" w:sz="4" w:space="0"/>
            <w:insideV w:val="single" w:color="836967" w:sz="4" w:space="0"/>
          </w:tblBorders>
          <w:tblCellMar>
            <w:top w:w="0" w:type="dxa"/>
            <w:left w:w="0" w:type="dxa"/>
            <w:bottom w:w="0" w:type="dxa"/>
            <w:right w:w="0" w:type="dxa"/>
          </w:tblCellMar>
        </w:tblPrEx>
        <w:trPr>
          <w:trHeight w:val="642" w:hRule="atLeast"/>
        </w:trPr>
        <w:tc>
          <w:tcPr>
            <w:tcW w:w="606"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14</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附城</w:t>
            </w:r>
          </w:p>
        </w:tc>
        <w:tc>
          <w:tcPr>
            <w:tcW w:w="1536"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康任</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东升</w:t>
            </w:r>
          </w:p>
        </w:tc>
      </w:tr>
      <w:tr>
        <w:tblPrEx>
          <w:tblBorders>
            <w:top w:val="single" w:color="836967" w:sz="4" w:space="0"/>
            <w:left w:val="single" w:color="836967" w:sz="4" w:space="0"/>
            <w:bottom w:val="single" w:color="836967" w:sz="4" w:space="0"/>
            <w:right w:val="single" w:color="836967" w:sz="4" w:space="0"/>
            <w:insideH w:val="single" w:color="836967" w:sz="4" w:space="0"/>
            <w:insideV w:val="single" w:color="836967" w:sz="4" w:space="0"/>
          </w:tblBorders>
          <w:tblCellMar>
            <w:top w:w="0" w:type="dxa"/>
            <w:left w:w="0" w:type="dxa"/>
            <w:bottom w:w="0" w:type="dxa"/>
            <w:right w:w="0" w:type="dxa"/>
          </w:tblCellMar>
        </w:tblPrEx>
        <w:trPr>
          <w:trHeight w:val="330" w:hRule="atLeast"/>
        </w:trPr>
        <w:tc>
          <w:tcPr>
            <w:tcW w:w="606"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15</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黎少</w:t>
            </w:r>
          </w:p>
        </w:tc>
        <w:tc>
          <w:tcPr>
            <w:tcW w:w="1536"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大塘</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大塘一村</w:t>
            </w:r>
          </w:p>
        </w:tc>
      </w:tr>
      <w:tr>
        <w:tblPrEx>
          <w:tblBorders>
            <w:top w:val="single" w:color="836967" w:sz="4" w:space="0"/>
            <w:left w:val="single" w:color="836967" w:sz="4" w:space="0"/>
            <w:bottom w:val="single" w:color="836967" w:sz="4" w:space="0"/>
            <w:right w:val="single" w:color="836967" w:sz="4" w:space="0"/>
            <w:insideH w:val="single" w:color="836967" w:sz="4" w:space="0"/>
            <w:insideV w:val="single" w:color="836967" w:sz="4" w:space="0"/>
          </w:tblBorders>
          <w:tblCellMar>
            <w:top w:w="0" w:type="dxa"/>
            <w:left w:w="0" w:type="dxa"/>
            <w:bottom w:w="0" w:type="dxa"/>
            <w:right w:w="0" w:type="dxa"/>
          </w:tblCellMar>
        </w:tblPrEx>
        <w:trPr>
          <w:trHeight w:val="330" w:hRule="atLeast"/>
        </w:trPr>
        <w:tc>
          <w:tcPr>
            <w:tcW w:w="606" w:type="pct"/>
            <w:tcBorders>
              <w:top w:val="nil"/>
            </w:tcBorders>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16</w:t>
            </w:r>
          </w:p>
        </w:tc>
        <w:tc>
          <w:tcPr>
            <w:tcW w:w="1428" w:type="pct"/>
            <w:tcBorders>
              <w:top w:val="nil"/>
            </w:tcBorders>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黎少</w:t>
            </w:r>
          </w:p>
        </w:tc>
        <w:tc>
          <w:tcPr>
            <w:tcW w:w="1536" w:type="pct"/>
            <w:tcBorders>
              <w:top w:val="nil"/>
            </w:tcBorders>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大塘</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大塘二村</w:t>
            </w:r>
          </w:p>
        </w:tc>
      </w:tr>
      <w:tr>
        <w:tblPrEx>
          <w:tblBorders>
            <w:top w:val="single" w:color="836967" w:sz="4" w:space="0"/>
            <w:left w:val="single" w:color="836967" w:sz="4" w:space="0"/>
            <w:bottom w:val="single" w:color="836967" w:sz="4" w:space="0"/>
            <w:right w:val="single" w:color="836967" w:sz="4" w:space="0"/>
            <w:insideH w:val="single" w:color="836967" w:sz="4" w:space="0"/>
            <w:insideV w:val="single" w:color="836967" w:sz="4" w:space="0"/>
          </w:tblBorders>
          <w:tblCellMar>
            <w:top w:w="0" w:type="dxa"/>
            <w:left w:w="0" w:type="dxa"/>
            <w:bottom w:w="0" w:type="dxa"/>
            <w:right w:w="0" w:type="dxa"/>
          </w:tblCellMar>
        </w:tblPrEx>
        <w:trPr>
          <w:trHeight w:val="330" w:hRule="atLeast"/>
        </w:trPr>
        <w:tc>
          <w:tcPr>
            <w:tcW w:w="606"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17</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苹塘</w:t>
            </w:r>
          </w:p>
        </w:tc>
        <w:tc>
          <w:tcPr>
            <w:tcW w:w="1536"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瑞平</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良八村</w:t>
            </w:r>
          </w:p>
        </w:tc>
      </w:tr>
      <w:tr>
        <w:tblPrEx>
          <w:tblBorders>
            <w:top w:val="single" w:color="836967" w:sz="4" w:space="0"/>
            <w:left w:val="single" w:color="836967" w:sz="4" w:space="0"/>
            <w:bottom w:val="single" w:color="836967" w:sz="4" w:space="0"/>
            <w:right w:val="single" w:color="836967" w:sz="4" w:space="0"/>
            <w:insideH w:val="single" w:color="836967" w:sz="4" w:space="0"/>
            <w:insideV w:val="single" w:color="836967" w:sz="4" w:space="0"/>
          </w:tblBorders>
          <w:tblCellMar>
            <w:top w:w="0" w:type="dxa"/>
            <w:left w:w="0" w:type="dxa"/>
            <w:bottom w:w="0" w:type="dxa"/>
            <w:right w:w="0" w:type="dxa"/>
          </w:tblCellMar>
        </w:tblPrEx>
        <w:trPr>
          <w:trHeight w:val="331" w:hRule="atLeast"/>
        </w:trPr>
        <w:tc>
          <w:tcPr>
            <w:tcW w:w="606"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18</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华石</w:t>
            </w:r>
          </w:p>
        </w:tc>
        <w:tc>
          <w:tcPr>
            <w:tcW w:w="1536"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三屋</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出外垌村</w:t>
            </w:r>
          </w:p>
        </w:tc>
      </w:tr>
      <w:tr>
        <w:tblPrEx>
          <w:tblBorders>
            <w:top w:val="single" w:color="836967" w:sz="4" w:space="0"/>
            <w:left w:val="single" w:color="836967" w:sz="4" w:space="0"/>
            <w:bottom w:val="single" w:color="836967" w:sz="4" w:space="0"/>
            <w:right w:val="single" w:color="836967" w:sz="4" w:space="0"/>
            <w:insideH w:val="single" w:color="836967" w:sz="4" w:space="0"/>
            <w:insideV w:val="single" w:color="836967" w:sz="4" w:space="0"/>
          </w:tblBorders>
          <w:tblCellMar>
            <w:top w:w="0" w:type="dxa"/>
            <w:left w:w="0" w:type="dxa"/>
            <w:bottom w:w="0" w:type="dxa"/>
            <w:right w:w="0" w:type="dxa"/>
          </w:tblCellMar>
        </w:tblPrEx>
        <w:trPr>
          <w:trHeight w:val="331" w:hRule="atLeast"/>
        </w:trPr>
        <w:tc>
          <w:tcPr>
            <w:tcW w:w="606"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19</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华石</w:t>
            </w:r>
          </w:p>
        </w:tc>
        <w:tc>
          <w:tcPr>
            <w:tcW w:w="1536"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寨脚</w:t>
            </w:r>
          </w:p>
        </w:tc>
        <w:tc>
          <w:tcPr>
            <w:tcW w:w="1428" w:type="pct"/>
            <w:vAlign w:val="center"/>
          </w:tcPr>
          <w:p>
            <w:pPr>
              <w:keepNext w:val="0"/>
              <w:keepLines w:val="0"/>
              <w:widowControl/>
              <w:suppressLineNumbers w:val="0"/>
              <w:jc w:val="center"/>
              <w:textAlignment w:val="center"/>
              <w:rPr>
                <w:rFonts w:asciiTheme="minorEastAsia" w:hAnsiTheme="minorEastAsia" w:eastAsiaTheme="minorEastAsia" w:cstheme="minorEastAsia"/>
                <w:color w:val="auto"/>
                <w:sz w:val="21"/>
                <w:szCs w:val="21"/>
              </w:rPr>
            </w:pPr>
            <w:r>
              <w:rPr>
                <w:rFonts w:hint="eastAsia" w:ascii="宋体" w:hAnsi="宋体" w:eastAsia="宋体" w:cs="宋体"/>
                <w:i w:val="0"/>
                <w:iCs w:val="0"/>
                <w:color w:val="auto"/>
                <w:kern w:val="0"/>
                <w:sz w:val="22"/>
                <w:szCs w:val="22"/>
                <w:u w:val="none"/>
                <w:lang w:val="en-US" w:eastAsia="zh-CN" w:bidi="ar"/>
              </w:rPr>
              <w:t>岗底</w:t>
            </w:r>
          </w:p>
        </w:tc>
      </w:tr>
    </w:tbl>
    <w:p>
      <w:pPr>
        <w:pStyle w:val="32"/>
        <w:numPr>
          <w:ilvl w:val="0"/>
          <w:numId w:val="0"/>
        </w:numPr>
        <w:tabs>
          <w:tab w:val="left" w:pos="1259"/>
          <w:tab w:val="left" w:pos="1260"/>
        </w:tabs>
        <w:spacing w:line="500" w:lineRule="exact"/>
        <w:ind w:left="482"/>
        <w:jc w:val="both"/>
        <w:rPr>
          <w:rFonts w:asciiTheme="minorEastAsia" w:hAnsiTheme="minorEastAsia" w:eastAsiaTheme="minorEastAsia" w:cstheme="minorEastAsia"/>
          <w:b/>
          <w:color w:val="auto"/>
          <w:sz w:val="24"/>
          <w:szCs w:val="24"/>
        </w:rPr>
      </w:pPr>
    </w:p>
    <w:p>
      <w:pPr>
        <w:pStyle w:val="32"/>
        <w:numPr>
          <w:ilvl w:val="2"/>
          <w:numId w:val="7"/>
        </w:numPr>
        <w:tabs>
          <w:tab w:val="left" w:pos="1259"/>
          <w:tab w:val="left" w:pos="1260"/>
          <w:tab w:val="left" w:pos="8800"/>
        </w:tabs>
        <w:spacing w:line="500" w:lineRule="exact"/>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镇区排水现状</w:t>
      </w:r>
    </w:p>
    <w:p>
      <w:pPr>
        <w:pStyle w:val="32"/>
        <w:numPr>
          <w:ilvl w:val="3"/>
          <w:numId w:val="7"/>
        </w:numPr>
        <w:tabs>
          <w:tab w:val="left" w:pos="1539"/>
          <w:tab w:val="left" w:pos="8800"/>
        </w:tabs>
        <w:spacing w:line="500" w:lineRule="exact"/>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素龙街道</w:t>
      </w:r>
    </w:p>
    <w:p>
      <w:pPr>
        <w:pStyle w:val="10"/>
        <w:tabs>
          <w:tab w:val="left" w:pos="8800"/>
        </w:tabs>
        <w:spacing w:line="500" w:lineRule="exact"/>
        <w:ind w:firstLine="44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0"/>
          <w:sz w:val="24"/>
          <w:szCs w:val="24"/>
        </w:rPr>
        <w:t>素龙街道位于罗定市中部，总面积109.6平方公里，辖24个村（居）委</w:t>
      </w:r>
      <w:r>
        <w:rPr>
          <w:rFonts w:hint="eastAsia" w:asciiTheme="minorEastAsia" w:hAnsiTheme="minorEastAsia" w:eastAsiaTheme="minorEastAsia" w:cstheme="minorEastAsia"/>
          <w:color w:val="auto"/>
          <w:spacing w:val="-2"/>
          <w:sz w:val="24"/>
          <w:szCs w:val="24"/>
        </w:rPr>
        <w:t>会，</w:t>
      </w:r>
      <w:r>
        <w:rPr>
          <w:rFonts w:hint="eastAsia" w:asciiTheme="minorEastAsia" w:hAnsiTheme="minorEastAsia" w:eastAsiaTheme="minorEastAsia" w:cstheme="minorEastAsia"/>
          <w:color w:val="auto"/>
          <w:sz w:val="24"/>
          <w:szCs w:val="24"/>
        </w:rPr>
        <w:t>233</w:t>
      </w:r>
      <w:r>
        <w:rPr>
          <w:rFonts w:hint="eastAsia" w:asciiTheme="minorEastAsia" w:hAnsiTheme="minorEastAsia" w:eastAsiaTheme="minorEastAsia" w:cstheme="minorEastAsia"/>
          <w:color w:val="auto"/>
          <w:spacing w:val="-4"/>
          <w:sz w:val="24"/>
          <w:szCs w:val="24"/>
        </w:rPr>
        <w:t>个自然村，</w:t>
      </w:r>
      <w:r>
        <w:rPr>
          <w:rFonts w:hint="eastAsia" w:asciiTheme="minorEastAsia" w:hAnsiTheme="minorEastAsia" w:eastAsiaTheme="minorEastAsia" w:cstheme="minorEastAsia"/>
          <w:color w:val="auto"/>
          <w:sz w:val="24"/>
          <w:szCs w:val="24"/>
        </w:rPr>
        <w:t>2018</w:t>
      </w:r>
      <w:r>
        <w:rPr>
          <w:rFonts w:hint="eastAsia" w:asciiTheme="minorEastAsia" w:hAnsiTheme="minorEastAsia" w:eastAsiaTheme="minorEastAsia" w:cstheme="minorEastAsia"/>
          <w:color w:val="auto"/>
          <w:spacing w:val="-20"/>
          <w:sz w:val="24"/>
          <w:szCs w:val="24"/>
        </w:rPr>
        <w:t>年末户籍总人口</w:t>
      </w:r>
      <w:r>
        <w:rPr>
          <w:rFonts w:hint="eastAsia" w:asciiTheme="minorEastAsia" w:hAnsiTheme="minorEastAsia" w:eastAsiaTheme="minorEastAsia" w:cstheme="minorEastAsia"/>
          <w:color w:val="auto"/>
          <w:sz w:val="24"/>
          <w:szCs w:val="24"/>
        </w:rPr>
        <w:t>12.8</w:t>
      </w:r>
      <w:r>
        <w:rPr>
          <w:rFonts w:hint="eastAsia" w:asciiTheme="minorEastAsia" w:hAnsiTheme="minorEastAsia" w:eastAsiaTheme="minorEastAsia" w:cstheme="minorEastAsia"/>
          <w:color w:val="auto"/>
          <w:spacing w:val="-4"/>
          <w:sz w:val="24"/>
          <w:szCs w:val="24"/>
        </w:rPr>
        <w:t>万人，常住</w:t>
      </w:r>
      <w:r>
        <w:rPr>
          <w:rFonts w:hint="eastAsia" w:asciiTheme="minorEastAsia" w:hAnsiTheme="minorEastAsia" w:eastAsiaTheme="minorEastAsia" w:cstheme="minorEastAsia"/>
          <w:color w:val="auto"/>
          <w:spacing w:val="-20"/>
          <w:sz w:val="24"/>
          <w:szCs w:val="24"/>
        </w:rPr>
        <w:t>总人口约</w:t>
      </w:r>
      <w:r>
        <w:rPr>
          <w:rFonts w:hint="eastAsia" w:asciiTheme="minorEastAsia" w:hAnsiTheme="minorEastAsia" w:eastAsiaTheme="minorEastAsia" w:cstheme="minorEastAsia"/>
          <w:color w:val="auto"/>
          <w:sz w:val="24"/>
          <w:szCs w:val="24"/>
        </w:rPr>
        <w:t>9</w:t>
      </w:r>
      <w:r>
        <w:rPr>
          <w:rFonts w:hint="eastAsia" w:asciiTheme="minorEastAsia" w:hAnsiTheme="minorEastAsia" w:eastAsiaTheme="minorEastAsia" w:cstheme="minorEastAsia"/>
          <w:color w:val="auto"/>
          <w:spacing w:val="-8"/>
          <w:sz w:val="24"/>
          <w:szCs w:val="24"/>
        </w:rPr>
        <w:t>万人，是云浮市最大的建制镇街。素龙属盆地低丘地区，</w:t>
      </w:r>
      <w:r>
        <w:rPr>
          <w:rFonts w:hint="eastAsia" w:asciiTheme="minorEastAsia" w:hAnsiTheme="minorEastAsia" w:eastAsiaTheme="minorEastAsia" w:cstheme="minorEastAsia"/>
          <w:color w:val="auto"/>
          <w:spacing w:val="-10"/>
          <w:sz w:val="24"/>
          <w:szCs w:val="24"/>
        </w:rPr>
        <w:t>矿产资源丰富，境内有花岗岩、凝灰岩、大理石、高岭土、耐火粘土</w:t>
      </w:r>
      <w:r>
        <w:rPr>
          <w:rFonts w:hint="eastAsia" w:asciiTheme="minorEastAsia" w:hAnsiTheme="minorEastAsia" w:eastAsiaTheme="minorEastAsia" w:cstheme="minorEastAsia"/>
          <w:color w:val="auto"/>
          <w:spacing w:val="31"/>
          <w:sz w:val="24"/>
          <w:szCs w:val="24"/>
        </w:rPr>
        <w:t>等</w:t>
      </w:r>
      <w:r>
        <w:rPr>
          <w:rFonts w:hint="eastAsia" w:asciiTheme="minorEastAsia" w:hAnsiTheme="minorEastAsia" w:eastAsiaTheme="minorEastAsia" w:cstheme="minorEastAsia"/>
          <w:color w:val="auto"/>
          <w:sz w:val="24"/>
          <w:szCs w:val="24"/>
        </w:rPr>
        <w:t>10</w:t>
      </w:r>
      <w:r>
        <w:rPr>
          <w:rFonts w:hint="eastAsia" w:asciiTheme="minorEastAsia" w:hAnsiTheme="minorEastAsia" w:eastAsiaTheme="minorEastAsia" w:cstheme="minorEastAsia"/>
          <w:color w:val="auto"/>
          <w:spacing w:val="-5"/>
          <w:sz w:val="24"/>
          <w:szCs w:val="24"/>
        </w:rPr>
        <w:t>多种矿产资源，其中花岗岩、大理石、高岭土储量极为丰富。</w:t>
      </w:r>
      <w:r>
        <w:rPr>
          <w:rFonts w:hint="eastAsia" w:asciiTheme="minorEastAsia" w:hAnsiTheme="minorEastAsia" w:eastAsiaTheme="minorEastAsia" w:cstheme="minorEastAsia"/>
          <w:color w:val="auto"/>
          <w:spacing w:val="-21"/>
          <w:sz w:val="24"/>
          <w:szCs w:val="24"/>
        </w:rPr>
        <w:t xml:space="preserve">素龙毗邻罗定市区，辖区内有国道 </w:t>
      </w:r>
      <w:r>
        <w:rPr>
          <w:rFonts w:hint="eastAsia" w:asciiTheme="minorEastAsia" w:hAnsiTheme="minorEastAsia" w:eastAsiaTheme="minorEastAsia" w:cstheme="minorEastAsia"/>
          <w:color w:val="auto"/>
          <w:sz w:val="24"/>
          <w:szCs w:val="24"/>
        </w:rPr>
        <w:t>324</w:t>
      </w:r>
      <w:r>
        <w:rPr>
          <w:rFonts w:hint="eastAsia" w:asciiTheme="minorEastAsia" w:hAnsiTheme="minorEastAsia" w:eastAsiaTheme="minorEastAsia" w:cstheme="minorEastAsia"/>
          <w:color w:val="auto"/>
          <w:spacing w:val="-16"/>
          <w:sz w:val="24"/>
          <w:szCs w:val="24"/>
        </w:rPr>
        <w:t>线、省道</w:t>
      </w:r>
      <w:r>
        <w:rPr>
          <w:rFonts w:hint="eastAsia" w:asciiTheme="minorEastAsia" w:hAnsiTheme="minorEastAsia" w:eastAsiaTheme="minorEastAsia" w:cstheme="minorEastAsia"/>
          <w:color w:val="auto"/>
          <w:sz w:val="24"/>
          <w:szCs w:val="24"/>
        </w:rPr>
        <w:t>369</w:t>
      </w:r>
      <w:r>
        <w:rPr>
          <w:rFonts w:hint="eastAsia" w:asciiTheme="minorEastAsia" w:hAnsiTheme="minorEastAsia" w:eastAsiaTheme="minorEastAsia" w:cstheme="minorEastAsia"/>
          <w:color w:val="auto"/>
          <w:spacing w:val="-40"/>
          <w:sz w:val="24"/>
          <w:szCs w:val="24"/>
        </w:rPr>
        <w:t>线、德硃线</w:t>
      </w:r>
      <w:r>
        <w:rPr>
          <w:rFonts w:hint="eastAsia" w:asciiTheme="minorEastAsia" w:hAnsiTheme="minorEastAsia" w:eastAsiaTheme="minorEastAsia" w:cstheme="minorEastAsia"/>
          <w:color w:val="auto"/>
          <w:spacing w:val="-3"/>
          <w:sz w:val="24"/>
          <w:szCs w:val="24"/>
        </w:rPr>
        <w:t>（</w:t>
      </w:r>
      <w:r>
        <w:rPr>
          <w:rFonts w:hint="eastAsia" w:asciiTheme="minorEastAsia" w:hAnsiTheme="minorEastAsia" w:eastAsiaTheme="minorEastAsia" w:cstheme="minorEastAsia"/>
          <w:color w:val="auto"/>
          <w:spacing w:val="-8"/>
          <w:sz w:val="24"/>
          <w:szCs w:val="24"/>
        </w:rPr>
        <w:t>S</w:t>
      </w:r>
      <w:r>
        <w:rPr>
          <w:rFonts w:hint="eastAsia" w:asciiTheme="minorEastAsia" w:hAnsiTheme="minorEastAsia" w:eastAsiaTheme="minorEastAsia" w:cstheme="minorEastAsia"/>
          <w:color w:val="auto"/>
          <w:spacing w:val="-4"/>
          <w:sz w:val="24"/>
          <w:szCs w:val="24"/>
        </w:rPr>
        <w:t>3</w:t>
      </w:r>
      <w:r>
        <w:rPr>
          <w:rFonts w:hint="eastAsia" w:asciiTheme="minorEastAsia" w:hAnsiTheme="minorEastAsia" w:eastAsiaTheme="minorEastAsia" w:cstheme="minorEastAsia"/>
          <w:color w:val="auto"/>
          <w:spacing w:val="1"/>
          <w:sz w:val="24"/>
          <w:szCs w:val="24"/>
        </w:rPr>
        <w:t>5</w:t>
      </w:r>
      <w:r>
        <w:rPr>
          <w:rFonts w:hint="eastAsia" w:asciiTheme="minorEastAsia" w:hAnsiTheme="minorEastAsia" w:eastAsiaTheme="minorEastAsia" w:cstheme="minorEastAsia"/>
          <w:color w:val="auto"/>
          <w:spacing w:val="-4"/>
          <w:sz w:val="24"/>
          <w:szCs w:val="24"/>
        </w:rPr>
        <w:t>2</w:t>
      </w:r>
      <w:r>
        <w:rPr>
          <w:rFonts w:hint="eastAsia" w:asciiTheme="minorEastAsia" w:hAnsiTheme="minorEastAsia" w:eastAsiaTheme="minorEastAsia" w:cstheme="minorEastAsia"/>
          <w:color w:val="auto"/>
          <w:spacing w:val="-147"/>
          <w:sz w:val="24"/>
          <w:szCs w:val="24"/>
        </w:rPr>
        <w:t>）</w:t>
      </w:r>
      <w:r>
        <w:rPr>
          <w:rFonts w:hint="eastAsia" w:asciiTheme="minorEastAsia" w:hAnsiTheme="minorEastAsia" w:eastAsiaTheme="minorEastAsia" w:cstheme="minorEastAsia"/>
          <w:color w:val="auto"/>
          <w:spacing w:val="-49"/>
          <w:sz w:val="24"/>
          <w:szCs w:val="24"/>
        </w:rPr>
        <w:t>、素水线</w:t>
      </w:r>
      <w:r>
        <w:rPr>
          <w:rFonts w:hint="eastAsia" w:asciiTheme="minorEastAsia" w:hAnsiTheme="minorEastAsia" w:eastAsiaTheme="minorEastAsia" w:cstheme="minorEastAsia"/>
          <w:color w:val="auto"/>
          <w:spacing w:val="-8"/>
          <w:sz w:val="24"/>
          <w:szCs w:val="24"/>
        </w:rPr>
        <w:t>（</w:t>
      </w:r>
      <w:r>
        <w:rPr>
          <w:rFonts w:hint="eastAsia" w:asciiTheme="minorEastAsia" w:hAnsiTheme="minorEastAsia" w:eastAsiaTheme="minorEastAsia" w:cstheme="minorEastAsia"/>
          <w:color w:val="auto"/>
          <w:spacing w:val="-3"/>
          <w:sz w:val="24"/>
          <w:szCs w:val="24"/>
        </w:rPr>
        <w:t>S</w:t>
      </w:r>
      <w:r>
        <w:rPr>
          <w:rFonts w:hint="eastAsia" w:asciiTheme="minorEastAsia" w:hAnsiTheme="minorEastAsia" w:eastAsiaTheme="minorEastAsia" w:cstheme="minorEastAsia"/>
          <w:color w:val="auto"/>
          <w:spacing w:val="-7"/>
          <w:sz w:val="24"/>
          <w:szCs w:val="24"/>
        </w:rPr>
        <w:t>2</w:t>
      </w:r>
      <w:r>
        <w:rPr>
          <w:rFonts w:hint="eastAsia" w:asciiTheme="minorEastAsia" w:hAnsiTheme="minorEastAsia" w:eastAsiaTheme="minorEastAsia" w:cstheme="minorEastAsia"/>
          <w:color w:val="auto"/>
          <w:spacing w:val="-11"/>
          <w:sz w:val="24"/>
          <w:szCs w:val="24"/>
        </w:rPr>
        <w:t>80</w:t>
      </w: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15"/>
          <w:sz w:val="24"/>
          <w:szCs w:val="24"/>
        </w:rPr>
        <w:t>贯通全境，与环市路实现无缝对接，建有机</w:t>
      </w:r>
      <w:r>
        <w:rPr>
          <w:rFonts w:hint="eastAsia" w:asciiTheme="minorEastAsia" w:hAnsiTheme="minorEastAsia" w:eastAsiaTheme="minorEastAsia" w:cstheme="minorEastAsia"/>
          <w:color w:val="auto"/>
          <w:spacing w:val="-13"/>
          <w:sz w:val="24"/>
          <w:szCs w:val="24"/>
        </w:rPr>
        <w:t>场及客运站，交通基础设施完善。</w:t>
      </w:r>
    </w:p>
    <w:p>
      <w:pPr>
        <w:pStyle w:val="10"/>
        <w:tabs>
          <w:tab w:val="left" w:pos="8800"/>
        </w:tabs>
        <w:spacing w:line="500" w:lineRule="exact"/>
        <w:ind w:firstLine="44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0"/>
          <w:sz w:val="24"/>
          <w:szCs w:val="24"/>
        </w:rPr>
        <w:t>目前素龙街道尚未建设污水处理设施，现状排水体制比较落后，仍然为雨污合流，没有独立的污水收集管道。素龙街道主要排污口位</w:t>
      </w:r>
      <w:r>
        <w:rPr>
          <w:rFonts w:hint="eastAsia" w:asciiTheme="minorEastAsia" w:hAnsiTheme="minorEastAsia" w:eastAsiaTheme="minorEastAsia" w:cstheme="minorEastAsia"/>
          <w:color w:val="auto"/>
          <w:spacing w:val="-9"/>
          <w:sz w:val="24"/>
          <w:szCs w:val="24"/>
        </w:rPr>
        <w:t>于琴棋塘村南部，国道</w:t>
      </w:r>
      <w:r>
        <w:rPr>
          <w:rFonts w:hint="eastAsia" w:asciiTheme="minorEastAsia" w:hAnsiTheme="minorEastAsia" w:eastAsiaTheme="minorEastAsia" w:cstheme="minorEastAsia"/>
          <w:color w:val="auto"/>
          <w:spacing w:val="-5"/>
          <w:sz w:val="24"/>
          <w:szCs w:val="24"/>
        </w:rPr>
        <w:t>G324</w:t>
      </w:r>
      <w:r>
        <w:rPr>
          <w:rFonts w:hint="eastAsia" w:asciiTheme="minorEastAsia" w:hAnsiTheme="minorEastAsia" w:eastAsiaTheme="minorEastAsia" w:cstheme="minorEastAsia"/>
          <w:color w:val="auto"/>
          <w:spacing w:val="-10"/>
          <w:sz w:val="24"/>
          <w:szCs w:val="24"/>
        </w:rPr>
        <w:t>旁，生活污水通过街边沟渠收集后未经任何处理直接散排向附近河涌水体，汇集至琴棋塘村南部河涌，最终</w:t>
      </w:r>
      <w:r>
        <w:rPr>
          <w:rFonts w:hint="eastAsia" w:asciiTheme="minorEastAsia" w:hAnsiTheme="minorEastAsia" w:eastAsiaTheme="minorEastAsia" w:cstheme="minorEastAsia"/>
          <w:color w:val="auto"/>
          <w:spacing w:val="-15"/>
          <w:sz w:val="24"/>
          <w:szCs w:val="24"/>
        </w:rPr>
        <w:t>流向围底河，对周边居民生活环境和水环境都有一定影响。</w:t>
      </w:r>
    </w:p>
    <w:p>
      <w:pPr>
        <w:pStyle w:val="32"/>
        <w:numPr>
          <w:ilvl w:val="3"/>
          <w:numId w:val="7"/>
        </w:numPr>
        <w:tabs>
          <w:tab w:val="left" w:pos="1539"/>
          <w:tab w:val="left" w:pos="8800"/>
        </w:tabs>
        <w:spacing w:line="500" w:lineRule="exact"/>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满塘镇</w:t>
      </w:r>
    </w:p>
    <w:p>
      <w:pPr>
        <w:pStyle w:val="10"/>
        <w:tabs>
          <w:tab w:val="left" w:pos="8800"/>
        </w:tabs>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满塘镇位于罗定市东南部，南面与阳春市接壤，东、西、北三面</w:t>
      </w:r>
      <w:r>
        <w:rPr>
          <w:rFonts w:hint="eastAsia" w:asciiTheme="minorEastAsia" w:hAnsiTheme="minorEastAsia" w:eastAsiaTheme="minorEastAsia" w:cstheme="minorEastAsia"/>
          <w:color w:val="auto"/>
          <w:spacing w:val="-10"/>
          <w:sz w:val="24"/>
          <w:szCs w:val="24"/>
        </w:rPr>
        <w:t>分别和金鸡镇、船步镇、围底镇为邻，距罗定市区</w:t>
      </w:r>
      <w:r>
        <w:rPr>
          <w:rFonts w:hint="eastAsia" w:asciiTheme="minorEastAsia" w:hAnsiTheme="minorEastAsia" w:eastAsiaTheme="minorEastAsia" w:cstheme="minorEastAsia"/>
          <w:color w:val="auto"/>
          <w:sz w:val="24"/>
          <w:szCs w:val="24"/>
        </w:rPr>
        <w:t>32</w:t>
      </w:r>
      <w:r>
        <w:rPr>
          <w:rFonts w:hint="eastAsia" w:asciiTheme="minorEastAsia" w:hAnsiTheme="minorEastAsia" w:eastAsiaTheme="minorEastAsia" w:cstheme="minorEastAsia"/>
          <w:color w:val="auto"/>
          <w:spacing w:val="-7"/>
          <w:sz w:val="24"/>
          <w:szCs w:val="24"/>
        </w:rPr>
        <w:t>公里，属罗定</w:t>
      </w:r>
      <w:r>
        <w:rPr>
          <w:rFonts w:hint="eastAsia" w:asciiTheme="minorEastAsia" w:hAnsiTheme="minorEastAsia" w:eastAsiaTheme="minorEastAsia" w:cstheme="minorEastAsia"/>
          <w:color w:val="auto"/>
          <w:spacing w:val="-10"/>
          <w:sz w:val="24"/>
          <w:szCs w:val="24"/>
        </w:rPr>
        <w:t>市边远镇，总面积</w:t>
      </w:r>
      <w:r>
        <w:rPr>
          <w:rFonts w:hint="eastAsia" w:asciiTheme="minorEastAsia" w:hAnsiTheme="minorEastAsia" w:eastAsiaTheme="minorEastAsia" w:cstheme="minorEastAsia"/>
          <w:color w:val="auto"/>
          <w:sz w:val="24"/>
          <w:szCs w:val="24"/>
        </w:rPr>
        <w:t>84.1</w:t>
      </w:r>
      <w:r>
        <w:rPr>
          <w:rFonts w:hint="eastAsia" w:asciiTheme="minorEastAsia" w:hAnsiTheme="minorEastAsia" w:eastAsiaTheme="minorEastAsia" w:cstheme="minorEastAsia"/>
          <w:color w:val="auto"/>
          <w:spacing w:val="-11"/>
          <w:sz w:val="24"/>
          <w:szCs w:val="24"/>
        </w:rPr>
        <w:t xml:space="preserve">平方公里，辖 </w:t>
      </w:r>
      <w:r>
        <w:rPr>
          <w:rFonts w:hint="eastAsia" w:asciiTheme="minorEastAsia" w:hAnsiTheme="minorEastAsia" w:eastAsiaTheme="minorEastAsia" w:cstheme="minorEastAsia"/>
          <w:color w:val="auto"/>
          <w:sz w:val="24"/>
          <w:szCs w:val="24"/>
        </w:rPr>
        <w:t xml:space="preserve">1 </w:t>
      </w:r>
      <w:r>
        <w:rPr>
          <w:rFonts w:hint="eastAsia" w:asciiTheme="minorEastAsia" w:hAnsiTheme="minorEastAsia" w:eastAsiaTheme="minorEastAsia" w:cstheme="minorEastAsia"/>
          <w:color w:val="auto"/>
          <w:spacing w:val="-3"/>
          <w:sz w:val="24"/>
          <w:szCs w:val="24"/>
        </w:rPr>
        <w:t>个社区，</w:t>
      </w:r>
      <w:r>
        <w:rPr>
          <w:rFonts w:hint="eastAsia" w:asciiTheme="minorEastAsia" w:hAnsiTheme="minorEastAsia" w:eastAsiaTheme="minorEastAsia" w:cstheme="minorEastAsia"/>
          <w:color w:val="auto"/>
          <w:sz w:val="24"/>
          <w:szCs w:val="24"/>
        </w:rPr>
        <w:t>12</w:t>
      </w:r>
      <w:r>
        <w:rPr>
          <w:rFonts w:hint="eastAsia" w:asciiTheme="minorEastAsia" w:hAnsiTheme="minorEastAsia" w:eastAsiaTheme="minorEastAsia" w:cstheme="minorEastAsia"/>
          <w:color w:val="auto"/>
          <w:spacing w:val="-4"/>
          <w:sz w:val="24"/>
          <w:szCs w:val="24"/>
        </w:rPr>
        <w:t>个行政村，</w:t>
      </w:r>
      <w:r>
        <w:rPr>
          <w:rFonts w:hint="eastAsia" w:asciiTheme="minorEastAsia" w:hAnsiTheme="minorEastAsia" w:eastAsiaTheme="minorEastAsia" w:cstheme="minorEastAsia"/>
          <w:color w:val="auto"/>
          <w:sz w:val="24"/>
          <w:szCs w:val="24"/>
        </w:rPr>
        <w:t>149</w:t>
      </w:r>
      <w:r>
        <w:rPr>
          <w:rFonts w:hint="eastAsia" w:asciiTheme="minorEastAsia" w:hAnsiTheme="minorEastAsia" w:eastAsiaTheme="minorEastAsia" w:cstheme="minorEastAsia"/>
          <w:color w:val="auto"/>
          <w:spacing w:val="-4"/>
          <w:sz w:val="24"/>
          <w:szCs w:val="24"/>
        </w:rPr>
        <w:t>个自然村，</w:t>
      </w:r>
      <w:r>
        <w:rPr>
          <w:rFonts w:hint="eastAsia" w:asciiTheme="minorEastAsia" w:hAnsiTheme="minorEastAsia" w:eastAsiaTheme="minorEastAsia" w:cstheme="minorEastAsia"/>
          <w:color w:val="auto"/>
          <w:sz w:val="24"/>
          <w:szCs w:val="24"/>
        </w:rPr>
        <w:t>2018</w:t>
      </w:r>
      <w:r>
        <w:rPr>
          <w:rFonts w:hint="eastAsia" w:asciiTheme="minorEastAsia" w:hAnsiTheme="minorEastAsia" w:eastAsiaTheme="minorEastAsia" w:cstheme="minorEastAsia"/>
          <w:color w:val="auto"/>
          <w:spacing w:val="-5"/>
          <w:sz w:val="24"/>
          <w:szCs w:val="24"/>
        </w:rPr>
        <w:t>年末户籍总人口约</w:t>
      </w:r>
      <w:r>
        <w:rPr>
          <w:rFonts w:hint="eastAsia" w:asciiTheme="minorEastAsia" w:hAnsiTheme="minorEastAsia" w:eastAsiaTheme="minorEastAsia" w:cstheme="minorEastAsia"/>
          <w:color w:val="auto"/>
          <w:sz w:val="24"/>
          <w:szCs w:val="24"/>
        </w:rPr>
        <w:t>5</w:t>
      </w:r>
      <w:r>
        <w:rPr>
          <w:rFonts w:hint="eastAsia" w:asciiTheme="minorEastAsia" w:hAnsiTheme="minorEastAsia" w:eastAsiaTheme="minorEastAsia" w:cstheme="minorEastAsia"/>
          <w:color w:val="auto"/>
          <w:spacing w:val="-5"/>
          <w:sz w:val="24"/>
          <w:szCs w:val="24"/>
        </w:rPr>
        <w:t xml:space="preserve">万人，常住总人口约 </w:t>
      </w:r>
      <w:r>
        <w:rPr>
          <w:rFonts w:hint="eastAsia" w:asciiTheme="minorEastAsia" w:hAnsiTheme="minorEastAsia" w:eastAsiaTheme="minorEastAsia" w:cstheme="minorEastAsia"/>
          <w:color w:val="auto"/>
          <w:sz w:val="24"/>
          <w:szCs w:val="24"/>
        </w:rPr>
        <w:t>2.6</w:t>
      </w:r>
      <w:r>
        <w:rPr>
          <w:rFonts w:hint="eastAsia" w:asciiTheme="minorEastAsia" w:hAnsiTheme="minorEastAsia" w:eastAsiaTheme="minorEastAsia" w:cstheme="minorEastAsia"/>
          <w:color w:val="auto"/>
          <w:spacing w:val="-4"/>
          <w:sz w:val="24"/>
          <w:szCs w:val="24"/>
        </w:rPr>
        <w:t>万人。</w:t>
      </w:r>
      <w:r>
        <w:rPr>
          <w:rFonts w:hint="eastAsia" w:asciiTheme="minorEastAsia" w:hAnsiTheme="minorEastAsia" w:eastAsiaTheme="minorEastAsia" w:cstheme="minorEastAsia"/>
          <w:color w:val="auto"/>
          <w:spacing w:val="-10"/>
          <w:sz w:val="24"/>
          <w:szCs w:val="24"/>
        </w:rPr>
        <w:t>朗塘镇居民经济收入以传统的农业为主，全镇茶叶种植面积</w:t>
      </w:r>
      <w:r>
        <w:rPr>
          <w:rFonts w:hint="eastAsia" w:asciiTheme="minorEastAsia" w:hAnsiTheme="minorEastAsia" w:eastAsiaTheme="minorEastAsia" w:cstheme="minorEastAsia"/>
          <w:color w:val="auto"/>
          <w:spacing w:val="-7"/>
          <w:sz w:val="24"/>
          <w:szCs w:val="24"/>
        </w:rPr>
        <w:t>8000</w:t>
      </w:r>
      <w:r>
        <w:rPr>
          <w:rFonts w:hint="eastAsia" w:asciiTheme="minorEastAsia" w:hAnsiTheme="minorEastAsia" w:eastAsiaTheme="minorEastAsia" w:cstheme="minorEastAsia"/>
          <w:color w:val="auto"/>
          <w:spacing w:val="-8"/>
          <w:sz w:val="24"/>
          <w:szCs w:val="24"/>
        </w:rPr>
        <w:t>多亩，</w:t>
      </w:r>
      <w:r>
        <w:rPr>
          <w:rFonts w:hint="eastAsia" w:asciiTheme="minorEastAsia" w:hAnsiTheme="minorEastAsia" w:eastAsiaTheme="minorEastAsia" w:cstheme="minorEastAsia"/>
          <w:color w:val="auto"/>
          <w:spacing w:val="-13"/>
          <w:sz w:val="24"/>
          <w:szCs w:val="24"/>
        </w:rPr>
        <w:t>是“天子茶”的产地，也是云浮地级市的茶叶主产区。罗阳高速横跨</w:t>
      </w:r>
      <w:r>
        <w:rPr>
          <w:rFonts w:hint="eastAsia" w:asciiTheme="minorEastAsia" w:hAnsiTheme="minorEastAsia" w:eastAsiaTheme="minorEastAsia" w:cstheme="minorEastAsia"/>
          <w:color w:val="auto"/>
          <w:spacing w:val="-7"/>
          <w:sz w:val="24"/>
          <w:szCs w:val="24"/>
        </w:rPr>
        <w:t>朗塘镇，横跨长度 10.25km</w:t>
      </w:r>
      <w:r>
        <w:rPr>
          <w:rFonts w:hint="eastAsia" w:asciiTheme="minorEastAsia" w:hAnsiTheme="minorEastAsia" w:eastAsiaTheme="minorEastAsia" w:cstheme="minorEastAsia"/>
          <w:color w:val="auto"/>
          <w:spacing w:val="-8"/>
          <w:sz w:val="24"/>
          <w:szCs w:val="24"/>
        </w:rPr>
        <w:t>，成为朗塘镇融入周边城市及珠三角区域的</w:t>
      </w:r>
      <w:r>
        <w:rPr>
          <w:rFonts w:hint="eastAsia" w:asciiTheme="minorEastAsia" w:hAnsiTheme="minorEastAsia" w:eastAsiaTheme="minorEastAsia" w:cstheme="minorEastAsia"/>
          <w:color w:val="auto"/>
          <w:spacing w:val="-7"/>
          <w:sz w:val="24"/>
          <w:szCs w:val="24"/>
        </w:rPr>
        <w:t>重要渠道。</w:t>
      </w:r>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满塘镇目前尚未建设污水处理设施，现状排水体制为雨污合流 制，</w:t>
      </w:r>
      <w:r>
        <w:rPr>
          <w:rFonts w:hint="eastAsia" w:asciiTheme="minorEastAsia" w:hAnsiTheme="minorEastAsia" w:eastAsiaTheme="minorEastAsia" w:cstheme="minorEastAsia"/>
          <w:color w:val="auto"/>
          <w:spacing w:val="-16"/>
          <w:sz w:val="24"/>
          <w:szCs w:val="24"/>
        </w:rPr>
        <w:t>没有独立的污水收集管道。镇区内沿</w:t>
      </w:r>
      <w:r>
        <w:rPr>
          <w:rFonts w:hint="eastAsia" w:asciiTheme="minorEastAsia" w:hAnsiTheme="minorEastAsia" w:eastAsiaTheme="minorEastAsia" w:cstheme="minorEastAsia"/>
          <w:color w:val="auto"/>
          <w:spacing w:val="-4"/>
          <w:sz w:val="24"/>
          <w:szCs w:val="24"/>
        </w:rPr>
        <w:t>369</w:t>
      </w:r>
      <w:r>
        <w:rPr>
          <w:rFonts w:hint="eastAsia" w:asciiTheme="minorEastAsia" w:hAnsiTheme="minorEastAsia" w:eastAsiaTheme="minorEastAsia" w:cstheme="minorEastAsia"/>
          <w:color w:val="auto"/>
          <w:spacing w:val="-15"/>
          <w:sz w:val="24"/>
          <w:szCs w:val="24"/>
        </w:rPr>
        <w:t>省道建有一条排水渠，镇</w:t>
      </w:r>
      <w:r>
        <w:rPr>
          <w:rFonts w:hint="eastAsia" w:asciiTheme="minorEastAsia" w:hAnsiTheme="minorEastAsia" w:eastAsiaTheme="minorEastAsia" w:cstheme="minorEastAsia"/>
          <w:color w:val="auto"/>
          <w:sz w:val="24"/>
          <w:szCs w:val="24"/>
        </w:rPr>
        <w:t>区北部的生活污水及雨水通过街边暗渠汇集后未经处理直接排入排</w:t>
      </w:r>
      <w:r>
        <w:rPr>
          <w:rFonts w:hint="eastAsia" w:asciiTheme="minorEastAsia" w:hAnsiTheme="minorEastAsia" w:eastAsiaTheme="minorEastAsia" w:cstheme="minorEastAsia"/>
          <w:color w:val="auto"/>
          <w:spacing w:val="-15"/>
          <w:sz w:val="24"/>
          <w:szCs w:val="24"/>
        </w:rPr>
        <w:t>水干渠，镇区南部的生活污水及雨水通过街边暗渠汇集未经处理直接排入周边河涌水体，对周边环境产生不利影响。目前，镇区东部建有部分合流方渠及钢筋混凝土管收集生活污水与雨水，但由于年代较久，养护水平不足，管网漏损现象明显，需进行改造。</w:t>
      </w:r>
    </w:p>
    <w:p>
      <w:pPr>
        <w:pStyle w:val="32"/>
        <w:numPr>
          <w:ilvl w:val="3"/>
          <w:numId w:val="7"/>
        </w:numPr>
        <w:tabs>
          <w:tab w:val="left" w:pos="1100"/>
        </w:tabs>
        <w:spacing w:line="500" w:lineRule="exact"/>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围底镇</w:t>
      </w:r>
    </w:p>
    <w:p>
      <w:pPr>
        <w:pStyle w:val="10"/>
        <w:spacing w:line="500" w:lineRule="exact"/>
        <w:ind w:firstLine="50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7"/>
          <w:sz w:val="24"/>
          <w:szCs w:val="24"/>
        </w:rPr>
        <w:t>围底镇位于罗定市中部偏东，距罗定市区</w:t>
      </w:r>
      <w:r>
        <w:rPr>
          <w:rFonts w:hint="eastAsia" w:asciiTheme="minorEastAsia" w:hAnsiTheme="minorEastAsia" w:eastAsiaTheme="minorEastAsia" w:cstheme="minorEastAsia"/>
          <w:color w:val="auto"/>
          <w:sz w:val="24"/>
          <w:szCs w:val="24"/>
        </w:rPr>
        <w:t>12km</w:t>
      </w:r>
      <w:r>
        <w:rPr>
          <w:rFonts w:hint="eastAsia" w:asciiTheme="minorEastAsia" w:hAnsiTheme="minorEastAsia" w:eastAsiaTheme="minorEastAsia" w:cstheme="minorEastAsia"/>
          <w:color w:val="auto"/>
          <w:spacing w:val="-5"/>
          <w:sz w:val="24"/>
          <w:szCs w:val="24"/>
        </w:rPr>
        <w:t>，距云浮市区</w:t>
      </w:r>
      <w:r>
        <w:rPr>
          <w:rFonts w:hint="eastAsia" w:asciiTheme="minorEastAsia" w:hAnsiTheme="minorEastAsia" w:eastAsiaTheme="minorEastAsia" w:cstheme="minorEastAsia"/>
          <w:color w:val="auto"/>
          <w:sz w:val="24"/>
          <w:szCs w:val="24"/>
        </w:rPr>
        <w:t>72km，东经</w:t>
      </w:r>
      <w:r>
        <w:rPr>
          <w:rFonts w:hint="eastAsia" w:asciiTheme="minorEastAsia" w:hAnsiTheme="minorEastAsia" w:eastAsiaTheme="minorEastAsia" w:cstheme="minorEastAsia"/>
          <w:color w:val="auto"/>
          <w:spacing w:val="-8"/>
          <w:sz w:val="24"/>
          <w:szCs w:val="24"/>
        </w:rPr>
        <w:t>111°40</w:t>
      </w:r>
      <w:r>
        <w:rPr>
          <w:rFonts w:hint="eastAsia" w:asciiTheme="minorEastAsia" w:hAnsiTheme="minorEastAsia" w:eastAsiaTheme="minorEastAsia" w:cstheme="minorEastAsia"/>
          <w:color w:val="auto"/>
          <w:spacing w:val="-6"/>
          <w:sz w:val="24"/>
          <w:szCs w:val="24"/>
        </w:rPr>
        <w:t>′，北纬</w:t>
      </w:r>
      <w:r>
        <w:rPr>
          <w:rFonts w:hint="eastAsia" w:asciiTheme="minorEastAsia" w:hAnsiTheme="minorEastAsia" w:eastAsiaTheme="minorEastAsia" w:cstheme="minorEastAsia"/>
          <w:color w:val="auto"/>
          <w:spacing w:val="-3"/>
          <w:sz w:val="24"/>
          <w:szCs w:val="24"/>
        </w:rPr>
        <w:t>22°43</w:t>
      </w:r>
      <w:r>
        <w:rPr>
          <w:rFonts w:hint="eastAsia" w:asciiTheme="minorEastAsia" w:hAnsiTheme="minorEastAsia" w:eastAsiaTheme="minorEastAsia" w:cstheme="minorEastAsia"/>
          <w:color w:val="auto"/>
          <w:spacing w:val="-8"/>
          <w:sz w:val="24"/>
          <w:szCs w:val="24"/>
        </w:rPr>
        <w:t>′，北接苹塘、华石镇，东西</w:t>
      </w:r>
      <w:r>
        <w:rPr>
          <w:rFonts w:hint="eastAsia" w:asciiTheme="minorEastAsia" w:hAnsiTheme="minorEastAsia" w:eastAsiaTheme="minorEastAsia" w:cstheme="minorEastAsia"/>
          <w:color w:val="auto"/>
          <w:spacing w:val="-10"/>
          <w:sz w:val="24"/>
          <w:szCs w:val="24"/>
        </w:rPr>
        <w:t>南三面与金鸡、素龙、罗平、朗塘镇为邻，镇域总面积</w:t>
      </w:r>
      <w:r>
        <w:rPr>
          <w:rFonts w:hint="eastAsia" w:asciiTheme="minorEastAsia" w:hAnsiTheme="minorEastAsia" w:eastAsiaTheme="minorEastAsia" w:cstheme="minorEastAsia"/>
          <w:color w:val="auto"/>
          <w:sz w:val="24"/>
          <w:szCs w:val="24"/>
        </w:rPr>
        <w:t>66.1km²，镇</w:t>
      </w:r>
      <w:r>
        <w:rPr>
          <w:rFonts w:hint="eastAsia" w:asciiTheme="minorEastAsia" w:hAnsiTheme="minorEastAsia" w:eastAsiaTheme="minorEastAsia" w:cstheme="minorEastAsia"/>
          <w:color w:val="auto"/>
          <w:spacing w:val="-15"/>
          <w:sz w:val="24"/>
          <w:szCs w:val="24"/>
        </w:rPr>
        <w:t>区总面积</w:t>
      </w:r>
      <w:r>
        <w:rPr>
          <w:rFonts w:hint="eastAsia" w:asciiTheme="minorEastAsia" w:hAnsiTheme="minorEastAsia" w:eastAsiaTheme="minorEastAsia" w:cstheme="minorEastAsia"/>
          <w:color w:val="auto"/>
          <w:spacing w:val="-18"/>
          <w:sz w:val="24"/>
          <w:szCs w:val="24"/>
        </w:rPr>
        <w:t>1.7km²</w:t>
      </w:r>
      <w:r>
        <w:rPr>
          <w:rFonts w:hint="eastAsia" w:asciiTheme="minorEastAsia" w:hAnsiTheme="minorEastAsia" w:eastAsiaTheme="minorEastAsia" w:cstheme="minorEastAsia"/>
          <w:color w:val="auto"/>
          <w:spacing w:val="-17"/>
          <w:sz w:val="24"/>
          <w:szCs w:val="24"/>
        </w:rPr>
        <w:t>，下辖</w:t>
      </w:r>
      <w:r>
        <w:rPr>
          <w:rFonts w:hint="eastAsia" w:asciiTheme="minorEastAsia" w:hAnsiTheme="minorEastAsia" w:eastAsiaTheme="minorEastAsia" w:cstheme="minorEastAsia"/>
          <w:color w:val="auto"/>
          <w:sz w:val="24"/>
          <w:szCs w:val="24"/>
        </w:rPr>
        <w:t>1</w:t>
      </w:r>
      <w:r>
        <w:rPr>
          <w:rFonts w:hint="eastAsia" w:asciiTheme="minorEastAsia" w:hAnsiTheme="minorEastAsia" w:eastAsiaTheme="minorEastAsia" w:cstheme="minorEastAsia"/>
          <w:color w:val="auto"/>
          <w:spacing w:val="-12"/>
          <w:sz w:val="24"/>
          <w:szCs w:val="24"/>
        </w:rPr>
        <w:t>个居委，</w:t>
      </w:r>
      <w:r>
        <w:rPr>
          <w:rFonts w:hint="eastAsia" w:asciiTheme="minorEastAsia" w:hAnsiTheme="minorEastAsia" w:eastAsiaTheme="minorEastAsia" w:cstheme="minorEastAsia"/>
          <w:color w:val="auto"/>
          <w:spacing w:val="-8"/>
          <w:sz w:val="24"/>
          <w:szCs w:val="24"/>
        </w:rPr>
        <w:t>15</w:t>
      </w:r>
      <w:r>
        <w:rPr>
          <w:rFonts w:hint="eastAsia" w:asciiTheme="minorEastAsia" w:hAnsiTheme="minorEastAsia" w:eastAsiaTheme="minorEastAsia" w:cstheme="minorEastAsia"/>
          <w:color w:val="auto"/>
          <w:spacing w:val="-10"/>
          <w:sz w:val="24"/>
          <w:szCs w:val="24"/>
        </w:rPr>
        <w:t>个村委，</w:t>
      </w:r>
      <w:r>
        <w:rPr>
          <w:rFonts w:hint="eastAsia" w:asciiTheme="minorEastAsia" w:hAnsiTheme="minorEastAsia" w:eastAsiaTheme="minorEastAsia" w:cstheme="minorEastAsia"/>
          <w:color w:val="auto"/>
          <w:spacing w:val="-9"/>
          <w:sz w:val="24"/>
          <w:szCs w:val="24"/>
        </w:rPr>
        <w:t>2018</w:t>
      </w:r>
      <w:r>
        <w:rPr>
          <w:rFonts w:hint="eastAsia" w:asciiTheme="minorEastAsia" w:hAnsiTheme="minorEastAsia" w:eastAsiaTheme="minorEastAsia" w:cstheme="minorEastAsia"/>
          <w:color w:val="auto"/>
          <w:spacing w:val="-12"/>
          <w:sz w:val="24"/>
          <w:szCs w:val="24"/>
        </w:rPr>
        <w:t>年末全镇户籍人口</w:t>
      </w:r>
      <w:r>
        <w:rPr>
          <w:rFonts w:hint="eastAsia" w:asciiTheme="minorEastAsia" w:hAnsiTheme="minorEastAsia" w:eastAsiaTheme="minorEastAsia" w:cstheme="minorEastAsia"/>
          <w:color w:val="auto"/>
          <w:spacing w:val="-19"/>
          <w:sz w:val="24"/>
          <w:szCs w:val="24"/>
        </w:rPr>
        <w:t>约</w:t>
      </w:r>
      <w:r>
        <w:rPr>
          <w:rFonts w:hint="eastAsia" w:asciiTheme="minorEastAsia" w:hAnsiTheme="minorEastAsia" w:eastAsiaTheme="minorEastAsia" w:cstheme="minorEastAsia"/>
          <w:color w:val="auto"/>
          <w:sz w:val="24"/>
          <w:szCs w:val="24"/>
        </w:rPr>
        <w:t>4.85</w:t>
      </w:r>
      <w:r>
        <w:rPr>
          <w:rFonts w:hint="eastAsia" w:asciiTheme="minorEastAsia" w:hAnsiTheme="minorEastAsia" w:eastAsiaTheme="minorEastAsia" w:cstheme="minorEastAsia"/>
          <w:color w:val="auto"/>
          <w:spacing w:val="-15"/>
          <w:sz w:val="24"/>
          <w:szCs w:val="24"/>
        </w:rPr>
        <w:t>万人，常住总人口约</w:t>
      </w:r>
      <w:r>
        <w:rPr>
          <w:rFonts w:hint="eastAsia" w:asciiTheme="minorEastAsia" w:hAnsiTheme="minorEastAsia" w:eastAsiaTheme="minorEastAsia" w:cstheme="minorEastAsia"/>
          <w:color w:val="auto"/>
          <w:sz w:val="24"/>
          <w:szCs w:val="24"/>
        </w:rPr>
        <w:t>3.2</w:t>
      </w:r>
      <w:r>
        <w:rPr>
          <w:rFonts w:hint="eastAsia" w:asciiTheme="minorEastAsia" w:hAnsiTheme="minorEastAsia" w:eastAsiaTheme="minorEastAsia" w:cstheme="minorEastAsia"/>
          <w:color w:val="auto"/>
          <w:spacing w:val="-15"/>
          <w:sz w:val="24"/>
          <w:szCs w:val="24"/>
        </w:rPr>
        <w:t>万人。围底镇交通便利，国道</w:t>
      </w:r>
      <w:r>
        <w:rPr>
          <w:rFonts w:hint="eastAsia" w:asciiTheme="minorEastAsia" w:hAnsiTheme="minorEastAsia" w:eastAsiaTheme="minorEastAsia" w:cstheme="minorEastAsia"/>
          <w:color w:val="auto"/>
          <w:sz w:val="24"/>
          <w:szCs w:val="24"/>
        </w:rPr>
        <w:t>324</w:t>
      </w:r>
      <w:r>
        <w:rPr>
          <w:rFonts w:hint="eastAsia" w:asciiTheme="minorEastAsia" w:hAnsiTheme="minorEastAsia" w:eastAsiaTheme="minorEastAsia" w:cstheme="minorEastAsia"/>
          <w:color w:val="auto"/>
          <w:spacing w:val="-5"/>
          <w:sz w:val="24"/>
          <w:szCs w:val="24"/>
        </w:rPr>
        <w:t>线、罗阳</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pacing w:val="-5"/>
          <w:sz w:val="24"/>
          <w:szCs w:val="24"/>
        </w:rPr>
        <w:t>罗定至阳江</w:t>
      </w:r>
      <w:r>
        <w:rPr>
          <w:rFonts w:hint="eastAsia" w:asciiTheme="minorEastAsia" w:hAnsiTheme="minorEastAsia" w:eastAsiaTheme="minorEastAsia" w:cstheme="minorEastAsia"/>
          <w:color w:val="auto"/>
          <w:spacing w:val="-101"/>
          <w:sz w:val="24"/>
          <w:szCs w:val="24"/>
        </w:rPr>
        <w:t>）</w:t>
      </w:r>
      <w:r>
        <w:rPr>
          <w:rFonts w:hint="eastAsia" w:asciiTheme="minorEastAsia" w:hAnsiTheme="minorEastAsia" w:eastAsiaTheme="minorEastAsia" w:cstheme="minorEastAsia"/>
          <w:color w:val="auto"/>
          <w:spacing w:val="-22"/>
          <w:sz w:val="24"/>
          <w:szCs w:val="24"/>
        </w:rPr>
        <w:t>高速贯穿镇境，正在兴建的云岑</w:t>
      </w:r>
      <w:r>
        <w:rPr>
          <w:rFonts w:hint="eastAsia" w:asciiTheme="minorEastAsia" w:hAnsiTheme="minorEastAsia" w:eastAsiaTheme="minorEastAsia" w:cstheme="minorEastAsia"/>
          <w:color w:val="auto"/>
          <w:spacing w:val="-8"/>
          <w:sz w:val="24"/>
          <w:szCs w:val="24"/>
        </w:rPr>
        <w:t>（</w:t>
      </w:r>
      <w:r>
        <w:rPr>
          <w:rFonts w:hint="eastAsia" w:asciiTheme="minorEastAsia" w:hAnsiTheme="minorEastAsia" w:eastAsiaTheme="minorEastAsia" w:cstheme="minorEastAsia"/>
          <w:color w:val="auto"/>
          <w:spacing w:val="-5"/>
          <w:sz w:val="24"/>
          <w:szCs w:val="24"/>
        </w:rPr>
        <w:t>云浮至罗定</w:t>
      </w:r>
      <w:r>
        <w:rPr>
          <w:rFonts w:hint="eastAsia" w:asciiTheme="minorEastAsia" w:hAnsiTheme="minorEastAsia" w:eastAsiaTheme="minorEastAsia" w:cstheme="minorEastAsia"/>
          <w:color w:val="auto"/>
          <w:sz w:val="24"/>
          <w:szCs w:val="24"/>
        </w:rPr>
        <w:t xml:space="preserve">） </w:t>
      </w:r>
      <w:r>
        <w:rPr>
          <w:rFonts w:hint="eastAsia" w:asciiTheme="minorEastAsia" w:hAnsiTheme="minorEastAsia" w:eastAsiaTheme="minorEastAsia" w:cstheme="minorEastAsia"/>
          <w:color w:val="auto"/>
          <w:spacing w:val="-10"/>
          <w:sz w:val="24"/>
          <w:szCs w:val="24"/>
        </w:rPr>
        <w:t>高速、江罗</w:t>
      </w:r>
      <w:r>
        <w:rPr>
          <w:rFonts w:hint="eastAsia" w:asciiTheme="minorEastAsia" w:hAnsiTheme="minorEastAsia" w:eastAsiaTheme="minorEastAsia" w:cstheme="minorEastAsia"/>
          <w:color w:val="auto"/>
          <w:spacing w:val="-3"/>
          <w:sz w:val="24"/>
          <w:szCs w:val="24"/>
        </w:rPr>
        <w:t>（</w:t>
      </w:r>
      <w:r>
        <w:rPr>
          <w:rFonts w:hint="eastAsia" w:asciiTheme="minorEastAsia" w:hAnsiTheme="minorEastAsia" w:eastAsiaTheme="minorEastAsia" w:cstheme="minorEastAsia"/>
          <w:color w:val="auto"/>
          <w:spacing w:val="-8"/>
          <w:sz w:val="24"/>
          <w:szCs w:val="24"/>
        </w:rPr>
        <w:t>江门至罗定</w:t>
      </w:r>
      <w:r>
        <w:rPr>
          <w:rFonts w:hint="eastAsia" w:asciiTheme="minorEastAsia" w:hAnsiTheme="minorEastAsia" w:eastAsiaTheme="minorEastAsia" w:cstheme="minorEastAsia"/>
          <w:color w:val="auto"/>
          <w:spacing w:val="-39"/>
          <w:sz w:val="24"/>
          <w:szCs w:val="24"/>
        </w:rPr>
        <w:t>）</w:t>
      </w:r>
      <w:r>
        <w:rPr>
          <w:rFonts w:hint="eastAsia" w:asciiTheme="minorEastAsia" w:hAnsiTheme="minorEastAsia" w:eastAsiaTheme="minorEastAsia" w:cstheme="minorEastAsia"/>
          <w:color w:val="auto"/>
          <w:spacing w:val="-3"/>
          <w:sz w:val="24"/>
          <w:szCs w:val="24"/>
        </w:rPr>
        <w:t>高速的交汇点离围底镇仅</w:t>
      </w:r>
      <w:r>
        <w:rPr>
          <w:rFonts w:hint="eastAsia" w:asciiTheme="minorEastAsia" w:hAnsiTheme="minorEastAsia" w:eastAsiaTheme="minorEastAsia" w:cstheme="minorEastAsia"/>
          <w:color w:val="auto"/>
          <w:spacing w:val="-12"/>
          <w:sz w:val="24"/>
          <w:szCs w:val="24"/>
        </w:rPr>
        <w:t>1km</w:t>
      </w:r>
      <w:r>
        <w:rPr>
          <w:rFonts w:hint="eastAsia" w:asciiTheme="minorEastAsia" w:hAnsiTheme="minorEastAsia" w:eastAsiaTheme="minorEastAsia" w:cstheme="minorEastAsia"/>
          <w:color w:val="auto"/>
          <w:spacing w:val="-8"/>
          <w:sz w:val="24"/>
          <w:szCs w:val="24"/>
        </w:rPr>
        <w:t>，交通区位将</w:t>
      </w:r>
      <w:r>
        <w:rPr>
          <w:rFonts w:hint="eastAsia" w:asciiTheme="minorEastAsia" w:hAnsiTheme="minorEastAsia" w:eastAsiaTheme="minorEastAsia" w:cstheme="minorEastAsia"/>
          <w:color w:val="auto"/>
          <w:spacing w:val="-9"/>
          <w:sz w:val="24"/>
          <w:szCs w:val="24"/>
        </w:rPr>
        <w:t>得到进一步的提升。</w:t>
      </w:r>
    </w:p>
    <w:p>
      <w:pPr>
        <w:pStyle w:val="10"/>
        <w:spacing w:line="500" w:lineRule="exact"/>
        <w:ind w:firstLine="428" w:firstLineChars="200"/>
        <w:jc w:val="both"/>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13"/>
          <w:sz w:val="24"/>
          <w:szCs w:val="24"/>
        </w:rPr>
        <w:t>围底镇目前尚未建设污水处理设施，不具备统一的排水系统，生活污水与雨水均采用明渠漫流的方式未经任何处理直接排放至附近河</w:t>
      </w:r>
      <w:r>
        <w:rPr>
          <w:rFonts w:hint="eastAsia" w:asciiTheme="minorEastAsia" w:hAnsiTheme="minorEastAsia" w:eastAsiaTheme="minorEastAsia" w:cstheme="minorEastAsia"/>
          <w:color w:val="auto"/>
          <w:spacing w:val="-15"/>
          <w:sz w:val="24"/>
          <w:szCs w:val="24"/>
        </w:rPr>
        <w:t xml:space="preserve">涌水体。围底镇区主要排污口位于 </w:t>
      </w:r>
      <w:r>
        <w:rPr>
          <w:rFonts w:hint="eastAsia" w:asciiTheme="minorEastAsia" w:hAnsiTheme="minorEastAsia" w:eastAsiaTheme="minorEastAsia" w:cstheme="minorEastAsia"/>
          <w:color w:val="auto"/>
          <w:sz w:val="24"/>
          <w:szCs w:val="24"/>
        </w:rPr>
        <w:t>833</w:t>
      </w:r>
      <w:r>
        <w:rPr>
          <w:rFonts w:hint="eastAsia" w:asciiTheme="minorEastAsia" w:hAnsiTheme="minorEastAsia" w:eastAsiaTheme="minorEastAsia" w:cstheme="minorEastAsia"/>
          <w:color w:val="auto"/>
          <w:spacing w:val="-17"/>
          <w:sz w:val="24"/>
          <w:szCs w:val="24"/>
        </w:rPr>
        <w:t xml:space="preserve">乡道与 </w:t>
      </w:r>
      <w:r>
        <w:rPr>
          <w:rFonts w:hint="eastAsia" w:asciiTheme="minorEastAsia" w:hAnsiTheme="minorEastAsia" w:eastAsiaTheme="minorEastAsia" w:cstheme="minorEastAsia"/>
          <w:color w:val="auto"/>
          <w:sz w:val="24"/>
          <w:szCs w:val="24"/>
        </w:rPr>
        <w:t>800</w:t>
      </w:r>
      <w:r>
        <w:rPr>
          <w:rFonts w:hint="eastAsia" w:asciiTheme="minorEastAsia" w:hAnsiTheme="minorEastAsia" w:eastAsiaTheme="minorEastAsia" w:cstheme="minorEastAsia"/>
          <w:color w:val="auto"/>
          <w:spacing w:val="-10"/>
          <w:sz w:val="24"/>
          <w:szCs w:val="24"/>
        </w:rPr>
        <w:t>乡道交界处，生活</w:t>
      </w:r>
      <w:r>
        <w:rPr>
          <w:rFonts w:hint="eastAsia" w:asciiTheme="minorEastAsia" w:hAnsiTheme="minorEastAsia" w:eastAsiaTheme="minorEastAsia" w:cstheme="minorEastAsia"/>
          <w:color w:val="auto"/>
          <w:spacing w:val="-15"/>
          <w:sz w:val="24"/>
          <w:szCs w:val="24"/>
        </w:rPr>
        <w:t>污水直接排入围底河，导致周边水环境遭受污染，对周边居民环境产</w:t>
      </w:r>
      <w:r>
        <w:rPr>
          <w:rFonts w:hint="eastAsia" w:asciiTheme="minorEastAsia" w:hAnsiTheme="minorEastAsia" w:eastAsiaTheme="minorEastAsia" w:cstheme="minorEastAsia"/>
          <w:color w:val="auto"/>
          <w:spacing w:val="-8"/>
          <w:sz w:val="24"/>
          <w:szCs w:val="24"/>
        </w:rPr>
        <w:t>生一定影响。</w:t>
      </w:r>
    </w:p>
    <w:p>
      <w:pPr>
        <w:pStyle w:val="32"/>
        <w:numPr>
          <w:ilvl w:val="3"/>
          <w:numId w:val="7"/>
        </w:numPr>
        <w:tabs>
          <w:tab w:val="left" w:pos="1100"/>
          <w:tab w:val="left" w:pos="1320"/>
          <w:tab w:val="left" w:pos="1760"/>
        </w:tabs>
        <w:spacing w:line="500" w:lineRule="exact"/>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罗平镇</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罗平镇位于罗定市中部偏南位置，地理位置优越，距罗定市城区20</w:t>
      </w:r>
      <w:r>
        <w:rPr>
          <w:rFonts w:hint="eastAsia" w:asciiTheme="minorEastAsia" w:hAnsiTheme="minorEastAsia" w:eastAsiaTheme="minorEastAsia" w:cstheme="minorEastAsia"/>
          <w:color w:val="auto"/>
          <w:spacing w:val="-20"/>
          <w:sz w:val="24"/>
          <w:szCs w:val="24"/>
        </w:rPr>
        <w:t xml:space="preserve">公里。全镇总面积 </w:t>
      </w:r>
      <w:r>
        <w:rPr>
          <w:rFonts w:hint="eastAsia" w:asciiTheme="minorEastAsia" w:hAnsiTheme="minorEastAsia" w:eastAsiaTheme="minorEastAsia" w:cstheme="minorEastAsia"/>
          <w:color w:val="auto"/>
          <w:sz w:val="24"/>
          <w:szCs w:val="24"/>
        </w:rPr>
        <w:t>135.61</w:t>
      </w:r>
      <w:r>
        <w:rPr>
          <w:rFonts w:hint="eastAsia" w:asciiTheme="minorEastAsia" w:hAnsiTheme="minorEastAsia" w:eastAsiaTheme="minorEastAsia" w:cstheme="minorEastAsia"/>
          <w:color w:val="auto"/>
          <w:spacing w:val="-22"/>
          <w:sz w:val="24"/>
          <w:szCs w:val="24"/>
        </w:rPr>
        <w:t xml:space="preserve">平方公里，管辖 </w:t>
      </w:r>
      <w:r>
        <w:rPr>
          <w:rFonts w:hint="eastAsia" w:asciiTheme="minorEastAsia" w:hAnsiTheme="minorEastAsia" w:eastAsiaTheme="minorEastAsia" w:cstheme="minorEastAsia"/>
          <w:color w:val="auto"/>
          <w:sz w:val="24"/>
          <w:szCs w:val="24"/>
        </w:rPr>
        <w:t>23</w:t>
      </w:r>
      <w:r>
        <w:rPr>
          <w:rFonts w:hint="eastAsia" w:asciiTheme="minorEastAsia" w:hAnsiTheme="minorEastAsia" w:eastAsiaTheme="minorEastAsia" w:cstheme="minorEastAsia"/>
          <w:color w:val="auto"/>
          <w:spacing w:val="-17"/>
          <w:sz w:val="24"/>
          <w:szCs w:val="24"/>
        </w:rPr>
        <w:t xml:space="preserve">个村委和 </w:t>
      </w:r>
      <w:r>
        <w:rPr>
          <w:rFonts w:hint="eastAsia" w:asciiTheme="minorEastAsia" w:hAnsiTheme="minorEastAsia" w:eastAsiaTheme="minorEastAsia" w:cstheme="minorEastAsia"/>
          <w:color w:val="auto"/>
          <w:sz w:val="24"/>
          <w:szCs w:val="24"/>
        </w:rPr>
        <w:t>1</w:t>
      </w:r>
      <w:r>
        <w:rPr>
          <w:rFonts w:hint="eastAsia" w:asciiTheme="minorEastAsia" w:hAnsiTheme="minorEastAsia" w:eastAsiaTheme="minorEastAsia" w:cstheme="minorEastAsia"/>
          <w:color w:val="auto"/>
          <w:spacing w:val="-3"/>
          <w:sz w:val="24"/>
          <w:szCs w:val="24"/>
        </w:rPr>
        <w:t>个社区居</w:t>
      </w:r>
      <w:r>
        <w:rPr>
          <w:rFonts w:hint="eastAsia" w:asciiTheme="minorEastAsia" w:hAnsiTheme="minorEastAsia" w:eastAsiaTheme="minorEastAsia" w:cstheme="minorEastAsia"/>
          <w:color w:val="auto"/>
          <w:spacing w:val="-5"/>
          <w:sz w:val="24"/>
          <w:szCs w:val="24"/>
        </w:rPr>
        <w:t>委，</w:t>
      </w:r>
      <w:r>
        <w:rPr>
          <w:rFonts w:hint="eastAsia" w:asciiTheme="minorEastAsia" w:hAnsiTheme="minorEastAsia" w:eastAsiaTheme="minorEastAsia" w:cstheme="minorEastAsia"/>
          <w:color w:val="auto"/>
          <w:spacing w:val="-4"/>
          <w:sz w:val="24"/>
          <w:szCs w:val="24"/>
        </w:rPr>
        <w:t>2018</w:t>
      </w:r>
      <w:r>
        <w:rPr>
          <w:rFonts w:hint="eastAsia" w:asciiTheme="minorEastAsia" w:hAnsiTheme="minorEastAsia" w:eastAsiaTheme="minorEastAsia" w:cstheme="minorEastAsia"/>
          <w:color w:val="auto"/>
          <w:spacing w:val="-13"/>
          <w:sz w:val="24"/>
          <w:szCs w:val="24"/>
        </w:rPr>
        <w:t>年末全镇户籍人口约</w:t>
      </w:r>
      <w:r>
        <w:rPr>
          <w:rFonts w:hint="eastAsia" w:asciiTheme="minorEastAsia" w:hAnsiTheme="minorEastAsia" w:eastAsiaTheme="minorEastAsia" w:cstheme="minorEastAsia"/>
          <w:color w:val="auto"/>
          <w:sz w:val="24"/>
          <w:szCs w:val="24"/>
        </w:rPr>
        <w:t>9.1</w:t>
      </w:r>
      <w:r>
        <w:rPr>
          <w:rFonts w:hint="eastAsia" w:asciiTheme="minorEastAsia" w:hAnsiTheme="minorEastAsia" w:eastAsiaTheme="minorEastAsia" w:cstheme="minorEastAsia"/>
          <w:color w:val="auto"/>
          <w:spacing w:val="-15"/>
          <w:sz w:val="24"/>
          <w:szCs w:val="24"/>
        </w:rPr>
        <w:t>万人，常住总人口约</w:t>
      </w:r>
      <w:r>
        <w:rPr>
          <w:rFonts w:hint="eastAsia" w:asciiTheme="minorEastAsia" w:hAnsiTheme="minorEastAsia" w:eastAsiaTheme="minorEastAsia" w:cstheme="minorEastAsia"/>
          <w:color w:val="auto"/>
          <w:sz w:val="24"/>
          <w:szCs w:val="24"/>
        </w:rPr>
        <w:t>6.4</w:t>
      </w:r>
      <w:r>
        <w:rPr>
          <w:rFonts w:hint="eastAsia" w:asciiTheme="minorEastAsia" w:hAnsiTheme="minorEastAsia" w:eastAsiaTheme="minorEastAsia" w:cstheme="minorEastAsia"/>
          <w:color w:val="auto"/>
          <w:spacing w:val="-6"/>
          <w:sz w:val="24"/>
          <w:szCs w:val="24"/>
        </w:rPr>
        <w:t>万人。罗</w:t>
      </w:r>
      <w:r>
        <w:rPr>
          <w:rFonts w:hint="eastAsia" w:asciiTheme="minorEastAsia" w:hAnsiTheme="minorEastAsia" w:eastAsiaTheme="minorEastAsia" w:cstheme="minorEastAsia"/>
          <w:color w:val="auto"/>
          <w:spacing w:val="-13"/>
          <w:sz w:val="24"/>
          <w:szCs w:val="24"/>
        </w:rPr>
        <w:t>平镇交通便捷，省道</w:t>
      </w:r>
      <w:r>
        <w:rPr>
          <w:rFonts w:hint="eastAsia" w:asciiTheme="minorEastAsia" w:hAnsiTheme="minorEastAsia" w:eastAsiaTheme="minorEastAsia" w:cstheme="minorEastAsia"/>
          <w:color w:val="auto"/>
          <w:sz w:val="24"/>
          <w:szCs w:val="24"/>
        </w:rPr>
        <w:t>S280</w:t>
      </w:r>
      <w:r>
        <w:rPr>
          <w:rFonts w:hint="eastAsia" w:asciiTheme="minorEastAsia" w:hAnsiTheme="minorEastAsia" w:eastAsiaTheme="minorEastAsia" w:cstheme="minorEastAsia"/>
          <w:color w:val="auto"/>
          <w:spacing w:val="-3"/>
          <w:sz w:val="24"/>
          <w:szCs w:val="24"/>
        </w:rPr>
        <w:t>省道、</w:t>
      </w:r>
      <w:r>
        <w:rPr>
          <w:rFonts w:hint="eastAsia" w:asciiTheme="minorEastAsia" w:hAnsiTheme="minorEastAsia" w:eastAsiaTheme="minorEastAsia" w:cstheme="minorEastAsia"/>
          <w:color w:val="auto"/>
          <w:sz w:val="24"/>
          <w:szCs w:val="24"/>
        </w:rPr>
        <w:t>S369</w:t>
      </w:r>
      <w:r>
        <w:rPr>
          <w:rFonts w:hint="eastAsia" w:asciiTheme="minorEastAsia" w:hAnsiTheme="minorEastAsia" w:eastAsiaTheme="minorEastAsia" w:cstheme="minorEastAsia"/>
          <w:color w:val="auto"/>
          <w:spacing w:val="-18"/>
          <w:sz w:val="24"/>
          <w:szCs w:val="24"/>
        </w:rPr>
        <w:t>省道和</w:t>
      </w:r>
      <w:r>
        <w:rPr>
          <w:rFonts w:hint="eastAsia" w:asciiTheme="minorEastAsia" w:hAnsiTheme="minorEastAsia" w:eastAsiaTheme="minorEastAsia" w:cstheme="minorEastAsia"/>
          <w:color w:val="auto"/>
          <w:sz w:val="24"/>
          <w:szCs w:val="24"/>
        </w:rPr>
        <w:t>X479</w:t>
      </w:r>
      <w:r>
        <w:rPr>
          <w:rFonts w:hint="eastAsia" w:asciiTheme="minorEastAsia" w:hAnsiTheme="minorEastAsia" w:eastAsiaTheme="minorEastAsia" w:cstheme="minorEastAsia"/>
          <w:color w:val="auto"/>
          <w:spacing w:val="-7"/>
          <w:sz w:val="24"/>
          <w:szCs w:val="24"/>
        </w:rPr>
        <w:t xml:space="preserve">县道穿越境内； </w:t>
      </w:r>
      <w:r>
        <w:rPr>
          <w:rFonts w:hint="eastAsia" w:asciiTheme="minorEastAsia" w:hAnsiTheme="minorEastAsia" w:eastAsiaTheme="minorEastAsia" w:cstheme="minorEastAsia"/>
          <w:color w:val="auto"/>
          <w:spacing w:val="-20"/>
          <w:sz w:val="24"/>
          <w:szCs w:val="24"/>
        </w:rPr>
        <w:t xml:space="preserve">有耕地 </w:t>
      </w:r>
      <w:r>
        <w:rPr>
          <w:rFonts w:hint="eastAsia" w:asciiTheme="minorEastAsia" w:hAnsiTheme="minorEastAsia" w:eastAsiaTheme="minorEastAsia" w:cstheme="minorEastAsia"/>
          <w:color w:val="auto"/>
          <w:sz w:val="24"/>
          <w:szCs w:val="24"/>
        </w:rPr>
        <w:t>38959</w:t>
      </w:r>
      <w:r>
        <w:rPr>
          <w:rFonts w:hint="eastAsia" w:asciiTheme="minorEastAsia" w:hAnsiTheme="minorEastAsia" w:eastAsiaTheme="minorEastAsia" w:cstheme="minorEastAsia"/>
          <w:color w:val="auto"/>
          <w:spacing w:val="-37"/>
          <w:sz w:val="24"/>
          <w:szCs w:val="24"/>
        </w:rPr>
        <w:t xml:space="preserve">亩，林地 </w:t>
      </w:r>
      <w:r>
        <w:rPr>
          <w:rFonts w:hint="eastAsia" w:asciiTheme="minorEastAsia" w:hAnsiTheme="minorEastAsia" w:eastAsiaTheme="minorEastAsia" w:cstheme="minorEastAsia"/>
          <w:color w:val="auto"/>
          <w:sz w:val="24"/>
          <w:szCs w:val="24"/>
        </w:rPr>
        <w:t>90199</w:t>
      </w:r>
      <w:r>
        <w:rPr>
          <w:rFonts w:hint="eastAsia" w:asciiTheme="minorEastAsia" w:hAnsiTheme="minorEastAsia" w:eastAsiaTheme="minorEastAsia" w:cstheme="minorEastAsia"/>
          <w:color w:val="auto"/>
          <w:spacing w:val="-22"/>
          <w:sz w:val="24"/>
          <w:szCs w:val="24"/>
        </w:rPr>
        <w:t>亩，是罗定市主要的水果、蔬菜、蚕桑、</w:t>
      </w:r>
      <w:r>
        <w:rPr>
          <w:rFonts w:hint="eastAsia" w:asciiTheme="minorEastAsia" w:hAnsiTheme="minorEastAsia" w:eastAsiaTheme="minorEastAsia" w:cstheme="minorEastAsia"/>
          <w:color w:val="auto"/>
          <w:spacing w:val="-20"/>
          <w:sz w:val="24"/>
          <w:szCs w:val="24"/>
        </w:rPr>
        <w:t>花生、甘蔗、冬种马铃薯生产基地；有全国水稻高产万亩示范点和优质粮生产现代农业园区等现代农业园区，是著名米业品牌“聚龙米”、</w:t>
      </w:r>
      <w:r>
        <w:rPr>
          <w:rFonts w:hint="eastAsia" w:asciiTheme="minorEastAsia" w:hAnsiTheme="minorEastAsia" w:eastAsiaTheme="minorEastAsia" w:cstheme="minorEastAsia"/>
          <w:color w:val="auto"/>
          <w:spacing w:val="-13"/>
          <w:sz w:val="24"/>
          <w:szCs w:val="24"/>
        </w:rPr>
        <w:t>“阿灿米”的主要生产基地之一。全镇地形大部分地势平坦，以平原</w:t>
      </w:r>
      <w:r>
        <w:rPr>
          <w:rFonts w:hint="eastAsia" w:asciiTheme="minorEastAsia" w:hAnsiTheme="minorEastAsia" w:eastAsiaTheme="minorEastAsia" w:cstheme="minorEastAsia"/>
          <w:color w:val="auto"/>
          <w:spacing w:val="-5"/>
          <w:sz w:val="24"/>
          <w:szCs w:val="24"/>
        </w:rPr>
        <w:t>低丘为主，土质肥沃疏松。</w:t>
      </w:r>
    </w:p>
    <w:p>
      <w:pPr>
        <w:pStyle w:val="10"/>
        <w:tabs>
          <w:tab w:val="left" w:pos="440"/>
        </w:tabs>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目前罗平镇尚未建设污水处理设施和污水收集管网，现状排水体制为雨污合流制，生活污水通过水沟或暗渠收集未经任何处理直接排</w:t>
      </w:r>
      <w:r>
        <w:rPr>
          <w:rFonts w:hint="eastAsia" w:asciiTheme="minorEastAsia" w:hAnsiTheme="minorEastAsia" w:eastAsiaTheme="minorEastAsia" w:cstheme="minorEastAsia"/>
          <w:color w:val="auto"/>
          <w:spacing w:val="-17"/>
          <w:sz w:val="24"/>
          <w:szCs w:val="24"/>
        </w:rPr>
        <w:t>向附近水体，对周边居民生活环境和周边水体都有一定影响。镇区主</w:t>
      </w:r>
      <w:r>
        <w:rPr>
          <w:rFonts w:hint="eastAsia" w:asciiTheme="minorEastAsia" w:hAnsiTheme="minorEastAsia" w:eastAsiaTheme="minorEastAsia" w:cstheme="minorEastAsia"/>
          <w:color w:val="auto"/>
          <w:spacing w:val="-15"/>
          <w:sz w:val="24"/>
          <w:szCs w:val="24"/>
        </w:rPr>
        <w:t xml:space="preserve">要排污口位于镇政府东北角河涌处，镇区的生活污水与雨水汇集至镇政府东北角河涌，并最终流向 </w:t>
      </w:r>
      <w:r>
        <w:rPr>
          <w:rFonts w:hint="eastAsia" w:asciiTheme="minorEastAsia" w:hAnsiTheme="minorEastAsia" w:eastAsiaTheme="minorEastAsia" w:cstheme="minorEastAsia"/>
          <w:color w:val="auto"/>
          <w:sz w:val="24"/>
          <w:szCs w:val="24"/>
        </w:rPr>
        <w:t>899</w:t>
      </w:r>
      <w:r>
        <w:rPr>
          <w:rFonts w:hint="eastAsia" w:asciiTheme="minorEastAsia" w:hAnsiTheme="minorEastAsia" w:eastAsiaTheme="minorEastAsia" w:cstheme="minorEastAsia"/>
          <w:color w:val="auto"/>
          <w:spacing w:val="-7"/>
          <w:sz w:val="24"/>
          <w:szCs w:val="24"/>
        </w:rPr>
        <w:t>乡道旁河涌。</w:t>
      </w:r>
    </w:p>
    <w:p>
      <w:pPr>
        <w:pStyle w:val="32"/>
        <w:numPr>
          <w:ilvl w:val="3"/>
          <w:numId w:val="7"/>
        </w:numPr>
        <w:tabs>
          <w:tab w:val="left" w:pos="880"/>
          <w:tab w:val="left" w:pos="1320"/>
          <w:tab w:val="left" w:pos="1540"/>
        </w:tabs>
        <w:spacing w:line="500" w:lineRule="exact"/>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苹塘镇</w:t>
      </w:r>
    </w:p>
    <w:p>
      <w:pPr>
        <w:pStyle w:val="10"/>
        <w:tabs>
          <w:tab w:val="left" w:pos="440"/>
        </w:tabs>
        <w:spacing w:line="500" w:lineRule="exact"/>
        <w:ind w:firstLine="42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3"/>
          <w:sz w:val="24"/>
          <w:szCs w:val="24"/>
        </w:rPr>
        <w:t>苹塘镇位于罗定市东部，距城区</w:t>
      </w:r>
      <w:r>
        <w:rPr>
          <w:rFonts w:hint="eastAsia" w:asciiTheme="minorEastAsia" w:hAnsiTheme="minorEastAsia" w:eastAsiaTheme="minorEastAsia" w:cstheme="minorEastAsia"/>
          <w:color w:val="auto"/>
          <w:sz w:val="24"/>
          <w:szCs w:val="24"/>
        </w:rPr>
        <w:t>25</w:t>
      </w:r>
      <w:r>
        <w:rPr>
          <w:rFonts w:hint="eastAsia" w:asciiTheme="minorEastAsia" w:hAnsiTheme="minorEastAsia" w:eastAsiaTheme="minorEastAsia" w:cstheme="minorEastAsia"/>
          <w:color w:val="auto"/>
          <w:spacing w:val="-5"/>
          <w:sz w:val="24"/>
          <w:szCs w:val="24"/>
        </w:rPr>
        <w:t>公里，</w:t>
      </w:r>
      <w:r>
        <w:rPr>
          <w:rFonts w:hint="eastAsia" w:asciiTheme="minorEastAsia" w:hAnsiTheme="minorEastAsia" w:eastAsiaTheme="minorEastAsia" w:cstheme="minorEastAsia"/>
          <w:color w:val="auto"/>
          <w:spacing w:val="-8"/>
          <w:sz w:val="24"/>
          <w:szCs w:val="24"/>
        </w:rPr>
        <w:t>东面与金鸡镇相邻，南面</w:t>
      </w:r>
      <w:r>
        <w:rPr>
          <w:rFonts w:hint="eastAsia" w:asciiTheme="minorEastAsia" w:hAnsiTheme="minorEastAsia" w:eastAsiaTheme="minorEastAsia" w:cstheme="minorEastAsia"/>
          <w:color w:val="auto"/>
          <w:spacing w:val="-15"/>
          <w:sz w:val="24"/>
          <w:szCs w:val="24"/>
        </w:rPr>
        <w:t>与华石镇相邻，西面与围底镇相邻，北面与云安县的镇安、白石镇和</w:t>
      </w:r>
      <w:r>
        <w:rPr>
          <w:rFonts w:hint="eastAsia" w:asciiTheme="minorEastAsia" w:hAnsiTheme="minorEastAsia" w:eastAsiaTheme="minorEastAsia" w:cstheme="minorEastAsia"/>
          <w:color w:val="auto"/>
          <w:spacing w:val="-25"/>
          <w:sz w:val="24"/>
          <w:szCs w:val="24"/>
        </w:rPr>
        <w:t xml:space="preserve">郁南县的河口镇交界。全镇总面积 </w:t>
      </w:r>
      <w:r>
        <w:rPr>
          <w:rFonts w:hint="eastAsia" w:asciiTheme="minorEastAsia" w:hAnsiTheme="minorEastAsia" w:eastAsiaTheme="minorEastAsia" w:cstheme="minorEastAsia"/>
          <w:color w:val="auto"/>
          <w:sz w:val="24"/>
          <w:szCs w:val="24"/>
        </w:rPr>
        <w:t>88.4</w:t>
      </w:r>
      <w:r>
        <w:rPr>
          <w:rFonts w:hint="eastAsia" w:asciiTheme="minorEastAsia" w:hAnsiTheme="minorEastAsia" w:eastAsiaTheme="minorEastAsia" w:cstheme="minorEastAsia"/>
          <w:color w:val="auto"/>
          <w:spacing w:val="-34"/>
          <w:sz w:val="24"/>
          <w:szCs w:val="24"/>
        </w:rPr>
        <w:t xml:space="preserve">平方公里，现辖 </w:t>
      </w:r>
      <w:r>
        <w:rPr>
          <w:rFonts w:hint="eastAsia" w:asciiTheme="minorEastAsia" w:hAnsiTheme="minorEastAsia" w:eastAsiaTheme="minorEastAsia" w:cstheme="minorEastAsia"/>
          <w:color w:val="auto"/>
          <w:sz w:val="24"/>
          <w:szCs w:val="24"/>
        </w:rPr>
        <w:t>12</w:t>
      </w:r>
      <w:r>
        <w:rPr>
          <w:rFonts w:hint="eastAsia" w:asciiTheme="minorEastAsia" w:hAnsiTheme="minorEastAsia" w:eastAsiaTheme="minorEastAsia" w:cstheme="minorEastAsia"/>
          <w:color w:val="auto"/>
          <w:spacing w:val="-74"/>
          <w:sz w:val="24"/>
          <w:szCs w:val="24"/>
        </w:rPr>
        <w:t>个村</w:t>
      </w:r>
      <w:r>
        <w:rPr>
          <w:rFonts w:hint="eastAsia" w:asciiTheme="minorEastAsia" w:hAnsiTheme="minorEastAsia" w:eastAsiaTheme="minorEastAsia" w:cstheme="minorEastAsia"/>
          <w:color w:val="auto"/>
          <w:spacing w:val="-3"/>
          <w:sz w:val="24"/>
          <w:szCs w:val="24"/>
        </w:rPr>
        <w:t>（</w:t>
      </w:r>
      <w:r>
        <w:rPr>
          <w:rFonts w:hint="eastAsia" w:asciiTheme="minorEastAsia" w:hAnsiTheme="minorEastAsia" w:eastAsiaTheme="minorEastAsia" w:cstheme="minorEastAsia"/>
          <w:color w:val="auto"/>
          <w:sz w:val="24"/>
          <w:szCs w:val="24"/>
        </w:rPr>
        <w:t>居） 委，2018</w:t>
      </w:r>
      <w:r>
        <w:rPr>
          <w:rFonts w:hint="eastAsia" w:asciiTheme="minorEastAsia" w:hAnsiTheme="minorEastAsia" w:eastAsiaTheme="minorEastAsia" w:cstheme="minorEastAsia"/>
          <w:color w:val="auto"/>
          <w:spacing w:val="-5"/>
          <w:sz w:val="24"/>
          <w:szCs w:val="24"/>
        </w:rPr>
        <w:t>年末户籍人口</w:t>
      </w:r>
      <w:r>
        <w:rPr>
          <w:rFonts w:hint="eastAsia" w:asciiTheme="minorEastAsia" w:hAnsiTheme="minorEastAsia" w:eastAsiaTheme="minorEastAsia" w:cstheme="minorEastAsia"/>
          <w:color w:val="auto"/>
          <w:sz w:val="24"/>
          <w:szCs w:val="24"/>
        </w:rPr>
        <w:t>4.6</w:t>
      </w:r>
      <w:r>
        <w:rPr>
          <w:rFonts w:hint="eastAsia" w:asciiTheme="minorEastAsia" w:hAnsiTheme="minorEastAsia" w:eastAsiaTheme="minorEastAsia" w:cstheme="minorEastAsia"/>
          <w:color w:val="auto"/>
          <w:spacing w:val="-5"/>
          <w:sz w:val="24"/>
          <w:szCs w:val="24"/>
        </w:rPr>
        <w:t>万人，常住总人口约</w:t>
      </w:r>
      <w:r>
        <w:rPr>
          <w:rFonts w:hint="eastAsia" w:asciiTheme="minorEastAsia" w:hAnsiTheme="minorEastAsia" w:eastAsiaTheme="minorEastAsia" w:cstheme="minorEastAsia"/>
          <w:color w:val="auto"/>
          <w:sz w:val="24"/>
          <w:szCs w:val="24"/>
        </w:rPr>
        <w:t>3.2</w:t>
      </w:r>
      <w:r>
        <w:rPr>
          <w:rFonts w:hint="eastAsia" w:asciiTheme="minorEastAsia" w:hAnsiTheme="minorEastAsia" w:eastAsiaTheme="minorEastAsia" w:cstheme="minorEastAsia"/>
          <w:color w:val="auto"/>
          <w:spacing w:val="-5"/>
          <w:sz w:val="24"/>
          <w:szCs w:val="24"/>
        </w:rPr>
        <w:t>万人。苹塘镇</w:t>
      </w:r>
      <w:r>
        <w:rPr>
          <w:rFonts w:hint="eastAsia" w:asciiTheme="minorEastAsia" w:hAnsiTheme="minorEastAsia" w:eastAsiaTheme="minorEastAsia" w:cstheme="minorEastAsia"/>
          <w:color w:val="auto"/>
          <w:spacing w:val="-15"/>
          <w:sz w:val="24"/>
          <w:szCs w:val="24"/>
        </w:rPr>
        <w:t>区位条件优越，国道</w:t>
      </w:r>
      <w:r>
        <w:rPr>
          <w:rFonts w:hint="eastAsia" w:asciiTheme="minorEastAsia" w:hAnsiTheme="minorEastAsia" w:eastAsiaTheme="minorEastAsia" w:cstheme="minorEastAsia"/>
          <w:color w:val="auto"/>
          <w:sz w:val="24"/>
          <w:szCs w:val="24"/>
        </w:rPr>
        <w:t>324</w:t>
      </w:r>
      <w:r>
        <w:rPr>
          <w:rFonts w:hint="eastAsia" w:asciiTheme="minorEastAsia" w:hAnsiTheme="minorEastAsia" w:eastAsiaTheme="minorEastAsia" w:cstheme="minorEastAsia"/>
          <w:color w:val="auto"/>
          <w:spacing w:val="-15"/>
          <w:sz w:val="24"/>
          <w:szCs w:val="24"/>
        </w:rPr>
        <w:t>线贯通全境，铁路货运站场位于圩镇内，河苹公路成为罗定连接南江港口最便捷通道，云岑高速、江罗高速越境</w:t>
      </w:r>
      <w:r>
        <w:rPr>
          <w:rFonts w:hint="eastAsia" w:asciiTheme="minorEastAsia" w:hAnsiTheme="minorEastAsia" w:eastAsiaTheme="minorEastAsia" w:cstheme="minorEastAsia"/>
          <w:color w:val="auto"/>
          <w:spacing w:val="-13"/>
          <w:sz w:val="24"/>
          <w:szCs w:val="24"/>
        </w:rPr>
        <w:t>而过，已成为国道、高速、铁路、港口连接线相交汇的区域交通枢</w:t>
      </w:r>
      <w:r>
        <w:rPr>
          <w:rFonts w:hint="eastAsia" w:asciiTheme="minorEastAsia" w:hAnsiTheme="minorEastAsia" w:eastAsiaTheme="minorEastAsia" w:cstheme="minorEastAsia"/>
          <w:color w:val="auto"/>
          <w:spacing w:val="-3"/>
          <w:sz w:val="24"/>
          <w:szCs w:val="24"/>
        </w:rPr>
        <w:t>纽。</w:t>
      </w:r>
      <w:r>
        <w:rPr>
          <w:rFonts w:hint="eastAsia" w:asciiTheme="minorEastAsia" w:hAnsiTheme="minorEastAsia" w:eastAsiaTheme="minorEastAsia" w:cstheme="minorEastAsia"/>
          <w:color w:val="auto"/>
          <w:spacing w:val="-13"/>
          <w:sz w:val="24"/>
          <w:szCs w:val="24"/>
        </w:rPr>
        <w:t>目前苹塘镇尚未建设污水处理设施和污水收集管网，现状镇区为</w:t>
      </w:r>
      <w:r>
        <w:rPr>
          <w:rFonts w:hint="eastAsia" w:asciiTheme="minorEastAsia" w:hAnsiTheme="minorEastAsia" w:eastAsiaTheme="minorEastAsia" w:cstheme="minorEastAsia"/>
          <w:color w:val="auto"/>
          <w:spacing w:val="-17"/>
          <w:sz w:val="24"/>
          <w:szCs w:val="24"/>
        </w:rPr>
        <w:t>雨污合流制的排水体制，生活污水与雨水通过街边沟渠收集未经任何处</w:t>
      </w:r>
      <w:r>
        <w:rPr>
          <w:rFonts w:hint="eastAsia" w:asciiTheme="minorEastAsia" w:hAnsiTheme="minorEastAsia" w:eastAsiaTheme="minorEastAsia" w:cstheme="minorEastAsia"/>
          <w:color w:val="auto"/>
          <w:spacing w:val="-8"/>
          <w:sz w:val="24"/>
          <w:szCs w:val="24"/>
        </w:rPr>
        <w:t>理直接排向排水管渠或纳污水体，并汇集至镇区西部</w:t>
      </w:r>
      <w:r>
        <w:rPr>
          <w:rFonts w:hint="eastAsia" w:asciiTheme="minorEastAsia" w:hAnsiTheme="minorEastAsia" w:eastAsiaTheme="minorEastAsia" w:cstheme="minorEastAsia"/>
          <w:color w:val="auto"/>
          <w:sz w:val="24"/>
          <w:szCs w:val="24"/>
        </w:rPr>
        <w:t>G324</w:t>
      </w:r>
      <w:r>
        <w:rPr>
          <w:rFonts w:hint="eastAsia" w:asciiTheme="minorEastAsia" w:hAnsiTheme="minorEastAsia" w:eastAsiaTheme="minorEastAsia" w:cstheme="minorEastAsia"/>
          <w:color w:val="auto"/>
          <w:spacing w:val="-3"/>
          <w:sz w:val="24"/>
          <w:szCs w:val="24"/>
        </w:rPr>
        <w:t>国道及罗</w:t>
      </w:r>
      <w:r>
        <w:rPr>
          <w:rFonts w:hint="eastAsia" w:asciiTheme="minorEastAsia" w:hAnsiTheme="minorEastAsia" w:eastAsiaTheme="minorEastAsia" w:cstheme="minorEastAsia"/>
          <w:color w:val="auto"/>
          <w:spacing w:val="-15"/>
          <w:sz w:val="24"/>
          <w:szCs w:val="24"/>
        </w:rPr>
        <w:t>阳铁路间的池塘，目前池塘已呈明显富营养化，对周边居民生活环境</w:t>
      </w:r>
      <w:r>
        <w:rPr>
          <w:rFonts w:hint="eastAsia" w:asciiTheme="minorEastAsia" w:hAnsiTheme="minorEastAsia" w:eastAsiaTheme="minorEastAsia" w:cstheme="minorEastAsia"/>
          <w:color w:val="auto"/>
          <w:spacing w:val="-8"/>
          <w:sz w:val="24"/>
          <w:szCs w:val="24"/>
        </w:rPr>
        <w:t>和周边环境都有一定的影响。</w:t>
      </w:r>
    </w:p>
    <w:p>
      <w:pPr>
        <w:pStyle w:val="32"/>
        <w:numPr>
          <w:ilvl w:val="3"/>
          <w:numId w:val="7"/>
        </w:numPr>
        <w:tabs>
          <w:tab w:val="left" w:pos="1320"/>
        </w:tabs>
        <w:spacing w:line="500" w:lineRule="exact"/>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华石镇</w:t>
      </w:r>
    </w:p>
    <w:p>
      <w:pPr>
        <w:pStyle w:val="10"/>
        <w:tabs>
          <w:tab w:val="left" w:pos="440"/>
        </w:tabs>
        <w:spacing w:line="500" w:lineRule="exact"/>
        <w:ind w:firstLine="44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0"/>
          <w:sz w:val="24"/>
          <w:szCs w:val="24"/>
        </w:rPr>
        <w:t>华石镇位于罗定市东北部，距罗定城区</w:t>
      </w:r>
      <w:r>
        <w:rPr>
          <w:rFonts w:hint="eastAsia" w:asciiTheme="minorEastAsia" w:hAnsiTheme="minorEastAsia" w:eastAsiaTheme="minorEastAsia" w:cstheme="minorEastAsia"/>
          <w:color w:val="auto"/>
          <w:sz w:val="24"/>
          <w:szCs w:val="24"/>
        </w:rPr>
        <w:t>11</w:t>
      </w:r>
      <w:r>
        <w:rPr>
          <w:rFonts w:hint="eastAsia" w:asciiTheme="minorEastAsia" w:hAnsiTheme="minorEastAsia" w:eastAsiaTheme="minorEastAsia" w:cstheme="minorEastAsia"/>
          <w:color w:val="auto"/>
          <w:spacing w:val="-8"/>
          <w:sz w:val="24"/>
          <w:szCs w:val="24"/>
        </w:rPr>
        <w:t>公里，东与苹塘镇相</w:t>
      </w:r>
      <w:r>
        <w:rPr>
          <w:rFonts w:hint="eastAsia" w:asciiTheme="minorEastAsia" w:hAnsiTheme="minorEastAsia" w:eastAsiaTheme="minorEastAsia" w:cstheme="minorEastAsia"/>
          <w:color w:val="auto"/>
          <w:spacing w:val="-27"/>
          <w:sz w:val="24"/>
          <w:szCs w:val="24"/>
        </w:rPr>
        <w:t>连，南与围底镇为邻，西与素龙、双东街道相接，北部与郁南县接壤。华</w:t>
      </w:r>
      <w:r>
        <w:rPr>
          <w:rFonts w:hint="eastAsia" w:asciiTheme="minorEastAsia" w:hAnsiTheme="minorEastAsia" w:eastAsiaTheme="minorEastAsia" w:cstheme="minorEastAsia"/>
          <w:color w:val="auto"/>
          <w:spacing w:val="-15"/>
          <w:sz w:val="24"/>
          <w:szCs w:val="24"/>
        </w:rPr>
        <w:t>石交通便利，四高速一铁路横跨而过，其中罗阳、江罗高速公路已分别</w:t>
      </w:r>
      <w:r>
        <w:rPr>
          <w:rFonts w:hint="eastAsia" w:asciiTheme="minorEastAsia" w:hAnsiTheme="minorEastAsia" w:eastAsiaTheme="minorEastAsia" w:cstheme="minorEastAsia"/>
          <w:color w:val="auto"/>
          <w:spacing w:val="-34"/>
          <w:sz w:val="24"/>
          <w:szCs w:val="24"/>
        </w:rPr>
        <w:t>于</w:t>
      </w:r>
      <w:r>
        <w:rPr>
          <w:rFonts w:hint="eastAsia" w:asciiTheme="minorEastAsia" w:hAnsiTheme="minorEastAsia" w:eastAsiaTheme="minorEastAsia" w:cstheme="minorEastAsia"/>
          <w:color w:val="auto"/>
          <w:sz w:val="24"/>
          <w:szCs w:val="24"/>
        </w:rPr>
        <w:t>11</w:t>
      </w:r>
      <w:r>
        <w:rPr>
          <w:rFonts w:hint="eastAsia" w:asciiTheme="minorEastAsia" w:hAnsiTheme="minorEastAsia" w:eastAsiaTheme="minorEastAsia" w:cstheme="minorEastAsia"/>
          <w:color w:val="auto"/>
          <w:spacing w:val="-34"/>
          <w:sz w:val="24"/>
          <w:szCs w:val="24"/>
        </w:rPr>
        <w:t xml:space="preserve">月 </w:t>
      </w:r>
      <w:r>
        <w:rPr>
          <w:rFonts w:hint="eastAsia" w:asciiTheme="minorEastAsia" w:hAnsiTheme="minorEastAsia" w:eastAsiaTheme="minorEastAsia" w:cstheme="minorEastAsia"/>
          <w:color w:val="auto"/>
          <w:sz w:val="24"/>
          <w:szCs w:val="24"/>
        </w:rPr>
        <w:t>18</w:t>
      </w:r>
      <w:r>
        <w:rPr>
          <w:rFonts w:hint="eastAsia" w:asciiTheme="minorEastAsia" w:hAnsiTheme="minorEastAsia" w:eastAsiaTheme="minorEastAsia" w:cstheme="minorEastAsia"/>
          <w:color w:val="auto"/>
          <w:spacing w:val="-24"/>
          <w:sz w:val="24"/>
          <w:szCs w:val="24"/>
        </w:rPr>
        <w:t>日、</w:t>
      </w:r>
      <w:r>
        <w:rPr>
          <w:rFonts w:hint="eastAsia" w:asciiTheme="minorEastAsia" w:hAnsiTheme="minorEastAsia" w:eastAsiaTheme="minorEastAsia" w:cstheme="minorEastAsia"/>
          <w:color w:val="auto"/>
          <w:sz w:val="24"/>
          <w:szCs w:val="24"/>
        </w:rPr>
        <w:t>12</w:t>
      </w:r>
      <w:r>
        <w:rPr>
          <w:rFonts w:hint="eastAsia" w:asciiTheme="minorEastAsia" w:hAnsiTheme="minorEastAsia" w:eastAsiaTheme="minorEastAsia" w:cstheme="minorEastAsia"/>
          <w:color w:val="auto"/>
          <w:spacing w:val="-36"/>
          <w:sz w:val="24"/>
          <w:szCs w:val="24"/>
        </w:rPr>
        <w:t xml:space="preserve">月 </w:t>
      </w:r>
      <w:r>
        <w:rPr>
          <w:rFonts w:hint="eastAsia" w:asciiTheme="minorEastAsia" w:hAnsiTheme="minorEastAsia" w:eastAsiaTheme="minorEastAsia" w:cstheme="minorEastAsia"/>
          <w:color w:val="auto"/>
          <w:sz w:val="24"/>
          <w:szCs w:val="24"/>
        </w:rPr>
        <w:t>28</w:t>
      </w:r>
      <w:r>
        <w:rPr>
          <w:rFonts w:hint="eastAsia" w:asciiTheme="minorEastAsia" w:hAnsiTheme="minorEastAsia" w:eastAsiaTheme="minorEastAsia" w:cstheme="minorEastAsia"/>
          <w:color w:val="auto"/>
          <w:spacing w:val="-17"/>
          <w:sz w:val="24"/>
          <w:szCs w:val="24"/>
        </w:rPr>
        <w:t>日顺利建成通车。全镇总面积</w:t>
      </w:r>
      <w:r>
        <w:rPr>
          <w:rFonts w:hint="eastAsia" w:asciiTheme="minorEastAsia" w:hAnsiTheme="minorEastAsia" w:eastAsiaTheme="minorEastAsia" w:cstheme="minorEastAsia"/>
          <w:color w:val="auto"/>
          <w:sz w:val="24"/>
          <w:szCs w:val="24"/>
        </w:rPr>
        <w:t xml:space="preserve">63.5 </w:t>
      </w:r>
      <w:r>
        <w:rPr>
          <w:rFonts w:hint="eastAsia" w:asciiTheme="minorEastAsia" w:hAnsiTheme="minorEastAsia" w:eastAsiaTheme="minorEastAsia" w:cstheme="minorEastAsia"/>
          <w:color w:val="auto"/>
          <w:spacing w:val="-2"/>
          <w:sz w:val="24"/>
          <w:szCs w:val="24"/>
        </w:rPr>
        <w:t>平方公</w:t>
      </w:r>
      <w:r>
        <w:rPr>
          <w:rFonts w:hint="eastAsia" w:asciiTheme="minorEastAsia" w:hAnsiTheme="minorEastAsia" w:eastAsiaTheme="minorEastAsia" w:cstheme="minorEastAsia"/>
          <w:color w:val="auto"/>
          <w:spacing w:val="-13"/>
          <w:sz w:val="24"/>
          <w:szCs w:val="24"/>
        </w:rPr>
        <w:t xml:space="preserve">里，其中镇中心区面积 </w:t>
      </w:r>
      <w:r>
        <w:rPr>
          <w:rFonts w:hint="eastAsia" w:asciiTheme="minorEastAsia" w:hAnsiTheme="minorEastAsia" w:eastAsiaTheme="minorEastAsia" w:cstheme="minorEastAsia"/>
          <w:color w:val="auto"/>
          <w:sz w:val="24"/>
          <w:szCs w:val="24"/>
        </w:rPr>
        <w:t>1.5</w:t>
      </w:r>
      <w:r>
        <w:rPr>
          <w:rFonts w:hint="eastAsia" w:asciiTheme="minorEastAsia" w:hAnsiTheme="minorEastAsia" w:eastAsiaTheme="minorEastAsia" w:cstheme="minorEastAsia"/>
          <w:color w:val="auto"/>
          <w:spacing w:val="-13"/>
          <w:sz w:val="24"/>
          <w:szCs w:val="24"/>
        </w:rPr>
        <w:t>平方公里。下辖</w:t>
      </w:r>
      <w:r>
        <w:rPr>
          <w:rFonts w:hint="eastAsia" w:asciiTheme="minorEastAsia" w:hAnsiTheme="minorEastAsia" w:eastAsiaTheme="minorEastAsia" w:cstheme="minorEastAsia"/>
          <w:color w:val="auto"/>
          <w:sz w:val="24"/>
          <w:szCs w:val="24"/>
        </w:rPr>
        <w:t>10</w:t>
      </w:r>
      <w:r>
        <w:rPr>
          <w:rFonts w:hint="eastAsia" w:asciiTheme="minorEastAsia" w:hAnsiTheme="minorEastAsia" w:eastAsiaTheme="minorEastAsia" w:cstheme="minorEastAsia"/>
          <w:color w:val="auto"/>
          <w:spacing w:val="-12"/>
          <w:sz w:val="24"/>
          <w:szCs w:val="24"/>
        </w:rPr>
        <w:t>个村委会和</w:t>
      </w:r>
      <w:r>
        <w:rPr>
          <w:rFonts w:hint="eastAsia" w:asciiTheme="minorEastAsia" w:hAnsiTheme="minorEastAsia" w:eastAsiaTheme="minorEastAsia" w:cstheme="minorEastAsia"/>
          <w:color w:val="auto"/>
          <w:sz w:val="24"/>
          <w:szCs w:val="24"/>
        </w:rPr>
        <w:t>1</w:t>
      </w:r>
      <w:r>
        <w:rPr>
          <w:rFonts w:hint="eastAsia" w:asciiTheme="minorEastAsia" w:hAnsiTheme="minorEastAsia" w:eastAsiaTheme="minorEastAsia" w:cstheme="minorEastAsia"/>
          <w:color w:val="auto"/>
          <w:spacing w:val="-2"/>
          <w:sz w:val="24"/>
          <w:szCs w:val="24"/>
        </w:rPr>
        <w:t>个社区</w:t>
      </w:r>
      <w:r>
        <w:rPr>
          <w:rFonts w:hint="eastAsia" w:asciiTheme="minorEastAsia" w:hAnsiTheme="minorEastAsia" w:eastAsiaTheme="minorEastAsia" w:cstheme="minorEastAsia"/>
          <w:color w:val="auto"/>
          <w:spacing w:val="-9"/>
          <w:sz w:val="24"/>
          <w:szCs w:val="24"/>
        </w:rPr>
        <w:t xml:space="preserve">居委会，截至 </w:t>
      </w:r>
      <w:r>
        <w:rPr>
          <w:rFonts w:hint="eastAsia" w:asciiTheme="minorEastAsia" w:hAnsiTheme="minorEastAsia" w:eastAsiaTheme="minorEastAsia" w:cstheme="minorEastAsia"/>
          <w:color w:val="auto"/>
          <w:sz w:val="24"/>
          <w:szCs w:val="24"/>
        </w:rPr>
        <w:t>2018</w:t>
      </w:r>
      <w:r>
        <w:rPr>
          <w:rFonts w:hint="eastAsia" w:asciiTheme="minorEastAsia" w:hAnsiTheme="minorEastAsia" w:eastAsiaTheme="minorEastAsia" w:cstheme="minorEastAsia"/>
          <w:color w:val="auto"/>
          <w:spacing w:val="-10"/>
          <w:sz w:val="24"/>
          <w:szCs w:val="24"/>
        </w:rPr>
        <w:t>年末，全镇户籍人口约</w:t>
      </w:r>
      <w:r>
        <w:rPr>
          <w:rFonts w:hint="eastAsia" w:asciiTheme="minorEastAsia" w:hAnsiTheme="minorEastAsia" w:eastAsiaTheme="minorEastAsia" w:cstheme="minorEastAsia"/>
          <w:color w:val="auto"/>
          <w:sz w:val="24"/>
          <w:szCs w:val="24"/>
        </w:rPr>
        <w:t>3.8</w:t>
      </w:r>
      <w:r>
        <w:rPr>
          <w:rFonts w:hint="eastAsia" w:asciiTheme="minorEastAsia" w:hAnsiTheme="minorEastAsia" w:eastAsiaTheme="minorEastAsia" w:cstheme="minorEastAsia"/>
          <w:color w:val="auto"/>
          <w:spacing w:val="-5"/>
          <w:sz w:val="24"/>
          <w:szCs w:val="24"/>
        </w:rPr>
        <w:t>万人，常住人口总人</w:t>
      </w:r>
      <w:r>
        <w:rPr>
          <w:rFonts w:hint="eastAsia" w:asciiTheme="minorEastAsia" w:hAnsiTheme="minorEastAsia" w:eastAsiaTheme="minorEastAsia" w:cstheme="minorEastAsia"/>
          <w:color w:val="auto"/>
          <w:sz w:val="24"/>
          <w:szCs w:val="24"/>
        </w:rPr>
        <w:t>口约3万人。</w:t>
      </w:r>
    </w:p>
    <w:p>
      <w:pPr>
        <w:pStyle w:val="10"/>
        <w:tabs>
          <w:tab w:val="left" w:pos="440"/>
        </w:tabs>
        <w:spacing w:line="500" w:lineRule="exact"/>
        <w:ind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目前华石镇尚未建设污水处理设施和污水收集管网，现状镇区</w:t>
      </w:r>
      <w:r>
        <w:rPr>
          <w:rFonts w:hint="eastAsia" w:asciiTheme="minorEastAsia" w:hAnsiTheme="minorEastAsia" w:eastAsiaTheme="minorEastAsia" w:cstheme="minorEastAsia"/>
          <w:color w:val="auto"/>
          <w:spacing w:val="-12"/>
          <w:sz w:val="24"/>
          <w:szCs w:val="24"/>
        </w:rPr>
        <w:t>为雨污合流制的排水体制，生活污水与雨水通过街边沟渠收集未经任何处理直接排向附近水体，对周边居民生活环境和周边水体都有一定</w:t>
      </w:r>
      <w:r>
        <w:rPr>
          <w:rFonts w:hint="eastAsia" w:asciiTheme="minorEastAsia" w:hAnsiTheme="minorEastAsia" w:eastAsiaTheme="minorEastAsia" w:cstheme="minorEastAsia"/>
          <w:color w:val="auto"/>
          <w:spacing w:val="-6"/>
          <w:sz w:val="24"/>
          <w:szCs w:val="24"/>
        </w:rPr>
        <w:t>的影响。</w:t>
      </w:r>
    </w:p>
    <w:p>
      <w:pPr>
        <w:pStyle w:val="32"/>
        <w:numPr>
          <w:ilvl w:val="3"/>
          <w:numId w:val="7"/>
        </w:numPr>
        <w:tabs>
          <w:tab w:val="left" w:pos="1320"/>
        </w:tabs>
        <w:spacing w:line="500" w:lineRule="exact"/>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榃滨镇</w:t>
      </w:r>
    </w:p>
    <w:p>
      <w:pPr>
        <w:pStyle w:val="10"/>
        <w:tabs>
          <w:tab w:val="left" w:pos="440"/>
        </w:tabs>
        <w:spacing w:line="500" w:lineRule="exact"/>
        <w:ind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榃滨镇位于罗定市西北部，东经</w:t>
      </w:r>
      <w:r>
        <w:rPr>
          <w:rFonts w:hint="eastAsia" w:asciiTheme="minorEastAsia" w:hAnsiTheme="minorEastAsia" w:eastAsiaTheme="minorEastAsia" w:cstheme="minorEastAsia"/>
          <w:color w:val="auto"/>
          <w:sz w:val="24"/>
          <w:szCs w:val="24"/>
        </w:rPr>
        <w:t>111°23</w:t>
      </w:r>
      <w:r>
        <w:rPr>
          <w:rFonts w:hint="eastAsia" w:asciiTheme="minorEastAsia" w:hAnsiTheme="minorEastAsia" w:eastAsiaTheme="minorEastAsia" w:cstheme="minorEastAsia"/>
          <w:color w:val="auto"/>
          <w:spacing w:val="-1"/>
          <w:sz w:val="24"/>
          <w:szCs w:val="24"/>
        </w:rPr>
        <w:t>′，北纬</w:t>
      </w:r>
      <w:r>
        <w:rPr>
          <w:rFonts w:hint="eastAsia" w:asciiTheme="minorEastAsia" w:hAnsiTheme="minorEastAsia" w:eastAsiaTheme="minorEastAsia" w:cstheme="minorEastAsia"/>
          <w:color w:val="auto"/>
          <w:sz w:val="24"/>
          <w:szCs w:val="24"/>
        </w:rPr>
        <w:t>22°49′。</w:t>
      </w:r>
      <w:r>
        <w:rPr>
          <w:rFonts w:hint="eastAsia" w:asciiTheme="minorEastAsia" w:hAnsiTheme="minorEastAsia" w:eastAsiaTheme="minorEastAsia" w:cstheme="minorEastAsia"/>
          <w:color w:val="auto"/>
          <w:spacing w:val="-5"/>
          <w:sz w:val="24"/>
          <w:szCs w:val="24"/>
        </w:rPr>
        <w:t>东、北与附城街道相连，南邻黎少镇、泗纶镇，西与广西岑溪接</w:t>
      </w:r>
      <w:r>
        <w:rPr>
          <w:rFonts w:hint="eastAsia" w:asciiTheme="minorEastAsia" w:hAnsiTheme="minorEastAsia" w:eastAsiaTheme="minorEastAsia" w:cstheme="minorEastAsia"/>
          <w:color w:val="auto"/>
          <w:spacing w:val="-14"/>
          <w:sz w:val="24"/>
          <w:szCs w:val="24"/>
        </w:rPr>
        <w:t>壤，是省定的革命老区镇。国道</w:t>
      </w:r>
      <w:r>
        <w:rPr>
          <w:rFonts w:hint="eastAsia" w:asciiTheme="minorEastAsia" w:hAnsiTheme="minorEastAsia" w:eastAsiaTheme="minorEastAsia" w:cstheme="minorEastAsia"/>
          <w:color w:val="auto"/>
          <w:sz w:val="24"/>
          <w:szCs w:val="24"/>
        </w:rPr>
        <w:t>324</w:t>
      </w:r>
      <w:r>
        <w:rPr>
          <w:rFonts w:hint="eastAsia" w:asciiTheme="minorEastAsia" w:hAnsiTheme="minorEastAsia" w:eastAsiaTheme="minorEastAsia" w:cstheme="minorEastAsia"/>
          <w:color w:val="auto"/>
          <w:spacing w:val="-13"/>
          <w:sz w:val="24"/>
          <w:szCs w:val="24"/>
        </w:rPr>
        <w:t>线及云岑高速公路、罗岑铁路自东向西横贯镇区全境，是沟通两广的交通要塞，交通极为便利。全镇</w:t>
      </w:r>
      <w:r>
        <w:rPr>
          <w:rFonts w:hint="eastAsia" w:asciiTheme="minorEastAsia" w:hAnsiTheme="minorEastAsia" w:eastAsiaTheme="minorEastAsia" w:cstheme="minorEastAsia"/>
          <w:color w:val="auto"/>
          <w:spacing w:val="-6"/>
          <w:sz w:val="24"/>
          <w:szCs w:val="24"/>
        </w:rPr>
        <w:t>总面积</w:t>
      </w:r>
      <w:r>
        <w:rPr>
          <w:rFonts w:hint="eastAsia" w:asciiTheme="minorEastAsia" w:hAnsiTheme="minorEastAsia" w:eastAsiaTheme="minorEastAsia" w:cstheme="minorEastAsia"/>
          <w:color w:val="auto"/>
          <w:sz w:val="24"/>
          <w:szCs w:val="24"/>
        </w:rPr>
        <w:t xml:space="preserve">154.1 </w:t>
      </w:r>
      <w:r>
        <w:rPr>
          <w:rFonts w:hint="eastAsia" w:asciiTheme="minorEastAsia" w:hAnsiTheme="minorEastAsia" w:eastAsiaTheme="minorEastAsia" w:cstheme="minorEastAsia"/>
          <w:color w:val="auto"/>
          <w:spacing w:val="-13"/>
          <w:sz w:val="24"/>
          <w:szCs w:val="24"/>
        </w:rPr>
        <w:t>平方公里，其中山地</w:t>
      </w:r>
      <w:r>
        <w:rPr>
          <w:rFonts w:hint="eastAsia" w:asciiTheme="minorEastAsia" w:hAnsiTheme="minorEastAsia" w:eastAsiaTheme="minorEastAsia" w:cstheme="minorEastAsia"/>
          <w:color w:val="auto"/>
          <w:sz w:val="24"/>
          <w:szCs w:val="24"/>
        </w:rPr>
        <w:t>18.1</w:t>
      </w:r>
      <w:r>
        <w:rPr>
          <w:rFonts w:hint="eastAsia" w:asciiTheme="minorEastAsia" w:hAnsiTheme="minorEastAsia" w:eastAsiaTheme="minorEastAsia" w:cstheme="minorEastAsia"/>
          <w:color w:val="auto"/>
          <w:spacing w:val="-14"/>
          <w:sz w:val="24"/>
          <w:szCs w:val="24"/>
        </w:rPr>
        <w:t>万亩，耕地</w:t>
      </w:r>
      <w:r>
        <w:rPr>
          <w:rFonts w:hint="eastAsia" w:asciiTheme="minorEastAsia" w:hAnsiTheme="minorEastAsia" w:eastAsiaTheme="minorEastAsia" w:cstheme="minorEastAsia"/>
          <w:color w:val="auto"/>
          <w:sz w:val="24"/>
          <w:szCs w:val="24"/>
        </w:rPr>
        <w:t>1.9</w:t>
      </w:r>
      <w:r>
        <w:rPr>
          <w:rFonts w:hint="eastAsia" w:asciiTheme="minorEastAsia" w:hAnsiTheme="minorEastAsia" w:eastAsiaTheme="minorEastAsia" w:cstheme="minorEastAsia"/>
          <w:color w:val="auto"/>
          <w:spacing w:val="-14"/>
          <w:sz w:val="24"/>
          <w:szCs w:val="24"/>
        </w:rPr>
        <w:t xml:space="preserve">万亩，辖 </w:t>
      </w:r>
      <w:r>
        <w:rPr>
          <w:rFonts w:hint="eastAsia" w:asciiTheme="minorEastAsia" w:hAnsiTheme="minorEastAsia" w:eastAsiaTheme="minorEastAsia" w:cstheme="minorEastAsia"/>
          <w:color w:val="auto"/>
          <w:sz w:val="24"/>
          <w:szCs w:val="24"/>
        </w:rPr>
        <w:t>13个村委会和1个居委会，2018年底户籍总人口5.3万人，常住总人口约4.4万人。榃滨镇特产资源丰富，有“名将”牌自喷矿泉，高岭土、花岗岩等矿产资源。农林产品资源更为丰富，种植肉桂15.9万亩，混交松杉7万亩，八角近万亩，木薯、箩竹等经济作物也有一定种植规模。</w:t>
      </w:r>
    </w:p>
    <w:p>
      <w:pPr>
        <w:pStyle w:val="10"/>
        <w:spacing w:line="500" w:lineRule="exact"/>
        <w:ind w:firstLine="44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0"/>
          <w:sz w:val="24"/>
          <w:szCs w:val="24"/>
        </w:rPr>
        <w:t>目前榃滨镇尚未建设污水处理设施和污水收集管网，现状排水体制为雨污合流制，生活污水通过水沟或暗渠收集未经任何处理直接排向附近水体，对周边居民生活环境和周边水体都有一定影响。镇区已完成镇内主要纳污河涌的堤岸整治，两岸设置直排口，镇区内雨水和</w:t>
      </w:r>
      <w:r>
        <w:rPr>
          <w:rFonts w:hint="eastAsia" w:asciiTheme="minorEastAsia" w:hAnsiTheme="minorEastAsia" w:eastAsiaTheme="minorEastAsia" w:cstheme="minorEastAsia"/>
          <w:color w:val="auto"/>
          <w:spacing w:val="-12"/>
          <w:sz w:val="24"/>
          <w:szCs w:val="24"/>
        </w:rPr>
        <w:t>污水统一汇集排入该河涌。</w:t>
      </w:r>
    </w:p>
    <w:p>
      <w:pPr>
        <w:pStyle w:val="32"/>
        <w:numPr>
          <w:ilvl w:val="3"/>
          <w:numId w:val="7"/>
        </w:numPr>
        <w:tabs>
          <w:tab w:val="left" w:pos="1320"/>
        </w:tabs>
        <w:spacing w:line="500" w:lineRule="exact"/>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连州镇</w:t>
      </w:r>
    </w:p>
    <w:p>
      <w:pPr>
        <w:pStyle w:val="10"/>
        <w:spacing w:line="500" w:lineRule="exact"/>
        <w:ind w:firstLine="40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8"/>
          <w:sz w:val="24"/>
          <w:szCs w:val="24"/>
        </w:rPr>
        <w:t xml:space="preserve">连州镇位于罗定市中部偏西幢置，距罗城 </w:t>
      </w:r>
      <w:r>
        <w:rPr>
          <w:rFonts w:hint="eastAsia" w:asciiTheme="minorEastAsia" w:hAnsiTheme="minorEastAsia" w:eastAsiaTheme="minorEastAsia" w:cstheme="minorEastAsia"/>
          <w:color w:val="auto"/>
          <w:sz w:val="24"/>
          <w:szCs w:val="24"/>
        </w:rPr>
        <w:t>29</w:t>
      </w:r>
      <w:r>
        <w:rPr>
          <w:rFonts w:hint="eastAsia" w:asciiTheme="minorEastAsia" w:hAnsiTheme="minorEastAsia" w:eastAsiaTheme="minorEastAsia" w:cstheme="minorEastAsia"/>
          <w:color w:val="auto"/>
          <w:spacing w:val="-16"/>
          <w:sz w:val="24"/>
          <w:szCs w:val="24"/>
        </w:rPr>
        <w:t xml:space="preserve">公里。南靠新榕镇， </w:t>
      </w:r>
      <w:r>
        <w:rPr>
          <w:rFonts w:hint="eastAsia" w:asciiTheme="minorEastAsia" w:hAnsiTheme="minorEastAsia" w:eastAsiaTheme="minorEastAsia" w:cstheme="minorEastAsia"/>
          <w:color w:val="auto"/>
          <w:spacing w:val="-17"/>
          <w:sz w:val="24"/>
          <w:szCs w:val="24"/>
        </w:rPr>
        <w:t>东与罗平镇、生江镇交界，西面和部门镇毗邻，北面和泗纶镇、黎少镇</w:t>
      </w:r>
      <w:r>
        <w:rPr>
          <w:rFonts w:hint="eastAsia" w:asciiTheme="minorEastAsia" w:hAnsiTheme="minorEastAsia" w:eastAsiaTheme="minorEastAsia" w:cstheme="minorEastAsia"/>
          <w:color w:val="auto"/>
          <w:spacing w:val="-15"/>
          <w:sz w:val="24"/>
          <w:szCs w:val="24"/>
        </w:rPr>
        <w:t>接壤。 全镇地势西高东低，泗纶河、连州河流经镇境，具有丰富的水</w:t>
      </w:r>
      <w:r>
        <w:rPr>
          <w:rFonts w:hint="eastAsia" w:asciiTheme="minorEastAsia" w:hAnsiTheme="minorEastAsia" w:eastAsiaTheme="minorEastAsia" w:cstheme="minorEastAsia"/>
          <w:color w:val="auto"/>
          <w:spacing w:val="-18"/>
          <w:sz w:val="24"/>
          <w:szCs w:val="24"/>
        </w:rPr>
        <w:t>力资源。全镇总面积</w:t>
      </w:r>
      <w:r>
        <w:rPr>
          <w:rFonts w:hint="eastAsia" w:asciiTheme="minorEastAsia" w:hAnsiTheme="minorEastAsia" w:eastAsiaTheme="minorEastAsia" w:cstheme="minorEastAsia"/>
          <w:color w:val="auto"/>
          <w:sz w:val="24"/>
          <w:szCs w:val="24"/>
        </w:rPr>
        <w:t>125.4</w:t>
      </w:r>
      <w:r>
        <w:rPr>
          <w:rFonts w:hint="eastAsia" w:asciiTheme="minorEastAsia" w:hAnsiTheme="minorEastAsia" w:eastAsiaTheme="minorEastAsia" w:cstheme="minorEastAsia"/>
          <w:color w:val="auto"/>
          <w:spacing w:val="-20"/>
          <w:sz w:val="24"/>
          <w:szCs w:val="24"/>
        </w:rPr>
        <w:t>平方公里，辖</w:t>
      </w:r>
      <w:r>
        <w:rPr>
          <w:rFonts w:hint="eastAsia" w:asciiTheme="minorEastAsia" w:hAnsiTheme="minorEastAsia" w:eastAsiaTheme="minorEastAsia" w:cstheme="minorEastAsia"/>
          <w:color w:val="auto"/>
          <w:sz w:val="24"/>
          <w:szCs w:val="24"/>
        </w:rPr>
        <w:t>1</w:t>
      </w:r>
      <w:r>
        <w:rPr>
          <w:rFonts w:hint="eastAsia" w:asciiTheme="minorEastAsia" w:hAnsiTheme="minorEastAsia" w:eastAsiaTheme="minorEastAsia" w:cstheme="minorEastAsia"/>
          <w:color w:val="auto"/>
          <w:spacing w:val="-13"/>
          <w:sz w:val="24"/>
          <w:szCs w:val="24"/>
        </w:rPr>
        <w:t>个居委会、</w:t>
      </w:r>
      <w:r>
        <w:rPr>
          <w:rFonts w:hint="eastAsia" w:asciiTheme="minorEastAsia" w:hAnsiTheme="minorEastAsia" w:eastAsiaTheme="minorEastAsia" w:cstheme="minorEastAsia"/>
          <w:color w:val="auto"/>
          <w:sz w:val="24"/>
          <w:szCs w:val="24"/>
        </w:rPr>
        <w:t>16</w:t>
      </w:r>
      <w:r>
        <w:rPr>
          <w:rFonts w:hint="eastAsia" w:asciiTheme="minorEastAsia" w:hAnsiTheme="minorEastAsia" w:eastAsiaTheme="minorEastAsia" w:cstheme="minorEastAsia"/>
          <w:color w:val="auto"/>
          <w:spacing w:val="-2"/>
          <w:sz w:val="24"/>
          <w:szCs w:val="24"/>
        </w:rPr>
        <w:t>个行政</w:t>
      </w:r>
      <w:r>
        <w:rPr>
          <w:rFonts w:hint="eastAsia" w:asciiTheme="minorEastAsia" w:hAnsiTheme="minorEastAsia" w:eastAsiaTheme="minorEastAsia" w:cstheme="minorEastAsia"/>
          <w:color w:val="auto"/>
          <w:sz w:val="24"/>
          <w:szCs w:val="24"/>
        </w:rPr>
        <w:t>村，237个自然村，2018年底户籍总人口约5.9万人，常住总人口约。此外，还有海外华侨、港澳台同胞4000多人。</w:t>
      </w:r>
    </w:p>
    <w:p>
      <w:pPr>
        <w:pStyle w:val="10"/>
        <w:spacing w:line="500" w:lineRule="exact"/>
        <w:ind w:firstLine="428" w:firstLineChars="200"/>
        <w:jc w:val="both"/>
        <w:rPr>
          <w:rFonts w:asciiTheme="minorEastAsia" w:hAnsiTheme="minorEastAsia" w:eastAsiaTheme="minorEastAsia" w:cstheme="minorEastAsia"/>
          <w:color w:val="auto"/>
          <w:spacing w:val="-13"/>
          <w:sz w:val="24"/>
          <w:szCs w:val="24"/>
        </w:rPr>
      </w:pPr>
      <w:r>
        <w:rPr>
          <w:rFonts w:hint="eastAsia" w:asciiTheme="minorEastAsia" w:hAnsiTheme="minorEastAsia" w:eastAsiaTheme="minorEastAsia" w:cstheme="minorEastAsia"/>
          <w:color w:val="auto"/>
          <w:spacing w:val="-13"/>
          <w:sz w:val="24"/>
          <w:szCs w:val="24"/>
        </w:rPr>
        <w:t>连州镇目前在建一座规模为</w:t>
      </w:r>
      <w:r>
        <w:rPr>
          <w:rFonts w:hint="eastAsia" w:asciiTheme="minorEastAsia" w:hAnsiTheme="minorEastAsia" w:eastAsiaTheme="minorEastAsia" w:cstheme="minorEastAsia"/>
          <w:color w:val="auto"/>
          <w:sz w:val="24"/>
          <w:szCs w:val="24"/>
        </w:rPr>
        <w:t xml:space="preserve">600m³/d </w:t>
      </w:r>
      <w:r>
        <w:rPr>
          <w:rFonts w:hint="eastAsia" w:asciiTheme="minorEastAsia" w:hAnsiTheme="minorEastAsia" w:eastAsiaTheme="minorEastAsia" w:cstheme="minorEastAsia"/>
          <w:color w:val="auto"/>
          <w:spacing w:val="-14"/>
          <w:sz w:val="24"/>
          <w:szCs w:val="24"/>
        </w:rPr>
        <w:t>的污水处理厂，采用人工湿</w:t>
      </w:r>
      <w:r>
        <w:rPr>
          <w:rFonts w:hint="eastAsia" w:asciiTheme="minorEastAsia" w:hAnsiTheme="minorEastAsia" w:eastAsiaTheme="minorEastAsia" w:cstheme="minorEastAsia"/>
          <w:color w:val="auto"/>
          <w:spacing w:val="-18"/>
          <w:sz w:val="24"/>
          <w:szCs w:val="24"/>
        </w:rPr>
        <w:t>地工艺，目前已完成主体工程，主体工程总投资约</w:t>
      </w:r>
      <w:r>
        <w:rPr>
          <w:rFonts w:hint="eastAsia" w:asciiTheme="minorEastAsia" w:hAnsiTheme="minorEastAsia" w:eastAsiaTheme="minorEastAsia" w:cstheme="minorEastAsia"/>
          <w:color w:val="auto"/>
          <w:sz w:val="24"/>
          <w:szCs w:val="24"/>
        </w:rPr>
        <w:t>180</w:t>
      </w:r>
      <w:r>
        <w:rPr>
          <w:rFonts w:hint="eastAsia" w:asciiTheme="minorEastAsia" w:hAnsiTheme="minorEastAsia" w:eastAsiaTheme="minorEastAsia" w:cstheme="minorEastAsia"/>
          <w:color w:val="auto"/>
          <w:spacing w:val="-9"/>
          <w:sz w:val="24"/>
          <w:szCs w:val="24"/>
        </w:rPr>
        <w:t>万，排放标准</w:t>
      </w:r>
      <w:r>
        <w:rPr>
          <w:rFonts w:hint="eastAsia" w:asciiTheme="minorEastAsia" w:hAnsiTheme="minorEastAsia" w:eastAsiaTheme="minorEastAsia" w:cstheme="minorEastAsia"/>
          <w:color w:val="auto"/>
          <w:spacing w:val="-10"/>
          <w:sz w:val="24"/>
          <w:szCs w:val="24"/>
        </w:rPr>
        <w:t>执行《城镇污水处理厂污染物排放标准</w:t>
      </w:r>
      <w:r>
        <w:rPr>
          <w:rFonts w:hint="eastAsia" w:asciiTheme="minorEastAsia" w:hAnsiTheme="minorEastAsia" w:eastAsiaTheme="minorEastAsia" w:cstheme="minorEastAsia"/>
          <w:color w:val="auto"/>
          <w:spacing w:val="-166"/>
          <w:sz w:val="24"/>
          <w:szCs w:val="24"/>
        </w:rPr>
        <w:t>》</w:t>
      </w:r>
      <w:r>
        <w:rPr>
          <w:rFonts w:hint="eastAsia" w:asciiTheme="minorEastAsia" w:hAnsiTheme="minorEastAsia" w:eastAsiaTheme="minorEastAsia" w:cstheme="minorEastAsia"/>
          <w:color w:val="auto"/>
          <w:spacing w:val="-5"/>
          <w:sz w:val="24"/>
          <w:szCs w:val="24"/>
        </w:rPr>
        <w:t>（GB18918-2002）</w:t>
      </w:r>
      <w:r>
        <w:rPr>
          <w:rFonts w:hint="eastAsia" w:asciiTheme="minorEastAsia" w:hAnsiTheme="minorEastAsia" w:eastAsiaTheme="minorEastAsia" w:cstheme="minorEastAsia"/>
          <w:color w:val="auto"/>
          <w:spacing w:val="-15"/>
          <w:sz w:val="24"/>
          <w:szCs w:val="24"/>
        </w:rPr>
        <w:t>一级</w:t>
      </w:r>
      <w:r>
        <w:rPr>
          <w:rFonts w:hint="eastAsia" w:asciiTheme="minorEastAsia" w:hAnsiTheme="minorEastAsia" w:eastAsiaTheme="minorEastAsia" w:cstheme="minorEastAsia"/>
          <w:color w:val="auto"/>
          <w:sz w:val="24"/>
          <w:szCs w:val="24"/>
        </w:rPr>
        <w:t>B标</w:t>
      </w:r>
      <w:r>
        <w:rPr>
          <w:rFonts w:hint="eastAsia" w:asciiTheme="minorEastAsia" w:hAnsiTheme="minorEastAsia" w:eastAsiaTheme="minorEastAsia" w:cstheme="minorEastAsia"/>
          <w:color w:val="auto"/>
          <w:spacing w:val="-15"/>
          <w:sz w:val="24"/>
          <w:szCs w:val="24"/>
        </w:rPr>
        <w:t>准，镇区内尚未敷设配套管网。镇区目前有两个主要排污口，均位于连</w:t>
      </w:r>
      <w:r>
        <w:rPr>
          <w:rFonts w:hint="eastAsia" w:asciiTheme="minorEastAsia" w:hAnsiTheme="minorEastAsia" w:eastAsiaTheme="minorEastAsia" w:cstheme="minorEastAsia"/>
          <w:color w:val="auto"/>
          <w:spacing w:val="-17"/>
          <w:sz w:val="24"/>
          <w:szCs w:val="24"/>
        </w:rPr>
        <w:t>州镇财政所南侧河道对面的桥两侧，生活污水及雨水经雨污合流管道或</w:t>
      </w:r>
      <w:r>
        <w:rPr>
          <w:rFonts w:hint="eastAsia" w:asciiTheme="minorEastAsia" w:hAnsiTheme="minorEastAsia" w:eastAsiaTheme="minorEastAsia" w:cstheme="minorEastAsia"/>
          <w:color w:val="auto"/>
          <w:spacing w:val="-13"/>
          <w:sz w:val="24"/>
          <w:szCs w:val="24"/>
        </w:rPr>
        <w:t>街巷沟渠汇集，未经任何处理直接排到邻近的河流。</w:t>
      </w:r>
    </w:p>
    <w:p>
      <w:pPr>
        <w:pStyle w:val="32"/>
        <w:numPr>
          <w:ilvl w:val="3"/>
          <w:numId w:val="7"/>
        </w:numPr>
        <w:tabs>
          <w:tab w:val="left" w:pos="1320"/>
        </w:tabs>
        <w:spacing w:line="500" w:lineRule="exact"/>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黎少镇</w:t>
      </w:r>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黎少镇，位于罗定市中西部，东接素龙街道、生江镇，南与连州镇</w:t>
      </w:r>
      <w:r>
        <w:rPr>
          <w:rFonts w:hint="eastAsia" w:asciiTheme="minorEastAsia" w:hAnsiTheme="minorEastAsia" w:eastAsiaTheme="minorEastAsia" w:cstheme="minorEastAsia"/>
          <w:color w:val="auto"/>
          <w:spacing w:val="-17"/>
          <w:sz w:val="24"/>
          <w:szCs w:val="24"/>
        </w:rPr>
        <w:t>相邻，西连泗纶镇，北与榃滨镇接壤。镇境属罗定红盆西段丘陵地</w:t>
      </w:r>
      <w:r>
        <w:rPr>
          <w:rFonts w:hint="eastAsia" w:asciiTheme="minorEastAsia" w:hAnsiTheme="minorEastAsia" w:eastAsiaTheme="minorEastAsia" w:cstheme="minorEastAsia"/>
          <w:color w:val="auto"/>
          <w:spacing w:val="-18"/>
          <w:sz w:val="24"/>
          <w:szCs w:val="24"/>
        </w:rPr>
        <w:t>区，全镇面积</w:t>
      </w:r>
      <w:r>
        <w:rPr>
          <w:rFonts w:hint="eastAsia" w:asciiTheme="minorEastAsia" w:hAnsiTheme="minorEastAsia" w:eastAsiaTheme="minorEastAsia" w:cstheme="minorEastAsia"/>
          <w:color w:val="auto"/>
          <w:sz w:val="24"/>
          <w:szCs w:val="24"/>
        </w:rPr>
        <w:t>134.2</w:t>
      </w:r>
      <w:r>
        <w:rPr>
          <w:rFonts w:hint="eastAsia" w:asciiTheme="minorEastAsia" w:hAnsiTheme="minorEastAsia" w:eastAsiaTheme="minorEastAsia" w:cstheme="minorEastAsia"/>
          <w:color w:val="auto"/>
          <w:spacing w:val="-16"/>
          <w:sz w:val="24"/>
          <w:szCs w:val="24"/>
        </w:rPr>
        <w:t>平方公里，辖</w:t>
      </w:r>
      <w:r>
        <w:rPr>
          <w:rFonts w:hint="eastAsia" w:asciiTheme="minorEastAsia" w:hAnsiTheme="minorEastAsia" w:eastAsiaTheme="minorEastAsia" w:cstheme="minorEastAsia"/>
          <w:color w:val="auto"/>
          <w:sz w:val="24"/>
          <w:szCs w:val="24"/>
        </w:rPr>
        <w:t>1</w:t>
      </w:r>
      <w:r>
        <w:rPr>
          <w:rFonts w:hint="eastAsia" w:asciiTheme="minorEastAsia" w:hAnsiTheme="minorEastAsia" w:eastAsiaTheme="minorEastAsia" w:cstheme="minorEastAsia"/>
          <w:color w:val="auto"/>
          <w:spacing w:val="-8"/>
          <w:sz w:val="24"/>
          <w:szCs w:val="24"/>
        </w:rPr>
        <w:t>个居委会、</w:t>
      </w:r>
      <w:r>
        <w:rPr>
          <w:rFonts w:hint="eastAsia" w:asciiTheme="minorEastAsia" w:hAnsiTheme="minorEastAsia" w:eastAsiaTheme="minorEastAsia" w:cstheme="minorEastAsia"/>
          <w:color w:val="auto"/>
          <w:sz w:val="24"/>
          <w:szCs w:val="24"/>
        </w:rPr>
        <w:t>18</w:t>
      </w:r>
      <w:r>
        <w:rPr>
          <w:rFonts w:hint="eastAsia" w:asciiTheme="minorEastAsia" w:hAnsiTheme="minorEastAsia" w:eastAsiaTheme="minorEastAsia" w:cstheme="minorEastAsia"/>
          <w:color w:val="auto"/>
          <w:spacing w:val="-4"/>
          <w:sz w:val="24"/>
          <w:szCs w:val="24"/>
        </w:rPr>
        <w:t>个行政村，</w:t>
      </w:r>
      <w:r>
        <w:rPr>
          <w:rFonts w:hint="eastAsia" w:asciiTheme="minorEastAsia" w:hAnsiTheme="minorEastAsia" w:eastAsiaTheme="minorEastAsia" w:cstheme="minorEastAsia"/>
          <w:color w:val="auto"/>
          <w:sz w:val="24"/>
          <w:szCs w:val="24"/>
        </w:rPr>
        <w:t>339个自然村，2018</w:t>
      </w:r>
      <w:r>
        <w:rPr>
          <w:rFonts w:hint="eastAsia" w:asciiTheme="minorEastAsia" w:hAnsiTheme="minorEastAsia" w:eastAsiaTheme="minorEastAsia" w:cstheme="minorEastAsia"/>
          <w:color w:val="auto"/>
          <w:spacing w:val="-7"/>
          <w:sz w:val="24"/>
          <w:szCs w:val="24"/>
        </w:rPr>
        <w:t>年底户籍总人口约</w:t>
      </w:r>
      <w:r>
        <w:rPr>
          <w:rFonts w:hint="eastAsia" w:asciiTheme="minorEastAsia" w:hAnsiTheme="minorEastAsia" w:eastAsiaTheme="minorEastAsia" w:cstheme="minorEastAsia"/>
          <w:color w:val="auto"/>
          <w:sz w:val="24"/>
          <w:szCs w:val="24"/>
        </w:rPr>
        <w:t>6.5</w:t>
      </w:r>
      <w:r>
        <w:rPr>
          <w:rFonts w:hint="eastAsia" w:asciiTheme="minorEastAsia" w:hAnsiTheme="minorEastAsia" w:eastAsiaTheme="minorEastAsia" w:cstheme="minorEastAsia"/>
          <w:color w:val="auto"/>
          <w:spacing w:val="-7"/>
          <w:sz w:val="24"/>
          <w:szCs w:val="24"/>
        </w:rPr>
        <w:t>万人，常住总人口约</w:t>
      </w:r>
      <w:r>
        <w:rPr>
          <w:rFonts w:hint="eastAsia" w:asciiTheme="minorEastAsia" w:hAnsiTheme="minorEastAsia" w:eastAsiaTheme="minorEastAsia" w:cstheme="minorEastAsia"/>
          <w:color w:val="auto"/>
          <w:sz w:val="24"/>
          <w:szCs w:val="24"/>
        </w:rPr>
        <w:t>4.1万</w:t>
      </w:r>
      <w:r>
        <w:rPr>
          <w:rFonts w:hint="eastAsia" w:asciiTheme="minorEastAsia" w:hAnsiTheme="minorEastAsia" w:eastAsiaTheme="minorEastAsia" w:cstheme="minorEastAsia"/>
          <w:color w:val="auto"/>
          <w:spacing w:val="-11"/>
          <w:sz w:val="24"/>
          <w:szCs w:val="24"/>
        </w:rPr>
        <w:t>人。农林特产有桂皮、桂油、松脂、上石粉等。省道荔珠线由东向西</w:t>
      </w:r>
      <w:r>
        <w:rPr>
          <w:rFonts w:hint="eastAsia" w:asciiTheme="minorEastAsia" w:hAnsiTheme="minorEastAsia" w:eastAsiaTheme="minorEastAsia" w:cstheme="minorEastAsia"/>
          <w:color w:val="auto"/>
          <w:spacing w:val="-13"/>
          <w:sz w:val="24"/>
          <w:szCs w:val="24"/>
        </w:rPr>
        <w:t>横贯镇境，交通便利。黎少镇具有光荣的革命传统，是“</w:t>
      </w:r>
      <w:r>
        <w:rPr>
          <w:rFonts w:hint="eastAsia" w:asciiTheme="minorEastAsia" w:hAnsiTheme="minorEastAsia" w:eastAsiaTheme="minorEastAsia" w:cstheme="minorEastAsia"/>
          <w:color w:val="auto"/>
          <w:spacing w:val="-2"/>
          <w:sz w:val="24"/>
          <w:szCs w:val="24"/>
        </w:rPr>
        <w:t>老苏区“</w:t>
      </w:r>
      <w:r>
        <w:rPr>
          <w:rFonts w:hint="eastAsia" w:asciiTheme="minorEastAsia" w:hAnsiTheme="minorEastAsia" w:eastAsiaTheme="minorEastAsia" w:cstheme="minorEastAsia"/>
          <w:color w:val="auto"/>
          <w:sz w:val="24"/>
          <w:szCs w:val="24"/>
        </w:rPr>
        <w:t>镇。</w:t>
      </w:r>
      <w:r>
        <w:rPr>
          <w:rFonts w:hint="eastAsia" w:asciiTheme="minorEastAsia" w:hAnsiTheme="minorEastAsia" w:eastAsiaTheme="minorEastAsia" w:cstheme="minorEastAsia"/>
          <w:color w:val="auto"/>
          <w:spacing w:val="-3"/>
          <w:sz w:val="24"/>
          <w:szCs w:val="24"/>
        </w:rPr>
        <w:t>2003</w:t>
      </w:r>
      <w:r>
        <w:rPr>
          <w:rFonts w:hint="eastAsia" w:asciiTheme="minorEastAsia" w:hAnsiTheme="minorEastAsia" w:eastAsiaTheme="minorEastAsia" w:cstheme="minorEastAsia"/>
          <w:color w:val="auto"/>
          <w:spacing w:val="-8"/>
          <w:sz w:val="24"/>
          <w:szCs w:val="24"/>
        </w:rPr>
        <w:t>年，黎少镇获广东省“</w:t>
      </w:r>
      <w:r>
        <w:rPr>
          <w:rFonts w:hint="eastAsia" w:asciiTheme="minorEastAsia" w:hAnsiTheme="minorEastAsia" w:eastAsiaTheme="minorEastAsia" w:cstheme="minorEastAsia"/>
          <w:color w:val="auto"/>
          <w:spacing w:val="-4"/>
          <w:sz w:val="24"/>
          <w:szCs w:val="24"/>
        </w:rPr>
        <w:t>文明镇“</w:t>
      </w:r>
      <w:r>
        <w:rPr>
          <w:rFonts w:hint="eastAsia" w:asciiTheme="minorEastAsia" w:hAnsiTheme="minorEastAsia" w:eastAsiaTheme="minorEastAsia" w:cstheme="minorEastAsia"/>
          <w:color w:val="auto"/>
          <w:spacing w:val="-2"/>
          <w:sz w:val="24"/>
          <w:szCs w:val="24"/>
        </w:rPr>
        <w:t>称号。</w:t>
      </w:r>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黎少镇目前尚未建设污水处理厂及配套管网，现状排水体制比较</w:t>
      </w:r>
      <w:r>
        <w:rPr>
          <w:rFonts w:hint="eastAsia" w:asciiTheme="minorEastAsia" w:hAnsiTheme="minorEastAsia" w:eastAsiaTheme="minorEastAsia" w:cstheme="minorEastAsia"/>
          <w:color w:val="auto"/>
          <w:spacing w:val="-17"/>
          <w:sz w:val="24"/>
          <w:szCs w:val="24"/>
        </w:rPr>
        <w:t>落后，仍然为雨污合流制。镇区主要排污口位于镇政府旁，生活污水及雨水通过街边沟渠收集后未经任何处理直接排入至国家一级水源保</w:t>
      </w:r>
      <w:r>
        <w:rPr>
          <w:rFonts w:hint="eastAsia" w:asciiTheme="minorEastAsia" w:hAnsiTheme="minorEastAsia" w:eastAsiaTheme="minorEastAsia" w:cstheme="minorEastAsia"/>
          <w:color w:val="auto"/>
          <w:spacing w:val="-10"/>
          <w:sz w:val="24"/>
          <w:szCs w:val="24"/>
        </w:rPr>
        <w:t>护区泗纶河内，影响水源水质。</w:t>
      </w:r>
    </w:p>
    <w:p>
      <w:pPr>
        <w:pStyle w:val="32"/>
        <w:numPr>
          <w:ilvl w:val="3"/>
          <w:numId w:val="7"/>
        </w:numPr>
        <w:tabs>
          <w:tab w:val="left" w:pos="1320"/>
        </w:tabs>
        <w:spacing w:line="500" w:lineRule="exact"/>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龙湾镇</w:t>
      </w:r>
    </w:p>
    <w:p>
      <w:pPr>
        <w:pStyle w:val="10"/>
        <w:spacing w:line="500" w:lineRule="exact"/>
        <w:ind w:firstLine="41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6"/>
          <w:sz w:val="24"/>
          <w:szCs w:val="24"/>
        </w:rPr>
        <w:t>龙湾镇原名扶合镇，位于罗定市西部，距罗定市区</w:t>
      </w:r>
      <w:r>
        <w:rPr>
          <w:rFonts w:hint="eastAsia" w:asciiTheme="minorEastAsia" w:hAnsiTheme="minorEastAsia" w:eastAsiaTheme="minorEastAsia" w:cstheme="minorEastAsia"/>
          <w:color w:val="auto"/>
          <w:sz w:val="24"/>
          <w:szCs w:val="24"/>
        </w:rPr>
        <w:t>53</w:t>
      </w:r>
      <w:r>
        <w:rPr>
          <w:rFonts w:hint="eastAsia" w:asciiTheme="minorEastAsia" w:hAnsiTheme="minorEastAsia" w:eastAsiaTheme="minorEastAsia" w:cstheme="minorEastAsia"/>
          <w:color w:val="auto"/>
          <w:spacing w:val="-8"/>
          <w:sz w:val="24"/>
          <w:szCs w:val="24"/>
        </w:rPr>
        <w:t>公里，西</w:t>
      </w:r>
      <w:r>
        <w:rPr>
          <w:rFonts w:hint="eastAsia" w:asciiTheme="minorEastAsia" w:hAnsiTheme="minorEastAsia" w:eastAsiaTheme="minorEastAsia" w:cstheme="minorEastAsia"/>
          <w:color w:val="auto"/>
          <w:spacing w:val="-15"/>
          <w:sz w:val="24"/>
          <w:szCs w:val="24"/>
        </w:rPr>
        <w:t xml:space="preserve">南部与信宜市为邻，东南部与泗纶镇接壤，西北部与加益镇相连，南连分界镇。是罗定最边远的山区镇之一。全镇地貌属罗定红盆西段低山、丘陵区。全境属云开大山山地，是高寒山区。全镇总面积 </w:t>
      </w:r>
      <w:r>
        <w:rPr>
          <w:rFonts w:hint="eastAsia" w:asciiTheme="minorEastAsia" w:hAnsiTheme="minorEastAsia" w:eastAsiaTheme="minorEastAsia" w:cstheme="minorEastAsia"/>
          <w:color w:val="auto"/>
          <w:spacing w:val="-7"/>
          <w:sz w:val="24"/>
          <w:szCs w:val="24"/>
        </w:rPr>
        <w:t>126.4</w:t>
      </w:r>
      <w:r>
        <w:rPr>
          <w:rFonts w:hint="eastAsia" w:asciiTheme="minorEastAsia" w:hAnsiTheme="minorEastAsia" w:eastAsiaTheme="minorEastAsia" w:cstheme="minorEastAsia"/>
          <w:color w:val="auto"/>
          <w:spacing w:val="-12"/>
          <w:sz w:val="24"/>
          <w:szCs w:val="24"/>
        </w:rPr>
        <w:t xml:space="preserve">平方公里，辖 </w:t>
      </w:r>
      <w:r>
        <w:rPr>
          <w:rFonts w:hint="eastAsia" w:asciiTheme="minorEastAsia" w:hAnsiTheme="minorEastAsia" w:eastAsiaTheme="minorEastAsia" w:cstheme="minorEastAsia"/>
          <w:color w:val="auto"/>
          <w:sz w:val="24"/>
          <w:szCs w:val="24"/>
        </w:rPr>
        <w:t>1</w:t>
      </w:r>
      <w:r>
        <w:rPr>
          <w:rFonts w:hint="eastAsia" w:asciiTheme="minorEastAsia" w:hAnsiTheme="minorEastAsia" w:eastAsiaTheme="minorEastAsia" w:cstheme="minorEastAsia"/>
          <w:color w:val="auto"/>
          <w:spacing w:val="-14"/>
          <w:sz w:val="24"/>
          <w:szCs w:val="24"/>
        </w:rPr>
        <w:t>个社区、</w:t>
      </w:r>
      <w:r>
        <w:rPr>
          <w:rFonts w:hint="eastAsia" w:asciiTheme="minorEastAsia" w:hAnsiTheme="minorEastAsia" w:eastAsiaTheme="minorEastAsia" w:cstheme="minorEastAsia"/>
          <w:color w:val="auto"/>
          <w:sz w:val="24"/>
          <w:szCs w:val="24"/>
        </w:rPr>
        <w:t>11</w:t>
      </w:r>
      <w:r>
        <w:rPr>
          <w:rFonts w:hint="eastAsia" w:asciiTheme="minorEastAsia" w:hAnsiTheme="minorEastAsia" w:eastAsiaTheme="minorEastAsia" w:cstheme="minorEastAsia"/>
          <w:color w:val="auto"/>
          <w:spacing w:val="-14"/>
          <w:sz w:val="24"/>
          <w:szCs w:val="24"/>
        </w:rPr>
        <w:t>个行政村，</w:t>
      </w:r>
      <w:r>
        <w:rPr>
          <w:rFonts w:hint="eastAsia" w:asciiTheme="minorEastAsia" w:hAnsiTheme="minorEastAsia" w:eastAsiaTheme="minorEastAsia" w:cstheme="minorEastAsia"/>
          <w:color w:val="auto"/>
          <w:spacing w:val="-8"/>
          <w:sz w:val="24"/>
          <w:szCs w:val="24"/>
        </w:rPr>
        <w:t>197</w:t>
      </w:r>
      <w:r>
        <w:rPr>
          <w:rFonts w:hint="eastAsia" w:asciiTheme="minorEastAsia" w:hAnsiTheme="minorEastAsia" w:eastAsiaTheme="minorEastAsia" w:cstheme="minorEastAsia"/>
          <w:color w:val="auto"/>
          <w:spacing w:val="-15"/>
          <w:sz w:val="24"/>
          <w:szCs w:val="24"/>
        </w:rPr>
        <w:t>个自然村，</w:t>
      </w:r>
      <w:r>
        <w:rPr>
          <w:rFonts w:hint="eastAsia" w:asciiTheme="minorEastAsia" w:hAnsiTheme="minorEastAsia" w:eastAsiaTheme="minorEastAsia" w:cstheme="minorEastAsia"/>
          <w:color w:val="auto"/>
          <w:spacing w:val="-9"/>
          <w:sz w:val="24"/>
          <w:szCs w:val="24"/>
        </w:rPr>
        <w:t>2018年底户</w:t>
      </w:r>
      <w:r>
        <w:rPr>
          <w:rFonts w:hint="eastAsia" w:asciiTheme="minorEastAsia" w:hAnsiTheme="minorEastAsia" w:eastAsiaTheme="minorEastAsia" w:cstheme="minorEastAsia"/>
          <w:color w:val="auto"/>
          <w:spacing w:val="-13"/>
          <w:sz w:val="24"/>
          <w:szCs w:val="24"/>
        </w:rPr>
        <w:t xml:space="preserve">籍总人口约 </w:t>
      </w:r>
      <w:r>
        <w:rPr>
          <w:rFonts w:hint="eastAsia" w:asciiTheme="minorEastAsia" w:hAnsiTheme="minorEastAsia" w:eastAsiaTheme="minorEastAsia" w:cstheme="minorEastAsia"/>
          <w:color w:val="auto"/>
          <w:spacing w:val="-4"/>
          <w:sz w:val="24"/>
          <w:szCs w:val="24"/>
        </w:rPr>
        <w:t>3.6</w:t>
      </w:r>
      <w:r>
        <w:rPr>
          <w:rFonts w:hint="eastAsia" w:asciiTheme="minorEastAsia" w:hAnsiTheme="minorEastAsia" w:eastAsiaTheme="minorEastAsia" w:cstheme="minorEastAsia"/>
          <w:color w:val="auto"/>
          <w:spacing w:val="-16"/>
          <w:sz w:val="24"/>
          <w:szCs w:val="24"/>
        </w:rPr>
        <w:t xml:space="preserve"> 万人，常住总人口约</w:t>
      </w:r>
      <w:r>
        <w:rPr>
          <w:rFonts w:hint="eastAsia" w:asciiTheme="minorEastAsia" w:hAnsiTheme="minorEastAsia" w:eastAsiaTheme="minorEastAsia" w:cstheme="minorEastAsia"/>
          <w:color w:val="auto"/>
          <w:spacing w:val="-4"/>
          <w:sz w:val="24"/>
          <w:szCs w:val="24"/>
        </w:rPr>
        <w:t>3.2</w:t>
      </w:r>
      <w:r>
        <w:rPr>
          <w:rFonts w:hint="eastAsia" w:asciiTheme="minorEastAsia" w:hAnsiTheme="minorEastAsia" w:eastAsiaTheme="minorEastAsia" w:cstheme="minorEastAsia"/>
          <w:color w:val="auto"/>
          <w:spacing w:val="-14"/>
          <w:sz w:val="24"/>
          <w:szCs w:val="24"/>
        </w:rPr>
        <w:t>万人。历史遗址有明清时</w:t>
      </w:r>
      <w:r>
        <w:rPr>
          <w:rFonts w:hint="eastAsia" w:asciiTheme="minorEastAsia" w:hAnsiTheme="minorEastAsia" w:eastAsiaTheme="minorEastAsia" w:cstheme="minorEastAsia"/>
          <w:color w:val="auto"/>
          <w:spacing w:val="-15"/>
          <w:sz w:val="24"/>
          <w:szCs w:val="24"/>
        </w:rPr>
        <w:t>期“ 过山瑶“村落遗址、染池遗址和古时的农家旧址。</w:t>
      </w:r>
      <w:r>
        <w:rPr>
          <w:rFonts w:hint="eastAsia" w:asciiTheme="minorEastAsia" w:hAnsiTheme="minorEastAsia" w:eastAsiaTheme="minorEastAsia" w:cstheme="minorEastAsia"/>
          <w:color w:val="auto"/>
          <w:sz w:val="24"/>
          <w:szCs w:val="24"/>
        </w:rPr>
        <w:t>目前龙湾镇尚未建设污水处理厂及污水收集管网，镇区内有一条</w:t>
      </w:r>
      <w:r>
        <w:rPr>
          <w:rFonts w:hint="eastAsia" w:asciiTheme="minorEastAsia" w:hAnsiTheme="minorEastAsia" w:eastAsiaTheme="minorEastAsia" w:cstheme="minorEastAsia"/>
          <w:color w:val="auto"/>
          <w:spacing w:val="-10"/>
          <w:sz w:val="24"/>
          <w:szCs w:val="24"/>
        </w:rPr>
        <w:t>河流贯穿全镇，居民生活污水经化粪池后进入雨污合流管或暗渠，最终排入河流内。镇区共有五大主要排污口，均位于河道两侧，且河道两侧还有较多小管径的直排口，生活污水未经任何处理直接排入河流内，对河流水环境造成严重污染，河流散发恶臭气味，影响周边居民</w:t>
      </w:r>
      <w:r>
        <w:rPr>
          <w:rFonts w:hint="eastAsia" w:asciiTheme="minorEastAsia" w:hAnsiTheme="minorEastAsia" w:eastAsiaTheme="minorEastAsia" w:cstheme="minorEastAsia"/>
          <w:color w:val="auto"/>
          <w:spacing w:val="-8"/>
          <w:sz w:val="24"/>
          <w:szCs w:val="24"/>
        </w:rPr>
        <w:t>生活环境。</w:t>
      </w:r>
    </w:p>
    <w:p>
      <w:pPr>
        <w:pStyle w:val="32"/>
        <w:numPr>
          <w:ilvl w:val="3"/>
          <w:numId w:val="7"/>
        </w:numPr>
        <w:tabs>
          <w:tab w:val="left" w:pos="1540"/>
        </w:tabs>
        <w:spacing w:line="500" w:lineRule="exact"/>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pacing w:val="2"/>
          <w:sz w:val="24"/>
          <w:szCs w:val="24"/>
        </w:rPr>
        <w:t>加益镇</w:t>
      </w:r>
    </w:p>
    <w:p>
      <w:pPr>
        <w:pStyle w:val="10"/>
        <w:spacing w:line="500" w:lineRule="exact"/>
        <w:ind w:firstLine="42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4"/>
          <w:sz w:val="24"/>
          <w:szCs w:val="24"/>
        </w:rPr>
        <w:t>加益镇位于罗定市西部，距离市区</w:t>
      </w:r>
      <w:r>
        <w:rPr>
          <w:rFonts w:hint="eastAsia" w:asciiTheme="minorEastAsia" w:hAnsiTheme="minorEastAsia" w:eastAsiaTheme="minorEastAsia" w:cstheme="minorEastAsia"/>
          <w:color w:val="auto"/>
          <w:sz w:val="24"/>
          <w:szCs w:val="24"/>
        </w:rPr>
        <w:t>53</w:t>
      </w:r>
      <w:r>
        <w:rPr>
          <w:rFonts w:hint="eastAsia" w:asciiTheme="minorEastAsia" w:hAnsiTheme="minorEastAsia" w:eastAsiaTheme="minorEastAsia" w:cstheme="minorEastAsia"/>
          <w:color w:val="auto"/>
          <w:spacing w:val="-14"/>
          <w:sz w:val="24"/>
          <w:szCs w:val="24"/>
        </w:rPr>
        <w:t>公里，是革命老区镇，坐</w:t>
      </w:r>
      <w:r>
        <w:rPr>
          <w:rFonts w:hint="eastAsia" w:asciiTheme="minorEastAsia" w:hAnsiTheme="minorEastAsia" w:eastAsiaTheme="minorEastAsia" w:cstheme="minorEastAsia"/>
          <w:color w:val="auto"/>
          <w:spacing w:val="-15"/>
          <w:sz w:val="24"/>
          <w:szCs w:val="24"/>
        </w:rPr>
        <w:t>落在两省三市交界处，东靠泗纶镇，南连龙湾镇，西南与信宜市贵子镇相接，西北与广西壮族自治区岑溪市的水汶、梨木镇为邻。地处云</w:t>
      </w:r>
      <w:r>
        <w:rPr>
          <w:rFonts w:hint="eastAsia" w:asciiTheme="minorEastAsia" w:hAnsiTheme="minorEastAsia" w:eastAsiaTheme="minorEastAsia" w:cstheme="minorEastAsia"/>
          <w:color w:val="auto"/>
          <w:spacing w:val="-16"/>
          <w:sz w:val="24"/>
          <w:szCs w:val="24"/>
        </w:rPr>
        <w:t>开大山山脉，四面群山环绕。全镇总面积</w:t>
      </w:r>
      <w:r>
        <w:rPr>
          <w:rFonts w:hint="eastAsia" w:asciiTheme="minorEastAsia" w:hAnsiTheme="minorEastAsia" w:eastAsiaTheme="minorEastAsia" w:cstheme="minorEastAsia"/>
          <w:color w:val="auto"/>
          <w:sz w:val="24"/>
          <w:szCs w:val="24"/>
        </w:rPr>
        <w:t>82</w:t>
      </w:r>
      <w:r>
        <w:rPr>
          <w:rFonts w:hint="eastAsia" w:asciiTheme="minorEastAsia" w:hAnsiTheme="minorEastAsia" w:eastAsiaTheme="minorEastAsia" w:cstheme="minorEastAsia"/>
          <w:color w:val="auto"/>
          <w:spacing w:val="-15"/>
          <w:sz w:val="24"/>
          <w:szCs w:val="24"/>
        </w:rPr>
        <w:t xml:space="preserve"> 平方公里，辖</w:t>
      </w:r>
      <w:r>
        <w:rPr>
          <w:rFonts w:hint="eastAsia" w:asciiTheme="minorEastAsia" w:hAnsiTheme="minorEastAsia" w:eastAsiaTheme="minorEastAsia" w:cstheme="minorEastAsia"/>
          <w:color w:val="auto"/>
          <w:sz w:val="24"/>
          <w:szCs w:val="24"/>
        </w:rPr>
        <w:t>1</w:t>
      </w:r>
      <w:r>
        <w:rPr>
          <w:rFonts w:hint="eastAsia" w:asciiTheme="minorEastAsia" w:hAnsiTheme="minorEastAsia" w:eastAsiaTheme="minorEastAsia" w:cstheme="minorEastAsia"/>
          <w:color w:val="auto"/>
          <w:spacing w:val="-6"/>
          <w:sz w:val="24"/>
          <w:szCs w:val="24"/>
        </w:rPr>
        <w:t>个社</w:t>
      </w:r>
      <w:r>
        <w:rPr>
          <w:rFonts w:hint="eastAsia" w:asciiTheme="minorEastAsia" w:hAnsiTheme="minorEastAsia" w:eastAsiaTheme="minorEastAsia" w:cstheme="minorEastAsia"/>
          <w:color w:val="auto"/>
          <w:spacing w:val="-12"/>
          <w:sz w:val="24"/>
          <w:szCs w:val="24"/>
        </w:rPr>
        <w:t>区、</w:t>
      </w:r>
      <w:r>
        <w:rPr>
          <w:rFonts w:hint="eastAsia" w:asciiTheme="minorEastAsia" w:hAnsiTheme="minorEastAsia" w:eastAsiaTheme="minorEastAsia" w:cstheme="minorEastAsia"/>
          <w:color w:val="auto"/>
          <w:sz w:val="24"/>
          <w:szCs w:val="24"/>
        </w:rPr>
        <w:t>9</w:t>
      </w:r>
      <w:r>
        <w:rPr>
          <w:rFonts w:hint="eastAsia" w:asciiTheme="minorEastAsia" w:hAnsiTheme="minorEastAsia" w:eastAsiaTheme="minorEastAsia" w:cstheme="minorEastAsia"/>
          <w:color w:val="auto"/>
          <w:spacing w:val="-10"/>
          <w:sz w:val="24"/>
          <w:szCs w:val="24"/>
        </w:rPr>
        <w:t>个行政村，</w:t>
      </w:r>
      <w:r>
        <w:rPr>
          <w:rFonts w:hint="eastAsia" w:asciiTheme="minorEastAsia" w:hAnsiTheme="minorEastAsia" w:eastAsiaTheme="minorEastAsia" w:cstheme="minorEastAsia"/>
          <w:color w:val="auto"/>
          <w:spacing w:val="-6"/>
          <w:sz w:val="24"/>
          <w:szCs w:val="24"/>
        </w:rPr>
        <w:t>145</w:t>
      </w:r>
      <w:r>
        <w:rPr>
          <w:rFonts w:hint="eastAsia" w:asciiTheme="minorEastAsia" w:hAnsiTheme="minorEastAsia" w:eastAsiaTheme="minorEastAsia" w:cstheme="minorEastAsia"/>
          <w:color w:val="auto"/>
          <w:spacing w:val="-12"/>
          <w:sz w:val="24"/>
          <w:szCs w:val="24"/>
        </w:rPr>
        <w:t>个自然村，</w:t>
      </w:r>
      <w:r>
        <w:rPr>
          <w:rFonts w:hint="eastAsia" w:asciiTheme="minorEastAsia" w:hAnsiTheme="minorEastAsia" w:eastAsiaTheme="minorEastAsia" w:cstheme="minorEastAsia"/>
          <w:color w:val="auto"/>
          <w:spacing w:val="-8"/>
          <w:sz w:val="24"/>
          <w:szCs w:val="24"/>
        </w:rPr>
        <w:t>2018</w:t>
      </w:r>
      <w:r>
        <w:rPr>
          <w:rFonts w:hint="eastAsia" w:asciiTheme="minorEastAsia" w:hAnsiTheme="minorEastAsia" w:eastAsiaTheme="minorEastAsia" w:cstheme="minorEastAsia"/>
          <w:color w:val="auto"/>
          <w:spacing w:val="-12"/>
          <w:sz w:val="24"/>
          <w:szCs w:val="24"/>
        </w:rPr>
        <w:t xml:space="preserve"> 年底户籍总人口约 </w:t>
      </w:r>
      <w:r>
        <w:rPr>
          <w:rFonts w:hint="eastAsia" w:asciiTheme="minorEastAsia" w:hAnsiTheme="minorEastAsia" w:eastAsiaTheme="minorEastAsia" w:cstheme="minorEastAsia"/>
          <w:color w:val="auto"/>
          <w:spacing w:val="-4"/>
          <w:sz w:val="24"/>
          <w:szCs w:val="24"/>
        </w:rPr>
        <w:t>2.9</w:t>
      </w:r>
      <w:r>
        <w:rPr>
          <w:rFonts w:hint="eastAsia" w:asciiTheme="minorEastAsia" w:hAnsiTheme="minorEastAsia" w:eastAsiaTheme="minorEastAsia" w:cstheme="minorEastAsia"/>
          <w:color w:val="auto"/>
          <w:spacing w:val="-3"/>
          <w:sz w:val="24"/>
          <w:szCs w:val="24"/>
        </w:rPr>
        <w:t>万</w:t>
      </w:r>
      <w:r>
        <w:rPr>
          <w:rFonts w:hint="eastAsia" w:asciiTheme="minorEastAsia" w:hAnsiTheme="minorEastAsia" w:eastAsiaTheme="minorEastAsia" w:cstheme="minorEastAsia"/>
          <w:color w:val="auto"/>
          <w:spacing w:val="-14"/>
          <w:sz w:val="24"/>
          <w:szCs w:val="24"/>
        </w:rPr>
        <w:t xml:space="preserve">人，常总人口约 </w:t>
      </w:r>
      <w:r>
        <w:rPr>
          <w:rFonts w:hint="eastAsia" w:asciiTheme="minorEastAsia" w:hAnsiTheme="minorEastAsia" w:eastAsiaTheme="minorEastAsia" w:cstheme="minorEastAsia"/>
          <w:color w:val="auto"/>
          <w:spacing w:val="-4"/>
          <w:sz w:val="24"/>
          <w:szCs w:val="24"/>
        </w:rPr>
        <w:t>2.1</w:t>
      </w:r>
      <w:r>
        <w:rPr>
          <w:rFonts w:hint="eastAsia" w:asciiTheme="minorEastAsia" w:hAnsiTheme="minorEastAsia" w:eastAsiaTheme="minorEastAsia" w:cstheme="minorEastAsia"/>
          <w:color w:val="auto"/>
          <w:spacing w:val="-13"/>
          <w:sz w:val="24"/>
          <w:szCs w:val="24"/>
        </w:rPr>
        <w:t xml:space="preserve"> 万人。</w:t>
      </w:r>
    </w:p>
    <w:p>
      <w:pPr>
        <w:pStyle w:val="10"/>
        <w:spacing w:line="500" w:lineRule="exact"/>
        <w:ind w:firstLine="44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8"/>
          <w:sz w:val="24"/>
          <w:szCs w:val="24"/>
        </w:rPr>
        <w:t>目前加益镇尚未建设污水处理厂及污水收集管网，现状排水体制</w:t>
      </w:r>
      <w:r>
        <w:rPr>
          <w:rFonts w:hint="eastAsia" w:asciiTheme="minorEastAsia" w:hAnsiTheme="minorEastAsia" w:eastAsiaTheme="minorEastAsia" w:cstheme="minorEastAsia"/>
          <w:color w:val="auto"/>
          <w:spacing w:val="-10"/>
          <w:sz w:val="24"/>
          <w:szCs w:val="24"/>
        </w:rPr>
        <w:t xml:space="preserve">比较落后，仍然为雨污合流制，居民生活污水主要通过化粪池后进入街边沟渠直接排入附近河涌水体，导致水体环境受到一定程度污染， </w:t>
      </w:r>
      <w:r>
        <w:rPr>
          <w:rFonts w:hint="eastAsia" w:asciiTheme="minorEastAsia" w:hAnsiTheme="minorEastAsia" w:eastAsiaTheme="minorEastAsia" w:cstheme="minorEastAsia"/>
          <w:color w:val="auto"/>
          <w:spacing w:val="-12"/>
          <w:sz w:val="24"/>
          <w:szCs w:val="24"/>
        </w:rPr>
        <w:t>影响周边居民生活环境。</w:t>
      </w:r>
    </w:p>
    <w:p>
      <w:pPr>
        <w:pStyle w:val="32"/>
        <w:numPr>
          <w:ilvl w:val="3"/>
          <w:numId w:val="7"/>
        </w:numPr>
        <w:tabs>
          <w:tab w:val="left" w:pos="1540"/>
        </w:tabs>
        <w:spacing w:line="500" w:lineRule="exact"/>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分界镇</w:t>
      </w:r>
    </w:p>
    <w:p>
      <w:pPr>
        <w:pStyle w:val="10"/>
        <w:spacing w:line="500" w:lineRule="exact"/>
        <w:ind w:firstLine="42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3"/>
          <w:sz w:val="24"/>
          <w:szCs w:val="24"/>
        </w:rPr>
        <w:t>分界镇位于罗定市西南部，距罗城</w:t>
      </w:r>
      <w:r>
        <w:rPr>
          <w:rFonts w:hint="eastAsia" w:asciiTheme="minorEastAsia" w:hAnsiTheme="minorEastAsia" w:eastAsiaTheme="minorEastAsia" w:cstheme="minorEastAsia"/>
          <w:color w:val="auto"/>
          <w:sz w:val="24"/>
          <w:szCs w:val="24"/>
        </w:rPr>
        <w:t>52</w:t>
      </w:r>
      <w:r>
        <w:rPr>
          <w:rFonts w:hint="eastAsia" w:asciiTheme="minorEastAsia" w:hAnsiTheme="minorEastAsia" w:eastAsiaTheme="minorEastAsia" w:cstheme="minorEastAsia"/>
          <w:color w:val="auto"/>
          <w:spacing w:val="-12"/>
          <w:sz w:val="24"/>
          <w:szCs w:val="24"/>
        </w:rPr>
        <w:t>公里，南边信宜市，东西</w:t>
      </w:r>
      <w:r>
        <w:rPr>
          <w:rFonts w:hint="eastAsia" w:asciiTheme="minorEastAsia" w:hAnsiTheme="minorEastAsia" w:eastAsiaTheme="minorEastAsia" w:cstheme="minorEastAsia"/>
          <w:color w:val="auto"/>
          <w:spacing w:val="-13"/>
          <w:sz w:val="24"/>
          <w:szCs w:val="24"/>
        </w:rPr>
        <w:t>北面分别与罗镜、都门、扶合、新榕为邻。全镇总面积</w:t>
      </w:r>
      <w:r>
        <w:rPr>
          <w:rFonts w:hint="eastAsia" w:asciiTheme="minorEastAsia" w:hAnsiTheme="minorEastAsia" w:eastAsiaTheme="minorEastAsia" w:cstheme="minorEastAsia"/>
          <w:color w:val="auto"/>
          <w:spacing w:val="-5"/>
          <w:sz w:val="24"/>
          <w:szCs w:val="24"/>
        </w:rPr>
        <w:t>97.6平方公</w:t>
      </w:r>
      <w:r>
        <w:rPr>
          <w:rFonts w:hint="eastAsia" w:asciiTheme="minorEastAsia" w:hAnsiTheme="minorEastAsia" w:eastAsiaTheme="minorEastAsia" w:cstheme="minorEastAsia"/>
          <w:color w:val="auto"/>
          <w:spacing w:val="-8"/>
          <w:sz w:val="24"/>
          <w:szCs w:val="24"/>
        </w:rPr>
        <w:t>里，辖</w:t>
      </w:r>
      <w:r>
        <w:rPr>
          <w:rFonts w:hint="eastAsia" w:asciiTheme="minorEastAsia" w:hAnsiTheme="minorEastAsia" w:eastAsiaTheme="minorEastAsia" w:cstheme="minorEastAsia"/>
          <w:color w:val="auto"/>
          <w:sz w:val="24"/>
          <w:szCs w:val="24"/>
        </w:rPr>
        <w:t>1</w:t>
      </w:r>
      <w:r>
        <w:rPr>
          <w:rFonts w:hint="eastAsia" w:asciiTheme="minorEastAsia" w:hAnsiTheme="minorEastAsia" w:eastAsiaTheme="minorEastAsia" w:cstheme="minorEastAsia"/>
          <w:color w:val="auto"/>
          <w:spacing w:val="-10"/>
          <w:sz w:val="24"/>
          <w:szCs w:val="24"/>
        </w:rPr>
        <w:t>个居委会、</w:t>
      </w:r>
      <w:r>
        <w:rPr>
          <w:rFonts w:hint="eastAsia" w:asciiTheme="minorEastAsia" w:hAnsiTheme="minorEastAsia" w:eastAsiaTheme="minorEastAsia" w:cstheme="minorEastAsia"/>
          <w:color w:val="auto"/>
          <w:sz w:val="24"/>
          <w:szCs w:val="24"/>
        </w:rPr>
        <w:t>9</w:t>
      </w:r>
      <w:r>
        <w:rPr>
          <w:rFonts w:hint="eastAsia" w:asciiTheme="minorEastAsia" w:hAnsiTheme="minorEastAsia" w:eastAsiaTheme="minorEastAsia" w:cstheme="minorEastAsia"/>
          <w:color w:val="auto"/>
          <w:spacing w:val="-9"/>
          <w:sz w:val="24"/>
          <w:szCs w:val="24"/>
        </w:rPr>
        <w:t>个行政村，</w:t>
      </w:r>
      <w:r>
        <w:rPr>
          <w:rFonts w:hint="eastAsia" w:asciiTheme="minorEastAsia" w:hAnsiTheme="minorEastAsia" w:eastAsiaTheme="minorEastAsia" w:cstheme="minorEastAsia"/>
          <w:color w:val="auto"/>
          <w:spacing w:val="-6"/>
          <w:sz w:val="24"/>
          <w:szCs w:val="24"/>
        </w:rPr>
        <w:t>181</w:t>
      </w:r>
      <w:r>
        <w:rPr>
          <w:rFonts w:hint="eastAsia" w:asciiTheme="minorEastAsia" w:hAnsiTheme="minorEastAsia" w:eastAsiaTheme="minorEastAsia" w:cstheme="minorEastAsia"/>
          <w:color w:val="auto"/>
          <w:spacing w:val="-12"/>
          <w:sz w:val="24"/>
          <w:szCs w:val="24"/>
        </w:rPr>
        <w:t>个自然村，</w:t>
      </w:r>
      <w:r>
        <w:rPr>
          <w:rFonts w:hint="eastAsia" w:asciiTheme="minorEastAsia" w:hAnsiTheme="minorEastAsia" w:eastAsiaTheme="minorEastAsia" w:cstheme="minorEastAsia"/>
          <w:color w:val="auto"/>
          <w:spacing w:val="-7"/>
          <w:sz w:val="24"/>
          <w:szCs w:val="24"/>
        </w:rPr>
        <w:t>2018</w:t>
      </w:r>
      <w:r>
        <w:rPr>
          <w:rFonts w:hint="eastAsia" w:asciiTheme="minorEastAsia" w:hAnsiTheme="minorEastAsia" w:eastAsiaTheme="minorEastAsia" w:cstheme="minorEastAsia"/>
          <w:color w:val="auto"/>
          <w:spacing w:val="-9"/>
          <w:sz w:val="24"/>
          <w:szCs w:val="24"/>
        </w:rPr>
        <w:t xml:space="preserve"> 年底户籍总人口约</w:t>
      </w:r>
      <w:r>
        <w:rPr>
          <w:rFonts w:hint="eastAsia" w:asciiTheme="minorEastAsia" w:hAnsiTheme="minorEastAsia" w:eastAsiaTheme="minorEastAsia" w:cstheme="minorEastAsia"/>
          <w:color w:val="auto"/>
          <w:spacing w:val="-4"/>
          <w:sz w:val="24"/>
          <w:szCs w:val="24"/>
        </w:rPr>
        <w:t>3.4</w:t>
      </w:r>
      <w:r>
        <w:rPr>
          <w:rFonts w:hint="eastAsia" w:asciiTheme="minorEastAsia" w:hAnsiTheme="minorEastAsia" w:eastAsiaTheme="minorEastAsia" w:cstheme="minorEastAsia"/>
          <w:color w:val="auto"/>
          <w:spacing w:val="-15"/>
          <w:sz w:val="24"/>
          <w:szCs w:val="24"/>
        </w:rPr>
        <w:t>万人，常住总人口约</w:t>
      </w:r>
      <w:r>
        <w:rPr>
          <w:rFonts w:hint="eastAsia" w:asciiTheme="minorEastAsia" w:hAnsiTheme="minorEastAsia" w:eastAsiaTheme="minorEastAsia" w:cstheme="minorEastAsia"/>
          <w:color w:val="auto"/>
          <w:spacing w:val="-4"/>
          <w:sz w:val="24"/>
          <w:szCs w:val="24"/>
        </w:rPr>
        <w:t>1.7</w:t>
      </w:r>
      <w:r>
        <w:rPr>
          <w:rFonts w:hint="eastAsia" w:asciiTheme="minorEastAsia" w:hAnsiTheme="minorEastAsia" w:eastAsiaTheme="minorEastAsia" w:cstheme="minorEastAsia"/>
          <w:color w:val="auto"/>
          <w:spacing w:val="-15"/>
          <w:sz w:val="24"/>
          <w:szCs w:val="24"/>
        </w:rPr>
        <w:t xml:space="preserve">万人。镇区大部分属云开大山山地，与信宜市交界处有全市最高的山峰龙须顶，海拔 </w:t>
      </w:r>
      <w:r>
        <w:rPr>
          <w:rFonts w:hint="eastAsia" w:asciiTheme="minorEastAsia" w:hAnsiTheme="minorEastAsia" w:eastAsiaTheme="minorEastAsia" w:cstheme="minorEastAsia"/>
          <w:color w:val="auto"/>
          <w:spacing w:val="-5"/>
          <w:sz w:val="24"/>
          <w:szCs w:val="24"/>
        </w:rPr>
        <w:t>1372</w:t>
      </w:r>
      <w:r>
        <w:rPr>
          <w:rFonts w:hint="eastAsia" w:asciiTheme="minorEastAsia" w:hAnsiTheme="minorEastAsia" w:eastAsiaTheme="minorEastAsia" w:cstheme="minorEastAsia"/>
          <w:color w:val="auto"/>
          <w:spacing w:val="-6"/>
          <w:sz w:val="24"/>
          <w:szCs w:val="24"/>
        </w:rPr>
        <w:t>米；罗</w:t>
      </w:r>
      <w:r>
        <w:rPr>
          <w:rFonts w:hint="eastAsia" w:asciiTheme="minorEastAsia" w:hAnsiTheme="minorEastAsia" w:eastAsiaTheme="minorEastAsia" w:cstheme="minorEastAsia"/>
          <w:color w:val="auto"/>
          <w:spacing w:val="-3"/>
          <w:sz w:val="24"/>
          <w:szCs w:val="24"/>
        </w:rPr>
        <w:t>定江三级支流分界水穿越镇压境，在南部形成狭长的冲积平原。</w:t>
      </w:r>
      <w:r>
        <w:rPr>
          <w:rFonts w:hint="eastAsia" w:asciiTheme="minorEastAsia" w:hAnsiTheme="minorEastAsia" w:eastAsiaTheme="minorEastAsia" w:cstheme="minorEastAsia"/>
          <w:color w:val="auto"/>
          <w:spacing w:val="-8"/>
          <w:sz w:val="24"/>
          <w:szCs w:val="24"/>
        </w:rPr>
        <w:t>目前分界镇尚未建设污水处理厂及污水收集管网，现状排水体制</w:t>
      </w:r>
      <w:r>
        <w:rPr>
          <w:rFonts w:hint="eastAsia" w:asciiTheme="minorEastAsia" w:hAnsiTheme="minorEastAsia" w:eastAsiaTheme="minorEastAsia" w:cstheme="minorEastAsia"/>
          <w:color w:val="auto"/>
          <w:spacing w:val="-10"/>
          <w:sz w:val="24"/>
          <w:szCs w:val="24"/>
        </w:rPr>
        <w:t>比较落后，仍然为雨污合流制，居民生活污水主要通过化粪池后进入街边沟渠直接排入附近河涌水体，导致水体环境受到一定程度污染，</w:t>
      </w:r>
      <w:r>
        <w:rPr>
          <w:rFonts w:hint="eastAsia" w:asciiTheme="minorEastAsia" w:hAnsiTheme="minorEastAsia" w:eastAsiaTheme="minorEastAsia" w:cstheme="minorEastAsia"/>
          <w:color w:val="auto"/>
          <w:spacing w:val="-12"/>
          <w:sz w:val="24"/>
          <w:szCs w:val="24"/>
        </w:rPr>
        <w:t>影响周边居民生活环境。</w:t>
      </w:r>
    </w:p>
    <w:p>
      <w:pPr>
        <w:pStyle w:val="32"/>
        <w:numPr>
          <w:ilvl w:val="3"/>
          <w:numId w:val="7"/>
        </w:numPr>
        <w:tabs>
          <w:tab w:val="left" w:pos="1320"/>
        </w:tabs>
        <w:spacing w:line="500" w:lineRule="exact"/>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太平镇</w:t>
      </w:r>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太平镇位于罗定市南部，南靠信宜市，东西北三面分别与罗平、</w:t>
      </w:r>
      <w:r>
        <w:rPr>
          <w:rFonts w:hint="eastAsia" w:asciiTheme="minorEastAsia" w:hAnsiTheme="minorEastAsia" w:eastAsiaTheme="minorEastAsia" w:cstheme="minorEastAsia"/>
          <w:color w:val="auto"/>
          <w:spacing w:val="-13"/>
          <w:sz w:val="24"/>
          <w:szCs w:val="24"/>
        </w:rPr>
        <w:t>罗镜镇为邻。圩镇距罗定市区</w:t>
      </w:r>
      <w:r>
        <w:rPr>
          <w:rFonts w:hint="eastAsia" w:asciiTheme="minorEastAsia" w:hAnsiTheme="minorEastAsia" w:eastAsiaTheme="minorEastAsia" w:cstheme="minorEastAsia"/>
          <w:color w:val="auto"/>
          <w:sz w:val="24"/>
          <w:szCs w:val="24"/>
        </w:rPr>
        <w:t>36</w:t>
      </w:r>
      <w:r>
        <w:rPr>
          <w:rFonts w:hint="eastAsia" w:asciiTheme="minorEastAsia" w:hAnsiTheme="minorEastAsia" w:eastAsiaTheme="minorEastAsia" w:cstheme="minorEastAsia"/>
          <w:color w:val="auto"/>
          <w:spacing w:val="-13"/>
          <w:sz w:val="24"/>
          <w:szCs w:val="24"/>
        </w:rPr>
        <w:t>公里。全镇总面积</w:t>
      </w:r>
      <w:r>
        <w:rPr>
          <w:rFonts w:hint="eastAsia" w:asciiTheme="minorEastAsia" w:hAnsiTheme="minorEastAsia" w:eastAsiaTheme="minorEastAsia" w:cstheme="minorEastAsia"/>
          <w:color w:val="auto"/>
          <w:spacing w:val="-4"/>
          <w:sz w:val="24"/>
          <w:szCs w:val="24"/>
        </w:rPr>
        <w:t>93.8</w:t>
      </w:r>
      <w:r>
        <w:rPr>
          <w:rFonts w:hint="eastAsia" w:asciiTheme="minorEastAsia" w:hAnsiTheme="minorEastAsia" w:eastAsiaTheme="minorEastAsia" w:cstheme="minorEastAsia"/>
          <w:color w:val="auto"/>
          <w:spacing w:val="-9"/>
          <w:sz w:val="24"/>
          <w:szCs w:val="24"/>
        </w:rPr>
        <w:t>平方公里，</w:t>
      </w:r>
      <w:r>
        <w:rPr>
          <w:rFonts w:hint="eastAsia" w:asciiTheme="minorEastAsia" w:hAnsiTheme="minorEastAsia" w:eastAsiaTheme="minorEastAsia" w:cstheme="minorEastAsia"/>
          <w:color w:val="auto"/>
          <w:spacing w:val="-12"/>
          <w:sz w:val="24"/>
          <w:szCs w:val="24"/>
        </w:rPr>
        <w:t>辖</w:t>
      </w:r>
      <w:r>
        <w:rPr>
          <w:rFonts w:hint="eastAsia" w:asciiTheme="minorEastAsia" w:hAnsiTheme="minorEastAsia" w:eastAsiaTheme="minorEastAsia" w:cstheme="minorEastAsia"/>
          <w:color w:val="auto"/>
          <w:sz w:val="24"/>
          <w:szCs w:val="24"/>
        </w:rPr>
        <w:t>1</w:t>
      </w:r>
      <w:r>
        <w:rPr>
          <w:rFonts w:hint="eastAsia" w:asciiTheme="minorEastAsia" w:hAnsiTheme="minorEastAsia" w:eastAsiaTheme="minorEastAsia" w:cstheme="minorEastAsia"/>
          <w:color w:val="auto"/>
          <w:spacing w:val="-14"/>
          <w:sz w:val="24"/>
          <w:szCs w:val="24"/>
        </w:rPr>
        <w:t>个居委会、</w:t>
      </w:r>
      <w:r>
        <w:rPr>
          <w:rFonts w:hint="eastAsia" w:asciiTheme="minorEastAsia" w:hAnsiTheme="minorEastAsia" w:eastAsiaTheme="minorEastAsia" w:cstheme="minorEastAsia"/>
          <w:color w:val="auto"/>
          <w:sz w:val="24"/>
          <w:szCs w:val="24"/>
        </w:rPr>
        <w:t>16</w:t>
      </w:r>
      <w:r>
        <w:rPr>
          <w:rFonts w:hint="eastAsia" w:asciiTheme="minorEastAsia" w:hAnsiTheme="minorEastAsia" w:eastAsiaTheme="minorEastAsia" w:cstheme="minorEastAsia"/>
          <w:color w:val="auto"/>
          <w:spacing w:val="-15"/>
          <w:sz w:val="24"/>
          <w:szCs w:val="24"/>
        </w:rPr>
        <w:t>个行政村，</w:t>
      </w:r>
      <w:r>
        <w:rPr>
          <w:rFonts w:hint="eastAsia" w:asciiTheme="minorEastAsia" w:hAnsiTheme="minorEastAsia" w:eastAsiaTheme="minorEastAsia" w:cstheme="minorEastAsia"/>
          <w:color w:val="auto"/>
          <w:spacing w:val="-8"/>
          <w:sz w:val="24"/>
          <w:szCs w:val="24"/>
        </w:rPr>
        <w:t>157</w:t>
      </w:r>
      <w:r>
        <w:rPr>
          <w:rFonts w:hint="eastAsia" w:asciiTheme="minorEastAsia" w:hAnsiTheme="minorEastAsia" w:eastAsiaTheme="minorEastAsia" w:cstheme="minorEastAsia"/>
          <w:color w:val="auto"/>
          <w:spacing w:val="-16"/>
          <w:sz w:val="24"/>
          <w:szCs w:val="24"/>
        </w:rPr>
        <w:t>个自然村，</w:t>
      </w:r>
      <w:r>
        <w:rPr>
          <w:rFonts w:hint="eastAsia" w:asciiTheme="minorEastAsia" w:hAnsiTheme="minorEastAsia" w:eastAsiaTheme="minorEastAsia" w:cstheme="minorEastAsia"/>
          <w:color w:val="auto"/>
          <w:spacing w:val="-8"/>
          <w:sz w:val="24"/>
          <w:szCs w:val="24"/>
        </w:rPr>
        <w:t>2018</w:t>
      </w:r>
      <w:r>
        <w:rPr>
          <w:rFonts w:hint="eastAsia" w:asciiTheme="minorEastAsia" w:hAnsiTheme="minorEastAsia" w:eastAsiaTheme="minorEastAsia" w:cstheme="minorEastAsia"/>
          <w:color w:val="auto"/>
          <w:spacing w:val="-12"/>
          <w:sz w:val="24"/>
          <w:szCs w:val="24"/>
        </w:rPr>
        <w:t>年底户籍总人</w:t>
      </w:r>
      <w:r>
        <w:rPr>
          <w:rFonts w:hint="eastAsia" w:asciiTheme="minorEastAsia" w:hAnsiTheme="minorEastAsia" w:eastAsiaTheme="minorEastAsia" w:cstheme="minorEastAsia"/>
          <w:color w:val="auto"/>
          <w:spacing w:val="-8"/>
          <w:sz w:val="24"/>
          <w:szCs w:val="24"/>
        </w:rPr>
        <w:t>口约</w:t>
      </w:r>
      <w:r>
        <w:rPr>
          <w:rFonts w:hint="eastAsia" w:asciiTheme="minorEastAsia" w:hAnsiTheme="minorEastAsia" w:eastAsiaTheme="minorEastAsia" w:cstheme="minorEastAsia"/>
          <w:color w:val="auto"/>
          <w:spacing w:val="-4"/>
          <w:sz w:val="24"/>
          <w:szCs w:val="24"/>
        </w:rPr>
        <w:t>7.1</w:t>
      </w:r>
      <w:r>
        <w:rPr>
          <w:rFonts w:hint="eastAsia" w:asciiTheme="minorEastAsia" w:hAnsiTheme="minorEastAsia" w:eastAsiaTheme="minorEastAsia" w:cstheme="minorEastAsia"/>
          <w:color w:val="auto"/>
          <w:spacing w:val="-15"/>
          <w:sz w:val="24"/>
          <w:szCs w:val="24"/>
        </w:rPr>
        <w:t>万人，常住总人口约</w:t>
      </w:r>
      <w:r>
        <w:rPr>
          <w:rFonts w:hint="eastAsia" w:asciiTheme="minorEastAsia" w:hAnsiTheme="minorEastAsia" w:eastAsiaTheme="minorEastAsia" w:cstheme="minorEastAsia"/>
          <w:color w:val="auto"/>
          <w:spacing w:val="-4"/>
          <w:sz w:val="24"/>
          <w:szCs w:val="24"/>
        </w:rPr>
        <w:t>5.4</w:t>
      </w:r>
      <w:r>
        <w:rPr>
          <w:rFonts w:hint="eastAsia" w:asciiTheme="minorEastAsia" w:hAnsiTheme="minorEastAsia" w:eastAsiaTheme="minorEastAsia" w:cstheme="minorEastAsia"/>
          <w:color w:val="auto"/>
          <w:spacing w:val="-14"/>
          <w:sz w:val="24"/>
          <w:szCs w:val="24"/>
        </w:rPr>
        <w:t>万人。太平镇是罗定市“文明标</w:t>
      </w:r>
      <w:r>
        <w:rPr>
          <w:rFonts w:hint="eastAsia" w:asciiTheme="minorEastAsia" w:hAnsiTheme="minorEastAsia" w:eastAsiaTheme="minorEastAsia" w:cstheme="minorEastAsia"/>
          <w:color w:val="auto"/>
          <w:spacing w:val="-15"/>
          <w:sz w:val="24"/>
          <w:szCs w:val="24"/>
        </w:rPr>
        <w:t>兵镇” 和“文化建设先进镇”和“卫生先进镇”。</w:t>
      </w:r>
    </w:p>
    <w:p>
      <w:pPr>
        <w:pStyle w:val="10"/>
        <w:spacing w:line="500" w:lineRule="exact"/>
        <w:ind w:firstLine="44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8"/>
          <w:sz w:val="24"/>
          <w:szCs w:val="24"/>
        </w:rPr>
        <w:t>太平镇发展较好，圩镇范围主要分布在旧桥沿河两侧，镇区人口</w:t>
      </w:r>
      <w:r>
        <w:rPr>
          <w:rFonts w:hint="eastAsia" w:asciiTheme="minorEastAsia" w:hAnsiTheme="minorEastAsia" w:eastAsiaTheme="minorEastAsia" w:cstheme="minorEastAsia"/>
          <w:color w:val="auto"/>
          <w:spacing w:val="-10"/>
          <w:sz w:val="24"/>
          <w:szCs w:val="24"/>
        </w:rPr>
        <w:t>较为集中，目前太平镇尚未建设污水处理厂及污水收集管网，现状排水体制比较落后，仍然为雨污合流制，居民生活污水主要通过化粪池后进入街边沟渠直接排入附近河涌水体，且镇区主要排污口分布在旧</w:t>
      </w:r>
      <w:r>
        <w:rPr>
          <w:rFonts w:hint="eastAsia" w:asciiTheme="minorEastAsia" w:hAnsiTheme="minorEastAsia" w:eastAsiaTheme="minorEastAsia" w:cstheme="minorEastAsia"/>
          <w:color w:val="auto"/>
          <w:spacing w:val="-15"/>
          <w:sz w:val="24"/>
          <w:szCs w:val="24"/>
        </w:rPr>
        <w:t>桥两侧，导致水体环境受到一定程度污染，影响周边居民生活环境。</w:t>
      </w:r>
    </w:p>
    <w:p>
      <w:pPr>
        <w:pStyle w:val="32"/>
        <w:numPr>
          <w:ilvl w:val="3"/>
          <w:numId w:val="7"/>
        </w:numPr>
        <w:spacing w:line="500" w:lineRule="exact"/>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船步镇</w:t>
      </w:r>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船步镇位于罗定市东南部，历史悠久，文化底蕴深厚，资源丰富，人杰地灵，历史上曾两度（共达</w:t>
      </w:r>
      <w:r>
        <w:rPr>
          <w:rFonts w:hint="eastAsia" w:asciiTheme="minorEastAsia" w:hAnsiTheme="minorEastAsia" w:eastAsiaTheme="minorEastAsia" w:cstheme="minorEastAsia"/>
          <w:color w:val="auto"/>
          <w:spacing w:val="-4"/>
          <w:sz w:val="24"/>
          <w:szCs w:val="24"/>
        </w:rPr>
        <w:t>305</w:t>
      </w:r>
      <w:r>
        <w:rPr>
          <w:rFonts w:hint="eastAsia" w:asciiTheme="minorEastAsia" w:hAnsiTheme="minorEastAsia" w:eastAsiaTheme="minorEastAsia" w:cstheme="minorEastAsia"/>
          <w:color w:val="auto"/>
          <w:spacing w:val="-15"/>
          <w:sz w:val="24"/>
          <w:szCs w:val="24"/>
        </w:rPr>
        <w:t>年）作县城、郡邑，</w:t>
      </w:r>
      <w:r>
        <w:rPr>
          <w:rFonts w:hint="eastAsia" w:asciiTheme="minorEastAsia" w:hAnsiTheme="minorEastAsia" w:eastAsiaTheme="minorEastAsia" w:cstheme="minorEastAsia"/>
          <w:color w:val="auto"/>
          <w:spacing w:val="-7"/>
          <w:sz w:val="24"/>
          <w:szCs w:val="24"/>
        </w:rPr>
        <w:t>2014</w:t>
      </w:r>
      <w:r>
        <w:rPr>
          <w:rFonts w:hint="eastAsia" w:asciiTheme="minorEastAsia" w:hAnsiTheme="minorEastAsia" w:eastAsiaTheme="minorEastAsia" w:cstheme="minorEastAsia"/>
          <w:color w:val="auto"/>
          <w:spacing w:val="-15"/>
          <w:sz w:val="24"/>
          <w:szCs w:val="24"/>
        </w:rPr>
        <w:t>年被列为全国重点镇，是广东省中心镇、广东省技术创新专业镇。</w:t>
      </w:r>
      <w:r>
        <w:rPr>
          <w:rFonts w:hint="eastAsia" w:asciiTheme="minorEastAsia" w:hAnsiTheme="minorEastAsia" w:eastAsiaTheme="minorEastAsia" w:cstheme="minorEastAsia"/>
          <w:color w:val="auto"/>
          <w:spacing w:val="-6"/>
          <w:sz w:val="24"/>
          <w:szCs w:val="24"/>
        </w:rPr>
        <w:t>2016</w:t>
      </w:r>
      <w:r>
        <w:rPr>
          <w:rFonts w:hint="eastAsia" w:asciiTheme="minorEastAsia" w:hAnsiTheme="minorEastAsia" w:eastAsiaTheme="minorEastAsia" w:cstheme="minorEastAsia"/>
          <w:color w:val="auto"/>
          <w:spacing w:val="-15"/>
          <w:sz w:val="24"/>
          <w:szCs w:val="24"/>
        </w:rPr>
        <w:t xml:space="preserve">年，全镇总面积 </w:t>
      </w:r>
      <w:r>
        <w:rPr>
          <w:rFonts w:hint="eastAsia" w:asciiTheme="minorEastAsia" w:hAnsiTheme="minorEastAsia" w:eastAsiaTheme="minorEastAsia" w:cstheme="minorEastAsia"/>
          <w:color w:val="auto"/>
          <w:spacing w:val="-7"/>
          <w:sz w:val="24"/>
          <w:szCs w:val="24"/>
        </w:rPr>
        <w:t>129.2</w:t>
      </w:r>
      <w:r>
        <w:rPr>
          <w:rFonts w:hint="eastAsia" w:asciiTheme="minorEastAsia" w:hAnsiTheme="minorEastAsia" w:eastAsiaTheme="minorEastAsia" w:cstheme="minorEastAsia"/>
          <w:color w:val="auto"/>
          <w:spacing w:val="-16"/>
          <w:sz w:val="24"/>
          <w:szCs w:val="24"/>
        </w:rPr>
        <w:t>平方公里，辖</w:t>
      </w:r>
      <w:r>
        <w:rPr>
          <w:rFonts w:hint="eastAsia" w:asciiTheme="minorEastAsia" w:hAnsiTheme="minorEastAsia" w:eastAsiaTheme="minorEastAsia" w:cstheme="minorEastAsia"/>
          <w:color w:val="auto"/>
          <w:sz w:val="24"/>
          <w:szCs w:val="24"/>
        </w:rPr>
        <w:t>18</w:t>
      </w:r>
      <w:r>
        <w:rPr>
          <w:rFonts w:hint="eastAsia" w:asciiTheme="minorEastAsia" w:hAnsiTheme="minorEastAsia" w:eastAsiaTheme="minorEastAsia" w:cstheme="minorEastAsia"/>
          <w:color w:val="auto"/>
          <w:spacing w:val="-15"/>
          <w:sz w:val="24"/>
          <w:szCs w:val="24"/>
        </w:rPr>
        <w:t>个村委和</w:t>
      </w:r>
      <w:r>
        <w:rPr>
          <w:rFonts w:hint="eastAsia" w:asciiTheme="minorEastAsia" w:hAnsiTheme="minorEastAsia" w:eastAsiaTheme="minorEastAsia" w:cstheme="minorEastAsia"/>
          <w:color w:val="auto"/>
          <w:sz w:val="24"/>
          <w:szCs w:val="24"/>
        </w:rPr>
        <w:t>1</w:t>
      </w:r>
      <w:r>
        <w:rPr>
          <w:rFonts w:hint="eastAsia" w:asciiTheme="minorEastAsia" w:hAnsiTheme="minorEastAsia" w:eastAsiaTheme="minorEastAsia" w:cstheme="minorEastAsia"/>
          <w:color w:val="auto"/>
          <w:spacing w:val="-8"/>
          <w:sz w:val="24"/>
          <w:szCs w:val="24"/>
        </w:rPr>
        <w:t>个居委</w:t>
      </w:r>
      <w:r>
        <w:rPr>
          <w:rFonts w:hint="eastAsia" w:asciiTheme="minorEastAsia" w:hAnsiTheme="minorEastAsia" w:eastAsiaTheme="minorEastAsia" w:cstheme="minorEastAsia"/>
          <w:color w:val="auto"/>
          <w:sz w:val="24"/>
          <w:szCs w:val="24"/>
        </w:rPr>
        <w:t>会，2018 年底户籍总人口约8.8万人，常住总人口约6.3万人。</w:t>
      </w:r>
      <w:r>
        <w:rPr>
          <w:rFonts w:hint="eastAsia" w:asciiTheme="minorEastAsia" w:hAnsiTheme="minorEastAsia" w:eastAsiaTheme="minorEastAsia" w:cstheme="minorEastAsia"/>
          <w:color w:val="auto"/>
          <w:spacing w:val="-13"/>
          <w:sz w:val="24"/>
          <w:szCs w:val="24"/>
        </w:rPr>
        <w:t>船步镇内水源充沛，境内拥有“三河六岸”、</w:t>
      </w:r>
      <w:r>
        <w:rPr>
          <w:rFonts w:hint="eastAsia" w:asciiTheme="minorEastAsia" w:hAnsiTheme="minorEastAsia" w:eastAsiaTheme="minorEastAsia" w:cstheme="minorEastAsia"/>
          <w:color w:val="auto"/>
          <w:spacing w:val="-5"/>
          <w:sz w:val="24"/>
          <w:szCs w:val="24"/>
        </w:rPr>
        <w:t>S369</w:t>
      </w:r>
      <w:r>
        <w:rPr>
          <w:rFonts w:hint="eastAsia" w:asciiTheme="minorEastAsia" w:hAnsiTheme="minorEastAsia" w:eastAsiaTheme="minorEastAsia" w:cstheme="minorEastAsia"/>
          <w:color w:val="auto"/>
          <w:spacing w:val="-12"/>
          <w:sz w:val="24"/>
          <w:szCs w:val="24"/>
        </w:rPr>
        <w:t>线过境公路等得</w:t>
      </w:r>
      <w:r>
        <w:rPr>
          <w:rFonts w:hint="eastAsia" w:asciiTheme="minorEastAsia" w:hAnsiTheme="minorEastAsia" w:eastAsiaTheme="minorEastAsia" w:cstheme="minorEastAsia"/>
          <w:color w:val="auto"/>
          <w:spacing w:val="-13"/>
          <w:sz w:val="24"/>
          <w:szCs w:val="24"/>
        </w:rPr>
        <w:t>天独厚的地域发展优势，是一个宜居宜商的繁荣中心城镇，盛产稻</w:t>
      </w:r>
      <w:r>
        <w:rPr>
          <w:rFonts w:hint="eastAsia" w:asciiTheme="minorEastAsia" w:hAnsiTheme="minorEastAsia" w:eastAsiaTheme="minorEastAsia" w:cstheme="minorEastAsia"/>
          <w:color w:val="auto"/>
          <w:spacing w:val="-15"/>
          <w:sz w:val="24"/>
          <w:szCs w:val="24"/>
        </w:rPr>
        <w:t>谷、蔬菜、蚕桑、三黄鸡、花生、豆类。豆豉、豆腐、韭菜和甘蔗是</w:t>
      </w:r>
      <w:r>
        <w:rPr>
          <w:rFonts w:hint="eastAsia" w:asciiTheme="minorEastAsia" w:hAnsiTheme="minorEastAsia" w:eastAsiaTheme="minorEastAsia" w:cstheme="minorEastAsia"/>
          <w:color w:val="auto"/>
          <w:spacing w:val="-13"/>
          <w:sz w:val="24"/>
          <w:szCs w:val="24"/>
        </w:rPr>
        <w:t>特色农产品，品质优良，享誉盛名。</w:t>
      </w:r>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目前船步镇已建成一座污水处理厂，选址位于船步镇贾家祠旁边。</w:t>
      </w:r>
      <w:r>
        <w:rPr>
          <w:rFonts w:hint="eastAsia" w:asciiTheme="minorEastAsia" w:hAnsiTheme="minorEastAsia" w:eastAsiaTheme="minorEastAsia" w:cstheme="minorEastAsia"/>
          <w:color w:val="auto"/>
          <w:spacing w:val="-16"/>
          <w:sz w:val="24"/>
          <w:szCs w:val="24"/>
        </w:rPr>
        <w:t>船步镇生活污水处理厂是广东省“十二五”规划建设的重点项 目，</w:t>
      </w:r>
      <w:r>
        <w:rPr>
          <w:rFonts w:hint="eastAsia" w:asciiTheme="minorEastAsia" w:hAnsiTheme="minorEastAsia" w:eastAsiaTheme="minorEastAsia" w:cstheme="minorEastAsia"/>
          <w:color w:val="auto"/>
          <w:spacing w:val="-3"/>
          <w:sz w:val="24"/>
          <w:szCs w:val="24"/>
        </w:rPr>
        <w:t>总投资</w:t>
      </w:r>
      <w:r>
        <w:rPr>
          <w:rFonts w:hint="eastAsia" w:asciiTheme="minorEastAsia" w:hAnsiTheme="minorEastAsia" w:eastAsiaTheme="minorEastAsia" w:cstheme="minorEastAsia"/>
          <w:color w:val="auto"/>
          <w:spacing w:val="-6"/>
          <w:sz w:val="24"/>
          <w:szCs w:val="24"/>
        </w:rPr>
        <w:t>1200</w:t>
      </w:r>
      <w:r>
        <w:rPr>
          <w:rFonts w:hint="eastAsia" w:asciiTheme="minorEastAsia" w:hAnsiTheme="minorEastAsia" w:eastAsiaTheme="minorEastAsia" w:cstheme="minorEastAsia"/>
          <w:color w:val="auto"/>
          <w:spacing w:val="-14"/>
          <w:sz w:val="24"/>
          <w:szCs w:val="24"/>
        </w:rPr>
        <w:t xml:space="preserve">万元，首期设计处理规模为 </w:t>
      </w:r>
      <w:r>
        <w:rPr>
          <w:rFonts w:hint="eastAsia" w:asciiTheme="minorEastAsia" w:hAnsiTheme="minorEastAsia" w:eastAsiaTheme="minorEastAsia" w:cstheme="minorEastAsia"/>
          <w:color w:val="auto"/>
          <w:spacing w:val="-11"/>
          <w:sz w:val="24"/>
          <w:szCs w:val="24"/>
        </w:rPr>
        <w:t>3000m³/d</w:t>
      </w:r>
      <w:r>
        <w:rPr>
          <w:rFonts w:hint="eastAsia" w:asciiTheme="minorEastAsia" w:hAnsiTheme="minorEastAsia" w:eastAsiaTheme="minorEastAsia" w:cstheme="minorEastAsia"/>
          <w:color w:val="auto"/>
          <w:spacing w:val="-9"/>
          <w:sz w:val="24"/>
          <w:szCs w:val="24"/>
        </w:rPr>
        <w:t>，该项目采用BT</w:t>
      </w:r>
      <w:r>
        <w:rPr>
          <w:rFonts w:hint="eastAsia" w:asciiTheme="minorEastAsia" w:hAnsiTheme="minorEastAsia" w:eastAsiaTheme="minorEastAsia" w:cstheme="minorEastAsia"/>
          <w:color w:val="auto"/>
          <w:spacing w:val="-15"/>
          <w:sz w:val="24"/>
          <w:szCs w:val="24"/>
        </w:rPr>
        <w:t xml:space="preserve"> 模式建设，由中山市环保实业发展有限公司设计和承建，采用一体化改良氧化沟工艺，污水排放标准执行《城镇污水处理厂污染物</w:t>
      </w:r>
      <w:r>
        <w:rPr>
          <w:rFonts w:hint="eastAsia" w:asciiTheme="minorEastAsia" w:hAnsiTheme="minorEastAsia" w:eastAsiaTheme="minorEastAsia" w:cstheme="minorEastAsia"/>
          <w:color w:val="auto"/>
          <w:spacing w:val="-13"/>
          <w:sz w:val="24"/>
          <w:szCs w:val="24"/>
        </w:rPr>
        <w:t>排放标准》</w:t>
      </w:r>
      <w:r>
        <w:rPr>
          <w:rFonts w:hint="eastAsia" w:asciiTheme="minorEastAsia" w:hAnsiTheme="minorEastAsia" w:eastAsiaTheme="minorEastAsia" w:cstheme="minorEastAsia"/>
          <w:color w:val="auto"/>
          <w:spacing w:val="-11"/>
          <w:sz w:val="24"/>
          <w:szCs w:val="24"/>
        </w:rPr>
        <w:t>（GB18918-2002）</w:t>
      </w:r>
      <w:r>
        <w:rPr>
          <w:rFonts w:hint="eastAsia" w:asciiTheme="minorEastAsia" w:hAnsiTheme="minorEastAsia" w:eastAsiaTheme="minorEastAsia" w:cstheme="minorEastAsia"/>
          <w:color w:val="auto"/>
          <w:spacing w:val="-7"/>
          <w:sz w:val="24"/>
          <w:szCs w:val="24"/>
        </w:rPr>
        <w:t>一级</w:t>
      </w:r>
      <w:r>
        <w:rPr>
          <w:rFonts w:hint="eastAsia" w:asciiTheme="minorEastAsia" w:hAnsiTheme="minorEastAsia" w:eastAsiaTheme="minorEastAsia" w:cstheme="minorEastAsia"/>
          <w:color w:val="auto"/>
          <w:sz w:val="24"/>
          <w:szCs w:val="24"/>
        </w:rPr>
        <w:t>B</w:t>
      </w:r>
      <w:r>
        <w:rPr>
          <w:rFonts w:hint="eastAsia" w:asciiTheme="minorEastAsia" w:hAnsiTheme="minorEastAsia" w:eastAsiaTheme="minorEastAsia" w:cstheme="minorEastAsia"/>
          <w:color w:val="auto"/>
          <w:spacing w:val="-13"/>
          <w:sz w:val="24"/>
          <w:szCs w:val="24"/>
        </w:rPr>
        <w:t>标准和广东省地方标准《水污染物排放限值》</w:t>
      </w:r>
      <w:r>
        <w:rPr>
          <w:rFonts w:hint="eastAsia" w:asciiTheme="minorEastAsia" w:hAnsiTheme="minorEastAsia" w:eastAsiaTheme="minorEastAsia" w:cstheme="minorEastAsia"/>
          <w:color w:val="auto"/>
          <w:spacing w:val="-11"/>
          <w:sz w:val="24"/>
          <w:szCs w:val="24"/>
        </w:rPr>
        <w:t>（DB44/26-2001）</w:t>
      </w:r>
      <w:r>
        <w:rPr>
          <w:rFonts w:hint="eastAsia" w:asciiTheme="minorEastAsia" w:hAnsiTheme="minorEastAsia" w:eastAsiaTheme="minorEastAsia" w:cstheme="minorEastAsia"/>
          <w:color w:val="auto"/>
          <w:spacing w:val="-13"/>
          <w:sz w:val="24"/>
          <w:szCs w:val="24"/>
        </w:rPr>
        <w:t>第二时段一级标准较严值；待第二期建成后，该厂的日处理规模将达到</w:t>
      </w:r>
      <w:r>
        <w:rPr>
          <w:rFonts w:hint="eastAsia" w:asciiTheme="minorEastAsia" w:hAnsiTheme="minorEastAsia" w:eastAsiaTheme="minorEastAsia" w:cstheme="minorEastAsia"/>
          <w:color w:val="auto"/>
          <w:spacing w:val="-5"/>
          <w:sz w:val="24"/>
          <w:szCs w:val="24"/>
        </w:rPr>
        <w:t>6000</w:t>
      </w:r>
      <w:r>
        <w:rPr>
          <w:rFonts w:hint="eastAsia" w:asciiTheme="minorEastAsia" w:hAnsiTheme="minorEastAsia" w:eastAsiaTheme="minorEastAsia" w:cstheme="minorEastAsia"/>
          <w:color w:val="auto"/>
          <w:spacing w:val="-12"/>
          <w:sz w:val="24"/>
          <w:szCs w:val="24"/>
        </w:rPr>
        <w:t>m³/d，能有效满足船步圩镇污水处理的需要。</w:t>
      </w:r>
    </w:p>
    <w:p>
      <w:pPr>
        <w:pStyle w:val="10"/>
        <w:spacing w:line="500" w:lineRule="exact"/>
        <w:ind w:firstLine="44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8"/>
          <w:sz w:val="24"/>
          <w:szCs w:val="24"/>
        </w:rPr>
        <w:t>目前，船步圩西北部沿河涌建有一段截污管道，将镇圩西部区域</w:t>
      </w:r>
      <w:r>
        <w:rPr>
          <w:rFonts w:hint="eastAsia" w:asciiTheme="minorEastAsia" w:hAnsiTheme="minorEastAsia" w:eastAsiaTheme="minorEastAsia" w:cstheme="minorEastAsia"/>
          <w:color w:val="auto"/>
          <w:spacing w:val="-10"/>
          <w:sz w:val="24"/>
          <w:szCs w:val="24"/>
        </w:rPr>
        <w:t>污水收集至污水处理厂提升泵站。船步圩其余大部分区域现状生活污水主要经雨污合流管道或街巷沟渠汇集，直接排到围底河，区域内水</w:t>
      </w:r>
      <w:r>
        <w:rPr>
          <w:rFonts w:hint="eastAsia" w:asciiTheme="minorEastAsia" w:hAnsiTheme="minorEastAsia" w:eastAsiaTheme="minorEastAsia" w:cstheme="minorEastAsia"/>
          <w:color w:val="auto"/>
          <w:spacing w:val="-13"/>
          <w:sz w:val="24"/>
          <w:szCs w:val="24"/>
        </w:rPr>
        <w:t>体卫生条件差，而且排污口分布较分散。</w:t>
      </w:r>
    </w:p>
    <w:p>
      <w:pPr>
        <w:pStyle w:val="32"/>
        <w:numPr>
          <w:ilvl w:val="3"/>
          <w:numId w:val="7"/>
        </w:numPr>
        <w:spacing w:line="500" w:lineRule="exact"/>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金鸡镇</w:t>
      </w:r>
    </w:p>
    <w:p>
      <w:pPr>
        <w:pStyle w:val="10"/>
        <w:spacing w:line="500" w:lineRule="exact"/>
        <w:ind w:firstLine="44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0"/>
          <w:sz w:val="24"/>
          <w:szCs w:val="24"/>
        </w:rPr>
        <w:t>金鸡镇位于罗定市东部，是罗定的东大门、革命老区，全镇辖区</w:t>
      </w:r>
      <w:r>
        <w:rPr>
          <w:rFonts w:hint="eastAsia" w:asciiTheme="minorEastAsia" w:hAnsiTheme="minorEastAsia" w:eastAsiaTheme="minorEastAsia" w:cstheme="minorEastAsia"/>
          <w:color w:val="auto"/>
          <w:spacing w:val="-11"/>
          <w:sz w:val="24"/>
          <w:szCs w:val="24"/>
        </w:rPr>
        <w:t>总面积</w:t>
      </w:r>
      <w:r>
        <w:rPr>
          <w:rFonts w:hint="eastAsia" w:asciiTheme="minorEastAsia" w:hAnsiTheme="minorEastAsia" w:eastAsiaTheme="minorEastAsia" w:cstheme="minorEastAsia"/>
          <w:color w:val="auto"/>
          <w:spacing w:val="-5"/>
          <w:sz w:val="24"/>
          <w:szCs w:val="24"/>
        </w:rPr>
        <w:t>86.1</w:t>
      </w:r>
      <w:r>
        <w:rPr>
          <w:rFonts w:hint="eastAsia" w:asciiTheme="minorEastAsia" w:hAnsiTheme="minorEastAsia" w:eastAsiaTheme="minorEastAsia" w:cstheme="minorEastAsia"/>
          <w:color w:val="auto"/>
          <w:spacing w:val="-16"/>
          <w:sz w:val="24"/>
          <w:szCs w:val="24"/>
        </w:rPr>
        <w:t>平方公里，镇区总面积</w:t>
      </w:r>
      <w:r>
        <w:rPr>
          <w:rFonts w:hint="eastAsia" w:asciiTheme="minorEastAsia" w:hAnsiTheme="minorEastAsia" w:eastAsiaTheme="minorEastAsia" w:cstheme="minorEastAsia"/>
          <w:color w:val="auto"/>
          <w:spacing w:val="-5"/>
          <w:sz w:val="24"/>
          <w:szCs w:val="24"/>
        </w:rPr>
        <w:t>4.85</w:t>
      </w:r>
      <w:r>
        <w:rPr>
          <w:rFonts w:hint="eastAsia" w:asciiTheme="minorEastAsia" w:hAnsiTheme="minorEastAsia" w:eastAsiaTheme="minorEastAsia" w:cstheme="minorEastAsia"/>
          <w:color w:val="auto"/>
          <w:spacing w:val="-15"/>
          <w:sz w:val="24"/>
          <w:szCs w:val="24"/>
        </w:rPr>
        <w:t>平方公里，下辖</w:t>
      </w:r>
      <w:r>
        <w:rPr>
          <w:rFonts w:hint="eastAsia" w:asciiTheme="minorEastAsia" w:hAnsiTheme="minorEastAsia" w:eastAsiaTheme="minorEastAsia" w:cstheme="minorEastAsia"/>
          <w:color w:val="auto"/>
          <w:sz w:val="24"/>
          <w:szCs w:val="24"/>
        </w:rPr>
        <w:t>11</w:t>
      </w:r>
      <w:r>
        <w:rPr>
          <w:rFonts w:hint="eastAsia" w:asciiTheme="minorEastAsia" w:hAnsiTheme="minorEastAsia" w:eastAsiaTheme="minorEastAsia" w:cstheme="minorEastAsia"/>
          <w:color w:val="auto"/>
          <w:spacing w:val="-10"/>
          <w:sz w:val="24"/>
          <w:szCs w:val="24"/>
        </w:rPr>
        <w:t>个村</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pacing w:val="-3"/>
          <w:sz w:val="24"/>
          <w:szCs w:val="24"/>
        </w:rPr>
        <w:t>居</w:t>
      </w:r>
      <w:r>
        <w:rPr>
          <w:rFonts w:hint="eastAsia" w:asciiTheme="minorEastAsia" w:hAnsiTheme="minorEastAsia" w:eastAsiaTheme="minorEastAsia" w:cstheme="minorEastAsia"/>
          <w:color w:val="auto"/>
          <w:sz w:val="24"/>
          <w:szCs w:val="24"/>
        </w:rPr>
        <w:t>）委，2018</w:t>
      </w:r>
      <w:r>
        <w:rPr>
          <w:rFonts w:hint="eastAsia" w:asciiTheme="minorEastAsia" w:hAnsiTheme="minorEastAsia" w:eastAsiaTheme="minorEastAsia" w:cstheme="minorEastAsia"/>
          <w:color w:val="auto"/>
          <w:spacing w:val="-2"/>
          <w:sz w:val="24"/>
          <w:szCs w:val="24"/>
        </w:rPr>
        <w:t>年末户籍总人口</w:t>
      </w:r>
      <w:r>
        <w:rPr>
          <w:rFonts w:hint="eastAsia" w:asciiTheme="minorEastAsia" w:hAnsiTheme="minorEastAsia" w:eastAsiaTheme="minorEastAsia" w:cstheme="minorEastAsia"/>
          <w:color w:val="auto"/>
          <w:sz w:val="24"/>
          <w:szCs w:val="24"/>
        </w:rPr>
        <w:t>3.7</w:t>
      </w:r>
      <w:r>
        <w:rPr>
          <w:rFonts w:hint="eastAsia" w:asciiTheme="minorEastAsia" w:hAnsiTheme="minorEastAsia" w:eastAsiaTheme="minorEastAsia" w:cstheme="minorEastAsia"/>
          <w:color w:val="auto"/>
          <w:spacing w:val="-3"/>
          <w:sz w:val="24"/>
          <w:szCs w:val="24"/>
        </w:rPr>
        <w:t>万人，常住总人口约</w:t>
      </w:r>
      <w:r>
        <w:rPr>
          <w:rFonts w:hint="eastAsia" w:asciiTheme="minorEastAsia" w:hAnsiTheme="minorEastAsia" w:eastAsiaTheme="minorEastAsia" w:cstheme="minorEastAsia"/>
          <w:color w:val="auto"/>
          <w:sz w:val="24"/>
          <w:szCs w:val="24"/>
        </w:rPr>
        <w:t>3.5万</w:t>
      </w:r>
      <w:r>
        <w:rPr>
          <w:rFonts w:hint="eastAsia" w:asciiTheme="minorEastAsia" w:hAnsiTheme="minorEastAsia" w:eastAsiaTheme="minorEastAsia" w:cstheme="minorEastAsia"/>
          <w:color w:val="auto"/>
          <w:spacing w:val="-3"/>
          <w:sz w:val="24"/>
          <w:szCs w:val="24"/>
        </w:rPr>
        <w:t>人，民族以汉族为主。金鸡镇是两市三县的交汇处，国道</w:t>
      </w:r>
      <w:r>
        <w:rPr>
          <w:rFonts w:hint="eastAsia" w:asciiTheme="minorEastAsia" w:hAnsiTheme="minorEastAsia" w:eastAsiaTheme="minorEastAsia" w:cstheme="minorEastAsia"/>
          <w:color w:val="auto"/>
          <w:sz w:val="24"/>
          <w:szCs w:val="24"/>
        </w:rPr>
        <w:t>324线，</w:t>
      </w:r>
      <w:r>
        <w:rPr>
          <w:rFonts w:hint="eastAsia" w:asciiTheme="minorEastAsia" w:hAnsiTheme="minorEastAsia" w:eastAsiaTheme="minorEastAsia" w:cstheme="minorEastAsia"/>
          <w:color w:val="auto"/>
          <w:spacing w:val="-15"/>
          <w:sz w:val="24"/>
          <w:szCs w:val="24"/>
        </w:rPr>
        <w:t>云浮大环市路， 三茂铁路罗定支线、江罗高速均从境内通过，交通便利。金鸡镇地属喀斯特地貌，石灰石资源丰富，是广东省碳酸钙专</w:t>
      </w:r>
      <w:r>
        <w:rPr>
          <w:rFonts w:hint="eastAsia" w:asciiTheme="minorEastAsia" w:hAnsiTheme="minorEastAsia" w:eastAsiaTheme="minorEastAsia" w:cstheme="minorEastAsia"/>
          <w:color w:val="auto"/>
          <w:spacing w:val="-8"/>
          <w:sz w:val="24"/>
          <w:szCs w:val="24"/>
        </w:rPr>
        <w:t>业镇之一。</w:t>
      </w:r>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目前金鸡镇有一座镇级污水处理厂已建设完成，选址位于镇区南部拱桥旁空地，服务范围为金鸡镇中心区域，包括圩镇及相邻村庄</w:t>
      </w:r>
      <w:r>
        <w:rPr>
          <w:rFonts w:hint="eastAsia" w:asciiTheme="minorEastAsia" w:hAnsiTheme="minorEastAsia" w:eastAsiaTheme="minorEastAsia" w:cstheme="minorEastAsia"/>
          <w:color w:val="auto"/>
          <w:sz w:val="24"/>
          <w:szCs w:val="24"/>
        </w:rPr>
        <w:t>（大岗、西岸、庙岗），设计规模为 500m³/d，污水排放标准执行</w:t>
      </w:r>
      <w:r>
        <w:rPr>
          <w:rFonts w:hint="eastAsia" w:asciiTheme="minorEastAsia" w:hAnsiTheme="minorEastAsia" w:eastAsiaTheme="minorEastAsia" w:cstheme="minorEastAsia"/>
          <w:color w:val="auto"/>
          <w:spacing w:val="-13"/>
          <w:sz w:val="24"/>
          <w:szCs w:val="24"/>
        </w:rPr>
        <w:t>《城镇污水处理厂污染物排放标准》</w:t>
      </w:r>
      <w:r>
        <w:rPr>
          <w:rFonts w:hint="eastAsia" w:asciiTheme="minorEastAsia" w:hAnsiTheme="minorEastAsia" w:eastAsiaTheme="minorEastAsia" w:cstheme="minorEastAsia"/>
          <w:color w:val="auto"/>
          <w:spacing w:val="-11"/>
          <w:sz w:val="24"/>
          <w:szCs w:val="24"/>
        </w:rPr>
        <w:t>（GB18918-2002）</w:t>
      </w:r>
      <w:r>
        <w:rPr>
          <w:rFonts w:hint="eastAsia" w:asciiTheme="minorEastAsia" w:hAnsiTheme="minorEastAsia" w:eastAsiaTheme="minorEastAsia" w:cstheme="minorEastAsia"/>
          <w:color w:val="auto"/>
          <w:spacing w:val="-3"/>
          <w:sz w:val="24"/>
          <w:szCs w:val="24"/>
        </w:rPr>
        <w:t>一级</w:t>
      </w:r>
      <w:r>
        <w:rPr>
          <w:rFonts w:hint="eastAsia" w:asciiTheme="minorEastAsia" w:hAnsiTheme="minorEastAsia" w:eastAsiaTheme="minorEastAsia" w:cstheme="minorEastAsia"/>
          <w:color w:val="auto"/>
          <w:sz w:val="24"/>
          <w:szCs w:val="24"/>
        </w:rPr>
        <w:t>A</w:t>
      </w:r>
      <w:r>
        <w:rPr>
          <w:rFonts w:hint="eastAsia" w:asciiTheme="minorEastAsia" w:hAnsiTheme="minorEastAsia" w:eastAsiaTheme="minorEastAsia" w:cstheme="minorEastAsia"/>
          <w:color w:val="auto"/>
          <w:spacing w:val="5"/>
          <w:sz w:val="24"/>
          <w:szCs w:val="24"/>
        </w:rPr>
        <w:t>标</w:t>
      </w:r>
      <w:r>
        <w:rPr>
          <w:rFonts w:hint="eastAsia" w:asciiTheme="minorEastAsia" w:hAnsiTheme="minorEastAsia" w:eastAsiaTheme="minorEastAsia" w:cstheme="minorEastAsia"/>
          <w:color w:val="auto"/>
          <w:spacing w:val="-3"/>
          <w:sz w:val="24"/>
          <w:szCs w:val="24"/>
        </w:rPr>
        <w:t>准。</w:t>
      </w:r>
    </w:p>
    <w:p>
      <w:pPr>
        <w:pStyle w:val="32"/>
        <w:numPr>
          <w:ilvl w:val="3"/>
          <w:numId w:val="7"/>
        </w:numPr>
        <w:spacing w:line="500" w:lineRule="exact"/>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生江镇</w:t>
      </w:r>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生江镇位于罗定市中部，东邻素龙街道、南接罗平镇，西连连州</w:t>
      </w:r>
      <w:r>
        <w:rPr>
          <w:rFonts w:hint="eastAsia" w:asciiTheme="minorEastAsia" w:hAnsiTheme="minorEastAsia" w:eastAsiaTheme="minorEastAsia" w:cstheme="minorEastAsia"/>
          <w:color w:val="auto"/>
          <w:spacing w:val="-13"/>
          <w:sz w:val="24"/>
          <w:szCs w:val="24"/>
        </w:rPr>
        <w:t>镇，北与黎少镇接壤，距市区</w:t>
      </w:r>
      <w:r>
        <w:rPr>
          <w:rFonts w:hint="eastAsia" w:asciiTheme="minorEastAsia" w:hAnsiTheme="minorEastAsia" w:eastAsiaTheme="minorEastAsia" w:cstheme="minorEastAsia"/>
          <w:color w:val="auto"/>
          <w:sz w:val="24"/>
          <w:szCs w:val="24"/>
        </w:rPr>
        <w:t>9</w:t>
      </w:r>
      <w:r>
        <w:rPr>
          <w:rFonts w:hint="eastAsia" w:asciiTheme="minorEastAsia" w:hAnsiTheme="minorEastAsia" w:eastAsiaTheme="minorEastAsia" w:cstheme="minorEastAsia"/>
          <w:color w:val="auto"/>
          <w:spacing w:val="-13"/>
          <w:sz w:val="24"/>
          <w:szCs w:val="24"/>
        </w:rPr>
        <w:t>公里。全镇面积</w:t>
      </w:r>
      <w:r>
        <w:rPr>
          <w:rFonts w:hint="eastAsia" w:asciiTheme="minorEastAsia" w:hAnsiTheme="minorEastAsia" w:eastAsiaTheme="minorEastAsia" w:cstheme="minorEastAsia"/>
          <w:color w:val="auto"/>
          <w:spacing w:val="-7"/>
          <w:sz w:val="24"/>
          <w:szCs w:val="24"/>
        </w:rPr>
        <w:t>62.21</w:t>
      </w:r>
      <w:r>
        <w:rPr>
          <w:rFonts w:hint="eastAsia" w:asciiTheme="minorEastAsia" w:hAnsiTheme="minorEastAsia" w:eastAsiaTheme="minorEastAsia" w:cstheme="minorEastAsia"/>
          <w:color w:val="auto"/>
          <w:spacing w:val="-13"/>
          <w:sz w:val="24"/>
          <w:szCs w:val="24"/>
        </w:rPr>
        <w:t xml:space="preserve">平方公里， </w:t>
      </w:r>
      <w:r>
        <w:rPr>
          <w:rFonts w:hint="eastAsia" w:asciiTheme="minorEastAsia" w:hAnsiTheme="minorEastAsia" w:eastAsiaTheme="minorEastAsia" w:cstheme="minorEastAsia"/>
          <w:color w:val="auto"/>
          <w:spacing w:val="45"/>
          <w:sz w:val="24"/>
          <w:szCs w:val="24"/>
        </w:rPr>
        <w:t>辖</w:t>
      </w:r>
      <w:r>
        <w:rPr>
          <w:rFonts w:hint="eastAsia" w:asciiTheme="minorEastAsia" w:hAnsiTheme="minorEastAsia" w:eastAsiaTheme="minorEastAsia" w:cstheme="minorEastAsia"/>
          <w:color w:val="auto"/>
          <w:sz w:val="24"/>
          <w:szCs w:val="24"/>
        </w:rPr>
        <w:t>1</w:t>
      </w:r>
      <w:r>
        <w:rPr>
          <w:rFonts w:hint="eastAsia" w:asciiTheme="minorEastAsia" w:hAnsiTheme="minorEastAsia" w:eastAsiaTheme="minorEastAsia" w:cstheme="minorEastAsia"/>
          <w:color w:val="auto"/>
          <w:spacing w:val="-13"/>
          <w:sz w:val="24"/>
          <w:szCs w:val="24"/>
        </w:rPr>
        <w:t>个居委会、</w:t>
      </w:r>
      <w:r>
        <w:rPr>
          <w:rFonts w:hint="eastAsia" w:asciiTheme="minorEastAsia" w:hAnsiTheme="minorEastAsia" w:eastAsiaTheme="minorEastAsia" w:cstheme="minorEastAsia"/>
          <w:color w:val="auto"/>
          <w:sz w:val="24"/>
          <w:szCs w:val="24"/>
        </w:rPr>
        <w:t>11</w:t>
      </w:r>
      <w:r>
        <w:rPr>
          <w:rFonts w:hint="eastAsia" w:asciiTheme="minorEastAsia" w:hAnsiTheme="minorEastAsia" w:eastAsiaTheme="minorEastAsia" w:cstheme="minorEastAsia"/>
          <w:color w:val="auto"/>
          <w:spacing w:val="-13"/>
          <w:sz w:val="24"/>
          <w:szCs w:val="24"/>
        </w:rPr>
        <w:t>个行政村，</w:t>
      </w:r>
      <w:r>
        <w:rPr>
          <w:rFonts w:hint="eastAsia" w:asciiTheme="minorEastAsia" w:hAnsiTheme="minorEastAsia" w:eastAsiaTheme="minorEastAsia" w:cstheme="minorEastAsia"/>
          <w:color w:val="auto"/>
          <w:spacing w:val="-8"/>
          <w:sz w:val="24"/>
          <w:szCs w:val="24"/>
        </w:rPr>
        <w:t>198</w:t>
      </w:r>
      <w:r>
        <w:rPr>
          <w:rFonts w:hint="eastAsia" w:asciiTheme="minorEastAsia" w:hAnsiTheme="minorEastAsia" w:eastAsiaTheme="minorEastAsia" w:cstheme="minorEastAsia"/>
          <w:color w:val="auto"/>
          <w:spacing w:val="-15"/>
          <w:sz w:val="24"/>
          <w:szCs w:val="24"/>
        </w:rPr>
        <w:t>个自然村，</w:t>
      </w:r>
      <w:r>
        <w:rPr>
          <w:rFonts w:hint="eastAsia" w:asciiTheme="minorEastAsia" w:hAnsiTheme="minorEastAsia" w:eastAsiaTheme="minorEastAsia" w:cstheme="minorEastAsia"/>
          <w:color w:val="auto"/>
          <w:spacing w:val="-8"/>
          <w:sz w:val="24"/>
          <w:szCs w:val="24"/>
        </w:rPr>
        <w:t>2018</w:t>
      </w:r>
      <w:r>
        <w:rPr>
          <w:rFonts w:hint="eastAsia" w:asciiTheme="minorEastAsia" w:hAnsiTheme="minorEastAsia" w:eastAsiaTheme="minorEastAsia" w:cstheme="minorEastAsia"/>
          <w:color w:val="auto"/>
          <w:spacing w:val="-14"/>
          <w:sz w:val="24"/>
          <w:szCs w:val="24"/>
        </w:rPr>
        <w:t>年末户籍总人口</w:t>
      </w:r>
      <w:r>
        <w:rPr>
          <w:rFonts w:hint="eastAsia" w:asciiTheme="minorEastAsia" w:hAnsiTheme="minorEastAsia" w:eastAsiaTheme="minorEastAsia" w:cstheme="minorEastAsia"/>
          <w:color w:val="auto"/>
          <w:spacing w:val="45"/>
          <w:sz w:val="24"/>
          <w:szCs w:val="24"/>
        </w:rPr>
        <w:t>约</w:t>
      </w:r>
      <w:r>
        <w:rPr>
          <w:rFonts w:hint="eastAsia" w:asciiTheme="minorEastAsia" w:hAnsiTheme="minorEastAsia" w:eastAsiaTheme="minorEastAsia" w:cstheme="minorEastAsia"/>
          <w:color w:val="auto"/>
          <w:spacing w:val="-4"/>
          <w:sz w:val="24"/>
          <w:szCs w:val="24"/>
        </w:rPr>
        <w:t>4.3</w:t>
      </w:r>
      <w:r>
        <w:rPr>
          <w:rFonts w:hint="eastAsia" w:asciiTheme="minorEastAsia" w:hAnsiTheme="minorEastAsia" w:eastAsiaTheme="minorEastAsia" w:cstheme="minorEastAsia"/>
          <w:color w:val="auto"/>
          <w:spacing w:val="-16"/>
          <w:sz w:val="24"/>
          <w:szCs w:val="24"/>
        </w:rPr>
        <w:t>万人，常住总人口</w:t>
      </w:r>
      <w:r>
        <w:rPr>
          <w:rFonts w:hint="eastAsia" w:asciiTheme="minorEastAsia" w:hAnsiTheme="minorEastAsia" w:eastAsiaTheme="minorEastAsia" w:cstheme="minorEastAsia"/>
          <w:color w:val="auto"/>
          <w:spacing w:val="-4"/>
          <w:sz w:val="24"/>
          <w:szCs w:val="24"/>
        </w:rPr>
        <w:t>3.2</w:t>
      </w:r>
      <w:r>
        <w:rPr>
          <w:rFonts w:hint="eastAsia" w:asciiTheme="minorEastAsia" w:hAnsiTheme="minorEastAsia" w:eastAsiaTheme="minorEastAsia" w:cstheme="minorEastAsia"/>
          <w:color w:val="auto"/>
          <w:spacing w:val="-16"/>
          <w:sz w:val="24"/>
          <w:szCs w:val="24"/>
        </w:rPr>
        <w:t>万人。镇内水电、旅游资源丰富，交</w:t>
      </w:r>
      <w:r>
        <w:rPr>
          <w:rFonts w:hint="eastAsia" w:asciiTheme="minorEastAsia" w:hAnsiTheme="minorEastAsia" w:eastAsiaTheme="minorEastAsia" w:cstheme="minorEastAsia"/>
          <w:color w:val="auto"/>
          <w:spacing w:val="-15"/>
          <w:sz w:val="24"/>
          <w:szCs w:val="24"/>
        </w:rPr>
        <w:t>通基础设施完善，逐步形成旅游、农业、饮食等特色生态产业。</w:t>
      </w:r>
    </w:p>
    <w:p>
      <w:pPr>
        <w:pStyle w:val="10"/>
        <w:spacing w:line="500" w:lineRule="exact"/>
        <w:ind w:firstLine="420" w:firstLineChars="200"/>
        <w:jc w:val="both"/>
        <w:rPr>
          <w:rFonts w:asciiTheme="minorEastAsia" w:hAnsiTheme="minorEastAsia" w:eastAsiaTheme="minorEastAsia" w:cstheme="minorEastAsia"/>
          <w:color w:val="auto"/>
          <w:spacing w:val="-9"/>
          <w:sz w:val="24"/>
          <w:szCs w:val="24"/>
        </w:rPr>
      </w:pPr>
      <w:r>
        <w:rPr>
          <w:rFonts w:hint="eastAsia" w:asciiTheme="minorEastAsia" w:hAnsiTheme="minorEastAsia" w:eastAsiaTheme="minorEastAsia" w:cstheme="minorEastAsia"/>
          <w:color w:val="auto"/>
          <w:spacing w:val="-15"/>
          <w:sz w:val="24"/>
          <w:szCs w:val="24"/>
        </w:rPr>
        <w:t>生江镇的现状生活污水主要经雨污合流管道或街巷沟渠汇集，直接排入邻近的小河道或鱼塘内，区域内水体卫生条件差，且排污口分布较为分散。目前在建两座污水处理站，分别位于罗定河两侧，一座为生江圩污水处理站，另一座为双脉—雅朗污水处理站，厂区及配套</w:t>
      </w:r>
      <w:r>
        <w:rPr>
          <w:rFonts w:hint="eastAsia" w:asciiTheme="minorEastAsia" w:hAnsiTheme="minorEastAsia" w:eastAsiaTheme="minorEastAsia" w:cstheme="minorEastAsia"/>
          <w:color w:val="auto"/>
          <w:spacing w:val="-16"/>
          <w:sz w:val="24"/>
          <w:szCs w:val="24"/>
        </w:rPr>
        <w:t>管网已完成招标。生江圩污水处理站规模为</w:t>
      </w:r>
      <w:r>
        <w:rPr>
          <w:rFonts w:hint="eastAsia" w:asciiTheme="minorEastAsia" w:hAnsiTheme="minorEastAsia" w:eastAsiaTheme="minorEastAsia" w:cstheme="minorEastAsia"/>
          <w:color w:val="auto"/>
          <w:spacing w:val="-11"/>
          <w:sz w:val="24"/>
          <w:szCs w:val="24"/>
        </w:rPr>
        <w:t>500m³/d</w:t>
      </w:r>
      <w:r>
        <w:rPr>
          <w:rFonts w:hint="eastAsia" w:asciiTheme="minorEastAsia" w:hAnsiTheme="minorEastAsia" w:eastAsiaTheme="minorEastAsia" w:cstheme="minorEastAsia"/>
          <w:color w:val="auto"/>
          <w:spacing w:val="-10"/>
          <w:sz w:val="24"/>
          <w:szCs w:val="24"/>
        </w:rPr>
        <w:t>，占地面积为</w:t>
      </w:r>
      <w:r>
        <w:rPr>
          <w:rFonts w:hint="eastAsia" w:asciiTheme="minorEastAsia" w:hAnsiTheme="minorEastAsia" w:eastAsiaTheme="minorEastAsia" w:cstheme="minorEastAsia"/>
          <w:color w:val="auto"/>
          <w:spacing w:val="-12"/>
          <w:sz w:val="24"/>
          <w:szCs w:val="24"/>
        </w:rPr>
        <w:t>1400m²</w:t>
      </w:r>
      <w:r>
        <w:rPr>
          <w:rFonts w:hint="eastAsia" w:asciiTheme="minorEastAsia" w:hAnsiTheme="minorEastAsia" w:eastAsiaTheme="minorEastAsia" w:cstheme="minorEastAsia"/>
          <w:color w:val="auto"/>
          <w:spacing w:val="-13"/>
          <w:sz w:val="24"/>
          <w:szCs w:val="24"/>
        </w:rPr>
        <w:t>，服务范围包括居委、生江村委（生江塘、龙二、龙三</w:t>
      </w:r>
      <w:r>
        <w:rPr>
          <w:rFonts w:hint="eastAsia" w:asciiTheme="minorEastAsia" w:hAnsiTheme="minorEastAsia" w:eastAsiaTheme="minorEastAsia" w:cstheme="minorEastAsia"/>
          <w:color w:val="auto"/>
          <w:spacing w:val="-10"/>
          <w:sz w:val="24"/>
          <w:szCs w:val="24"/>
        </w:rPr>
        <w:t>）</w:t>
      </w:r>
      <w:r>
        <w:rPr>
          <w:rFonts w:hint="eastAsia" w:asciiTheme="minorEastAsia" w:hAnsiTheme="minorEastAsia" w:eastAsiaTheme="minorEastAsia" w:cstheme="minorEastAsia"/>
          <w:color w:val="auto"/>
          <w:spacing w:val="-3"/>
          <w:sz w:val="24"/>
          <w:szCs w:val="24"/>
        </w:rPr>
        <w:t>、安</w:t>
      </w:r>
      <w:r>
        <w:rPr>
          <w:rFonts w:hint="eastAsia" w:asciiTheme="minorEastAsia" w:hAnsiTheme="minorEastAsia" w:eastAsiaTheme="minorEastAsia" w:cstheme="minorEastAsia"/>
          <w:color w:val="auto"/>
          <w:spacing w:val="-13"/>
          <w:sz w:val="24"/>
          <w:szCs w:val="24"/>
        </w:rPr>
        <w:t>全村委</w:t>
      </w:r>
      <w:r>
        <w:rPr>
          <w:rFonts w:hint="eastAsia" w:asciiTheme="minorEastAsia" w:hAnsiTheme="minorEastAsia" w:eastAsiaTheme="minorEastAsia" w:cstheme="minorEastAsia"/>
          <w:color w:val="auto"/>
          <w:spacing w:val="-10"/>
          <w:sz w:val="24"/>
          <w:szCs w:val="24"/>
        </w:rPr>
        <w:t>（</w:t>
      </w:r>
      <w:r>
        <w:rPr>
          <w:rFonts w:hint="eastAsia" w:asciiTheme="minorEastAsia" w:hAnsiTheme="minorEastAsia" w:eastAsiaTheme="minorEastAsia" w:cstheme="minorEastAsia"/>
          <w:color w:val="auto"/>
          <w:spacing w:val="-15"/>
          <w:sz w:val="24"/>
          <w:szCs w:val="24"/>
        </w:rPr>
        <w:t>石一、石步二</w:t>
      </w:r>
      <w:r>
        <w:rPr>
          <w:rFonts w:hint="eastAsia" w:asciiTheme="minorEastAsia" w:hAnsiTheme="minorEastAsia" w:eastAsiaTheme="minorEastAsia" w:cstheme="minorEastAsia"/>
          <w:color w:val="auto"/>
          <w:spacing w:val="-12"/>
          <w:sz w:val="24"/>
          <w:szCs w:val="24"/>
        </w:rPr>
        <w:t>）；双脉—雅朗污水处理站规模为</w:t>
      </w:r>
      <w:r>
        <w:rPr>
          <w:rFonts w:hint="eastAsia" w:asciiTheme="minorEastAsia" w:hAnsiTheme="minorEastAsia" w:eastAsiaTheme="minorEastAsia" w:cstheme="minorEastAsia"/>
          <w:color w:val="auto"/>
          <w:spacing w:val="-9"/>
          <w:sz w:val="24"/>
          <w:szCs w:val="24"/>
        </w:rPr>
        <w:t xml:space="preserve">200m³/d， </w:t>
      </w:r>
      <w:r>
        <w:rPr>
          <w:rFonts w:hint="eastAsia" w:asciiTheme="minorEastAsia" w:hAnsiTheme="minorEastAsia" w:eastAsiaTheme="minorEastAsia" w:cstheme="minorEastAsia"/>
          <w:color w:val="auto"/>
          <w:spacing w:val="-5"/>
          <w:sz w:val="24"/>
          <w:szCs w:val="24"/>
        </w:rPr>
        <w:t>占地面积为</w:t>
      </w:r>
      <w:r>
        <w:rPr>
          <w:rFonts w:hint="eastAsia" w:asciiTheme="minorEastAsia" w:hAnsiTheme="minorEastAsia" w:eastAsiaTheme="minorEastAsia" w:cstheme="minorEastAsia"/>
          <w:color w:val="auto"/>
          <w:spacing w:val="-12"/>
          <w:sz w:val="24"/>
          <w:szCs w:val="24"/>
        </w:rPr>
        <w:t>800m²</w:t>
      </w:r>
      <w:r>
        <w:rPr>
          <w:rFonts w:hint="eastAsia" w:asciiTheme="minorEastAsia" w:hAnsiTheme="minorEastAsia" w:eastAsiaTheme="minorEastAsia" w:cstheme="minorEastAsia"/>
          <w:color w:val="auto"/>
          <w:spacing w:val="-15"/>
          <w:sz w:val="24"/>
          <w:szCs w:val="24"/>
        </w:rPr>
        <w:t>，服务范围包括双脉村委的雅一、雅二、雅三、雅四、双一、双二、双三、双四等自然村。两座污水处理厂均采用“三级厌氧处理系统+升流式改良型微曝气生物滤床+复合湿地生态系统+ 消毒计量”的处理工艺，污水排放标准执行《城镇污水处理厂污染物</w:t>
      </w:r>
      <w:r>
        <w:rPr>
          <w:rFonts w:hint="eastAsia" w:asciiTheme="minorEastAsia" w:hAnsiTheme="minorEastAsia" w:eastAsiaTheme="minorEastAsia" w:cstheme="minorEastAsia"/>
          <w:color w:val="auto"/>
          <w:spacing w:val="-13"/>
          <w:sz w:val="24"/>
          <w:szCs w:val="24"/>
        </w:rPr>
        <w:t>排放标准》</w:t>
      </w:r>
      <w:r>
        <w:rPr>
          <w:rFonts w:hint="eastAsia" w:asciiTheme="minorEastAsia" w:hAnsiTheme="minorEastAsia" w:eastAsiaTheme="minorEastAsia" w:cstheme="minorEastAsia"/>
          <w:color w:val="auto"/>
          <w:spacing w:val="-11"/>
          <w:sz w:val="24"/>
          <w:szCs w:val="24"/>
        </w:rPr>
        <w:t>（GB18918-2002）</w:t>
      </w:r>
      <w:r>
        <w:rPr>
          <w:rFonts w:hint="eastAsia" w:asciiTheme="minorEastAsia" w:hAnsiTheme="minorEastAsia" w:eastAsiaTheme="minorEastAsia" w:cstheme="minorEastAsia"/>
          <w:color w:val="auto"/>
          <w:spacing w:val="-13"/>
          <w:sz w:val="24"/>
          <w:szCs w:val="24"/>
        </w:rPr>
        <w:t>一级</w:t>
      </w:r>
      <w:r>
        <w:rPr>
          <w:rFonts w:hint="eastAsia" w:asciiTheme="minorEastAsia" w:hAnsiTheme="minorEastAsia" w:eastAsiaTheme="minorEastAsia" w:cstheme="minorEastAsia"/>
          <w:color w:val="auto"/>
          <w:sz w:val="24"/>
          <w:szCs w:val="24"/>
        </w:rPr>
        <w:t>A</w:t>
      </w:r>
      <w:r>
        <w:rPr>
          <w:rFonts w:hint="eastAsia" w:asciiTheme="minorEastAsia" w:hAnsiTheme="minorEastAsia" w:eastAsiaTheme="minorEastAsia" w:cstheme="minorEastAsia"/>
          <w:color w:val="auto"/>
          <w:spacing w:val="-9"/>
          <w:sz w:val="24"/>
          <w:szCs w:val="24"/>
        </w:rPr>
        <w:t>标准。</w:t>
      </w:r>
    </w:p>
    <w:p>
      <w:pPr>
        <w:pStyle w:val="32"/>
        <w:numPr>
          <w:ilvl w:val="3"/>
          <w:numId w:val="7"/>
        </w:numPr>
        <w:spacing w:line="500" w:lineRule="exact"/>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泗纶镇</w:t>
      </w:r>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泗纶镇位于罗定市西部云开大山山地，境内大部分属高丘地带。北靠榃滨镇，西北与广西岑溪市接壤，东西南三面与黎少、龙湾、加</w:t>
      </w:r>
      <w:r>
        <w:rPr>
          <w:rFonts w:hint="eastAsia" w:asciiTheme="minorEastAsia" w:hAnsiTheme="minorEastAsia" w:eastAsiaTheme="minorEastAsia" w:cstheme="minorEastAsia"/>
          <w:color w:val="auto"/>
          <w:spacing w:val="-13"/>
          <w:sz w:val="24"/>
          <w:szCs w:val="24"/>
        </w:rPr>
        <w:t xml:space="preserve">益等镇交界，距罗城 </w:t>
      </w:r>
      <w:r>
        <w:rPr>
          <w:rFonts w:hint="eastAsia" w:asciiTheme="minorEastAsia" w:hAnsiTheme="minorEastAsia" w:eastAsiaTheme="minorEastAsia" w:cstheme="minorEastAsia"/>
          <w:color w:val="auto"/>
          <w:sz w:val="24"/>
          <w:szCs w:val="24"/>
        </w:rPr>
        <w:t>33</w:t>
      </w:r>
      <w:r>
        <w:rPr>
          <w:rFonts w:hint="eastAsia" w:asciiTheme="minorEastAsia" w:hAnsiTheme="minorEastAsia" w:eastAsiaTheme="minorEastAsia" w:cstheme="minorEastAsia"/>
          <w:color w:val="auto"/>
          <w:spacing w:val="-16"/>
          <w:sz w:val="24"/>
          <w:szCs w:val="24"/>
        </w:rPr>
        <w:t xml:space="preserve">公里。全镇总面积 </w:t>
      </w:r>
      <w:r>
        <w:rPr>
          <w:rFonts w:hint="eastAsia" w:asciiTheme="minorEastAsia" w:hAnsiTheme="minorEastAsia" w:eastAsiaTheme="minorEastAsia" w:cstheme="minorEastAsia"/>
          <w:color w:val="auto"/>
          <w:spacing w:val="-7"/>
          <w:sz w:val="24"/>
          <w:szCs w:val="24"/>
        </w:rPr>
        <w:t>233.8</w:t>
      </w:r>
      <w:r>
        <w:rPr>
          <w:rFonts w:hint="eastAsia" w:asciiTheme="minorEastAsia" w:hAnsiTheme="minorEastAsia" w:eastAsiaTheme="minorEastAsia" w:cstheme="minorEastAsia"/>
          <w:color w:val="auto"/>
          <w:spacing w:val="-15"/>
          <w:sz w:val="24"/>
          <w:szCs w:val="24"/>
        </w:rPr>
        <w:t>平方公里，辖</w:t>
      </w:r>
      <w:r>
        <w:rPr>
          <w:rFonts w:hint="eastAsia" w:asciiTheme="minorEastAsia" w:hAnsiTheme="minorEastAsia" w:eastAsiaTheme="minorEastAsia" w:cstheme="minorEastAsia"/>
          <w:color w:val="auto"/>
          <w:sz w:val="24"/>
          <w:szCs w:val="24"/>
        </w:rPr>
        <w:t>1</w:t>
      </w:r>
      <w:r>
        <w:rPr>
          <w:rFonts w:hint="eastAsia" w:asciiTheme="minorEastAsia" w:hAnsiTheme="minorEastAsia" w:eastAsiaTheme="minorEastAsia" w:cstheme="minorEastAsia"/>
          <w:color w:val="auto"/>
          <w:spacing w:val="-13"/>
          <w:sz w:val="24"/>
          <w:szCs w:val="24"/>
        </w:rPr>
        <w:t>个居委会、</w:t>
      </w:r>
      <w:r>
        <w:rPr>
          <w:rFonts w:hint="eastAsia" w:asciiTheme="minorEastAsia" w:hAnsiTheme="minorEastAsia" w:eastAsiaTheme="minorEastAsia" w:cstheme="minorEastAsia"/>
          <w:color w:val="auto"/>
          <w:sz w:val="24"/>
          <w:szCs w:val="24"/>
        </w:rPr>
        <w:t>27</w:t>
      </w:r>
      <w:r>
        <w:rPr>
          <w:rFonts w:hint="eastAsia" w:asciiTheme="minorEastAsia" w:hAnsiTheme="minorEastAsia" w:eastAsiaTheme="minorEastAsia" w:cstheme="minorEastAsia"/>
          <w:color w:val="auto"/>
          <w:spacing w:val="-14"/>
          <w:sz w:val="24"/>
          <w:szCs w:val="24"/>
        </w:rPr>
        <w:t>个行政村，</w:t>
      </w:r>
      <w:r>
        <w:rPr>
          <w:rFonts w:hint="eastAsia" w:asciiTheme="minorEastAsia" w:hAnsiTheme="minorEastAsia" w:eastAsiaTheme="minorEastAsia" w:cstheme="minorEastAsia"/>
          <w:color w:val="auto"/>
          <w:spacing w:val="-7"/>
          <w:sz w:val="24"/>
          <w:szCs w:val="24"/>
        </w:rPr>
        <w:t>349</w:t>
      </w:r>
      <w:r>
        <w:rPr>
          <w:rFonts w:hint="eastAsia" w:asciiTheme="minorEastAsia" w:hAnsiTheme="minorEastAsia" w:eastAsiaTheme="minorEastAsia" w:cstheme="minorEastAsia"/>
          <w:color w:val="auto"/>
          <w:spacing w:val="-15"/>
          <w:sz w:val="24"/>
          <w:szCs w:val="24"/>
        </w:rPr>
        <w:t>个自然村，</w:t>
      </w:r>
      <w:r>
        <w:rPr>
          <w:rFonts w:hint="eastAsia" w:asciiTheme="minorEastAsia" w:hAnsiTheme="minorEastAsia" w:eastAsiaTheme="minorEastAsia" w:cstheme="minorEastAsia"/>
          <w:color w:val="auto"/>
          <w:spacing w:val="-8"/>
          <w:sz w:val="24"/>
          <w:szCs w:val="24"/>
        </w:rPr>
        <w:t>2018</w:t>
      </w:r>
      <w:r>
        <w:rPr>
          <w:rFonts w:hint="eastAsia" w:asciiTheme="minorEastAsia" w:hAnsiTheme="minorEastAsia" w:eastAsiaTheme="minorEastAsia" w:cstheme="minorEastAsia"/>
          <w:color w:val="auto"/>
          <w:spacing w:val="-15"/>
          <w:sz w:val="24"/>
          <w:szCs w:val="24"/>
        </w:rPr>
        <w:t>年末户籍总人口约</w:t>
      </w:r>
      <w:r>
        <w:rPr>
          <w:rFonts w:hint="eastAsia" w:asciiTheme="minorEastAsia" w:hAnsiTheme="minorEastAsia" w:eastAsiaTheme="minorEastAsia" w:cstheme="minorEastAsia"/>
          <w:color w:val="auto"/>
          <w:sz w:val="24"/>
          <w:szCs w:val="24"/>
        </w:rPr>
        <w:t>8.5万人，住总人口约5.8万人。</w:t>
      </w:r>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目前泗纶镇镇区已建一座生活污水处理厂，设计规模为</w:t>
      </w:r>
      <w:r>
        <w:rPr>
          <w:rFonts w:hint="eastAsia" w:asciiTheme="minorEastAsia" w:hAnsiTheme="minorEastAsia" w:eastAsiaTheme="minorEastAsia" w:cstheme="minorEastAsia"/>
          <w:color w:val="auto"/>
          <w:spacing w:val="-10"/>
          <w:sz w:val="24"/>
          <w:szCs w:val="24"/>
        </w:rPr>
        <w:t>2000m³/d，</w:t>
      </w:r>
      <w:r>
        <w:rPr>
          <w:rFonts w:hint="eastAsia" w:asciiTheme="minorEastAsia" w:hAnsiTheme="minorEastAsia" w:eastAsiaTheme="minorEastAsia" w:cstheme="minorEastAsia"/>
          <w:color w:val="auto"/>
          <w:spacing w:val="-21"/>
          <w:sz w:val="24"/>
          <w:szCs w:val="24"/>
        </w:rPr>
        <w:t xml:space="preserve">服务范围覆盖镇区内人口 </w:t>
      </w:r>
      <w:r>
        <w:rPr>
          <w:rFonts w:hint="eastAsia" w:asciiTheme="minorEastAsia" w:hAnsiTheme="minorEastAsia" w:eastAsiaTheme="minorEastAsia" w:cstheme="minorEastAsia"/>
          <w:color w:val="auto"/>
          <w:spacing w:val="-4"/>
          <w:sz w:val="24"/>
          <w:szCs w:val="24"/>
        </w:rPr>
        <w:t>1.5</w:t>
      </w:r>
      <w:r>
        <w:rPr>
          <w:rFonts w:hint="eastAsia" w:asciiTheme="minorEastAsia" w:hAnsiTheme="minorEastAsia" w:eastAsiaTheme="minorEastAsia" w:cstheme="minorEastAsia"/>
          <w:color w:val="auto"/>
          <w:spacing w:val="-31"/>
          <w:sz w:val="24"/>
          <w:szCs w:val="24"/>
        </w:rPr>
        <w:t xml:space="preserve">万人，镇区面积 </w:t>
      </w:r>
      <w:r>
        <w:rPr>
          <w:rFonts w:hint="eastAsia" w:asciiTheme="minorEastAsia" w:hAnsiTheme="minorEastAsia" w:eastAsiaTheme="minorEastAsia" w:cstheme="minorEastAsia"/>
          <w:color w:val="auto"/>
          <w:spacing w:val="-4"/>
          <w:sz w:val="24"/>
          <w:szCs w:val="24"/>
        </w:rPr>
        <w:t>2.5</w:t>
      </w:r>
      <w:r>
        <w:rPr>
          <w:rFonts w:hint="eastAsia" w:asciiTheme="minorEastAsia" w:hAnsiTheme="minorEastAsia" w:eastAsiaTheme="minorEastAsia" w:cstheme="minorEastAsia"/>
          <w:color w:val="auto"/>
          <w:spacing w:val="-23"/>
          <w:sz w:val="24"/>
          <w:szCs w:val="24"/>
        </w:rPr>
        <w:t>平方公</w:t>
      </w:r>
      <w:r>
        <w:rPr>
          <w:rFonts w:hint="eastAsia" w:asciiTheme="minorEastAsia" w:hAnsiTheme="minorEastAsia" w:eastAsiaTheme="minorEastAsia" w:cstheme="minorEastAsia"/>
          <w:color w:val="auto"/>
          <w:spacing w:val="-21"/>
          <w:sz w:val="24"/>
          <w:szCs w:val="24"/>
        </w:rPr>
        <w:t>里。该厂于</w:t>
      </w:r>
      <w:r>
        <w:rPr>
          <w:rFonts w:hint="eastAsia" w:asciiTheme="minorEastAsia" w:hAnsiTheme="minorEastAsia" w:eastAsiaTheme="minorEastAsia" w:cstheme="minorEastAsia"/>
          <w:color w:val="auto"/>
          <w:spacing w:val="-5"/>
          <w:sz w:val="24"/>
          <w:szCs w:val="24"/>
        </w:rPr>
        <w:t>2017</w:t>
      </w:r>
      <w:r>
        <w:rPr>
          <w:rFonts w:hint="eastAsia" w:asciiTheme="minorEastAsia" w:hAnsiTheme="minorEastAsia" w:eastAsiaTheme="minorEastAsia" w:cstheme="minorEastAsia"/>
          <w:color w:val="auto"/>
          <w:spacing w:val="-22"/>
          <w:sz w:val="24"/>
          <w:szCs w:val="24"/>
        </w:rPr>
        <w:t xml:space="preserve"> 年进行了提标改造，采用“生物--生态耦合</w:t>
      </w:r>
      <w:r>
        <w:rPr>
          <w:rFonts w:hint="eastAsia" w:asciiTheme="minorEastAsia" w:hAnsiTheme="minorEastAsia" w:eastAsiaTheme="minorEastAsia" w:cstheme="minorEastAsia"/>
          <w:color w:val="auto"/>
          <w:spacing w:val="-9"/>
          <w:sz w:val="24"/>
          <w:szCs w:val="24"/>
        </w:rPr>
        <w:t xml:space="preserve">（BEC） </w:t>
      </w:r>
      <w:r>
        <w:rPr>
          <w:rFonts w:hint="eastAsia" w:asciiTheme="minorEastAsia" w:hAnsiTheme="minorEastAsia" w:eastAsiaTheme="minorEastAsia" w:cstheme="minorEastAsia"/>
          <w:color w:val="auto"/>
          <w:spacing w:val="-15"/>
          <w:sz w:val="24"/>
          <w:szCs w:val="24"/>
        </w:rPr>
        <w:t>高效净水工艺”，配套建设污水收集管网，使污水厂的出水水质达到国家《城镇污水处理厂污染物排放标准》</w:t>
      </w:r>
      <w:r>
        <w:rPr>
          <w:rFonts w:hint="eastAsia" w:asciiTheme="minorEastAsia" w:hAnsiTheme="minorEastAsia" w:eastAsiaTheme="minorEastAsia" w:cstheme="minorEastAsia"/>
          <w:color w:val="auto"/>
          <w:spacing w:val="-11"/>
          <w:sz w:val="24"/>
          <w:szCs w:val="24"/>
        </w:rPr>
        <w:t>（GB18918-2002）</w:t>
      </w:r>
      <w:r>
        <w:rPr>
          <w:rFonts w:hint="eastAsia" w:asciiTheme="minorEastAsia" w:hAnsiTheme="minorEastAsia" w:eastAsiaTheme="minorEastAsia" w:cstheme="minorEastAsia"/>
          <w:color w:val="auto"/>
          <w:spacing w:val="-1"/>
          <w:sz w:val="24"/>
          <w:szCs w:val="24"/>
        </w:rPr>
        <w:t>一级</w:t>
      </w:r>
      <w:r>
        <w:rPr>
          <w:rFonts w:hint="eastAsia" w:asciiTheme="minorEastAsia" w:hAnsiTheme="minorEastAsia" w:eastAsiaTheme="minorEastAsia" w:cstheme="minorEastAsia"/>
          <w:color w:val="auto"/>
          <w:sz w:val="24"/>
          <w:szCs w:val="24"/>
        </w:rPr>
        <w:t>A</w:t>
      </w:r>
      <w:r>
        <w:rPr>
          <w:rFonts w:hint="eastAsia" w:asciiTheme="minorEastAsia" w:hAnsiTheme="minorEastAsia" w:eastAsiaTheme="minorEastAsia" w:cstheme="minorEastAsia"/>
          <w:color w:val="auto"/>
          <w:spacing w:val="-12"/>
          <w:sz w:val="24"/>
          <w:szCs w:val="24"/>
        </w:rPr>
        <w:t>标</w:t>
      </w:r>
      <w:r>
        <w:rPr>
          <w:rFonts w:hint="eastAsia" w:asciiTheme="minorEastAsia" w:hAnsiTheme="minorEastAsia" w:eastAsiaTheme="minorEastAsia" w:cstheme="minorEastAsia"/>
          <w:color w:val="auto"/>
          <w:spacing w:val="-15"/>
          <w:sz w:val="24"/>
          <w:szCs w:val="24"/>
        </w:rPr>
        <w:t>准及广东省地方标准《水污染物排放限值》</w:t>
      </w:r>
      <w:r>
        <w:rPr>
          <w:rFonts w:hint="eastAsia" w:asciiTheme="minorEastAsia" w:hAnsiTheme="minorEastAsia" w:eastAsiaTheme="minorEastAsia" w:cstheme="minorEastAsia"/>
          <w:color w:val="auto"/>
          <w:spacing w:val="-11"/>
          <w:sz w:val="24"/>
          <w:szCs w:val="24"/>
        </w:rPr>
        <w:t>（DB44/26-2001）</w:t>
      </w:r>
      <w:r>
        <w:rPr>
          <w:rFonts w:hint="eastAsia" w:asciiTheme="minorEastAsia" w:hAnsiTheme="minorEastAsia" w:eastAsiaTheme="minorEastAsia" w:cstheme="minorEastAsia"/>
          <w:color w:val="auto"/>
          <w:spacing w:val="-6"/>
          <w:sz w:val="24"/>
          <w:szCs w:val="24"/>
        </w:rPr>
        <w:t>第二时</w:t>
      </w:r>
      <w:r>
        <w:rPr>
          <w:rFonts w:hint="eastAsia" w:asciiTheme="minorEastAsia" w:hAnsiTheme="minorEastAsia" w:eastAsiaTheme="minorEastAsia" w:cstheme="minorEastAsia"/>
          <w:color w:val="auto"/>
          <w:spacing w:val="-15"/>
          <w:sz w:val="24"/>
          <w:szCs w:val="24"/>
        </w:rPr>
        <w:t>段一级标准中的较严值。泗纶镇建成区现状排水采用合流制排水系 统，现有排水渠道为前期已铺设管道及部分自然排水渠，收集部分生活污水进入生活污水处理厂进行处理，其余区域污水未经处理直接排</w:t>
      </w:r>
      <w:r>
        <w:rPr>
          <w:rFonts w:hint="eastAsia" w:asciiTheme="minorEastAsia" w:hAnsiTheme="minorEastAsia" w:eastAsiaTheme="minorEastAsia" w:cstheme="minorEastAsia"/>
          <w:color w:val="auto"/>
          <w:spacing w:val="-13"/>
          <w:sz w:val="24"/>
          <w:szCs w:val="24"/>
        </w:rPr>
        <w:t>入泗纶河，对泗纶河水体环境造成影响。</w:t>
      </w:r>
    </w:p>
    <w:p>
      <w:pPr>
        <w:pStyle w:val="32"/>
        <w:numPr>
          <w:ilvl w:val="3"/>
          <w:numId w:val="7"/>
        </w:numPr>
        <w:spacing w:line="500" w:lineRule="exact"/>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罗镜镇</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罗镜镇位于罗定市南部，地处镜船盆地南缘，东接太平，南面是</w:t>
      </w:r>
      <w:r>
        <w:rPr>
          <w:rFonts w:hint="eastAsia" w:asciiTheme="minorEastAsia" w:hAnsiTheme="minorEastAsia" w:eastAsiaTheme="minorEastAsia" w:cstheme="minorEastAsia"/>
          <w:color w:val="auto"/>
          <w:spacing w:val="-15"/>
          <w:sz w:val="24"/>
          <w:szCs w:val="24"/>
        </w:rPr>
        <w:t>与信宜市交界的云开大山山地，西临分界，北面与连州为邻。罗镜河</w:t>
      </w:r>
      <w:r>
        <w:rPr>
          <w:rFonts w:hint="eastAsia" w:asciiTheme="minorEastAsia" w:hAnsiTheme="minorEastAsia" w:eastAsiaTheme="minorEastAsia" w:cstheme="minorEastAsia"/>
          <w:color w:val="auto"/>
          <w:spacing w:val="-16"/>
          <w:sz w:val="24"/>
          <w:szCs w:val="24"/>
        </w:rPr>
        <w:t xml:space="preserve">穿越镇境，汇入罗定江。全镇总面积 </w:t>
      </w:r>
      <w:r>
        <w:rPr>
          <w:rFonts w:hint="eastAsia" w:asciiTheme="minorEastAsia" w:hAnsiTheme="minorEastAsia" w:eastAsiaTheme="minorEastAsia" w:cstheme="minorEastAsia"/>
          <w:color w:val="auto"/>
          <w:spacing w:val="-7"/>
          <w:sz w:val="24"/>
          <w:szCs w:val="24"/>
        </w:rPr>
        <w:t>161.4</w:t>
      </w:r>
      <w:r>
        <w:rPr>
          <w:rFonts w:hint="eastAsia" w:asciiTheme="minorEastAsia" w:hAnsiTheme="minorEastAsia" w:eastAsiaTheme="minorEastAsia" w:cstheme="minorEastAsia"/>
          <w:color w:val="auto"/>
          <w:spacing w:val="-14"/>
          <w:sz w:val="24"/>
          <w:szCs w:val="24"/>
        </w:rPr>
        <w:t xml:space="preserve">平方公里，辖 </w:t>
      </w:r>
      <w:r>
        <w:rPr>
          <w:rFonts w:hint="eastAsia" w:asciiTheme="minorEastAsia" w:hAnsiTheme="minorEastAsia" w:eastAsiaTheme="minorEastAsia" w:cstheme="minorEastAsia"/>
          <w:color w:val="auto"/>
          <w:sz w:val="24"/>
          <w:szCs w:val="24"/>
        </w:rPr>
        <w:t>1</w:t>
      </w:r>
      <w:r>
        <w:rPr>
          <w:rFonts w:hint="eastAsia" w:asciiTheme="minorEastAsia" w:hAnsiTheme="minorEastAsia" w:eastAsiaTheme="minorEastAsia" w:cstheme="minorEastAsia"/>
          <w:color w:val="auto"/>
          <w:spacing w:val="-6"/>
          <w:sz w:val="24"/>
          <w:szCs w:val="24"/>
        </w:rPr>
        <w:t>个居委</w:t>
      </w:r>
      <w:r>
        <w:rPr>
          <w:rFonts w:hint="eastAsia" w:asciiTheme="minorEastAsia" w:hAnsiTheme="minorEastAsia" w:eastAsiaTheme="minorEastAsia" w:cstheme="minorEastAsia"/>
          <w:color w:val="auto"/>
          <w:spacing w:val="-12"/>
          <w:sz w:val="24"/>
          <w:szCs w:val="24"/>
        </w:rPr>
        <w:t>会、</w:t>
      </w:r>
      <w:r>
        <w:rPr>
          <w:rFonts w:hint="eastAsia" w:asciiTheme="minorEastAsia" w:hAnsiTheme="minorEastAsia" w:eastAsiaTheme="minorEastAsia" w:cstheme="minorEastAsia"/>
          <w:color w:val="auto"/>
          <w:sz w:val="24"/>
          <w:szCs w:val="24"/>
        </w:rPr>
        <w:t>24</w:t>
      </w:r>
      <w:r>
        <w:rPr>
          <w:rFonts w:hint="eastAsia" w:asciiTheme="minorEastAsia" w:hAnsiTheme="minorEastAsia" w:eastAsiaTheme="minorEastAsia" w:cstheme="minorEastAsia"/>
          <w:color w:val="auto"/>
          <w:spacing w:val="-15"/>
          <w:sz w:val="24"/>
          <w:szCs w:val="24"/>
        </w:rPr>
        <w:t>个行政村，</w:t>
      </w:r>
      <w:r>
        <w:rPr>
          <w:rFonts w:hint="eastAsia" w:asciiTheme="minorEastAsia" w:hAnsiTheme="minorEastAsia" w:eastAsiaTheme="minorEastAsia" w:cstheme="minorEastAsia"/>
          <w:color w:val="auto"/>
          <w:spacing w:val="-8"/>
          <w:sz w:val="24"/>
          <w:szCs w:val="24"/>
        </w:rPr>
        <w:t>314</w:t>
      </w:r>
      <w:r>
        <w:rPr>
          <w:rFonts w:hint="eastAsia" w:asciiTheme="minorEastAsia" w:hAnsiTheme="minorEastAsia" w:eastAsiaTheme="minorEastAsia" w:cstheme="minorEastAsia"/>
          <w:color w:val="auto"/>
          <w:spacing w:val="-14"/>
          <w:sz w:val="24"/>
          <w:szCs w:val="24"/>
        </w:rPr>
        <w:t>个自然村，</w:t>
      </w:r>
      <w:r>
        <w:rPr>
          <w:rFonts w:hint="eastAsia" w:asciiTheme="minorEastAsia" w:hAnsiTheme="minorEastAsia" w:eastAsiaTheme="minorEastAsia" w:cstheme="minorEastAsia"/>
          <w:color w:val="auto"/>
          <w:spacing w:val="-9"/>
          <w:sz w:val="24"/>
          <w:szCs w:val="24"/>
        </w:rPr>
        <w:t>2018</w:t>
      </w:r>
      <w:r>
        <w:rPr>
          <w:rFonts w:hint="eastAsia" w:asciiTheme="minorEastAsia" w:hAnsiTheme="minorEastAsia" w:eastAsiaTheme="minorEastAsia" w:cstheme="minorEastAsia"/>
          <w:color w:val="auto"/>
          <w:spacing w:val="-16"/>
          <w:sz w:val="24"/>
          <w:szCs w:val="24"/>
        </w:rPr>
        <w:t xml:space="preserve">年底户籍总人口约 </w:t>
      </w:r>
      <w:r>
        <w:rPr>
          <w:rFonts w:hint="eastAsia" w:asciiTheme="minorEastAsia" w:hAnsiTheme="minorEastAsia" w:eastAsiaTheme="minorEastAsia" w:cstheme="minorEastAsia"/>
          <w:color w:val="auto"/>
          <w:spacing w:val="-5"/>
          <w:sz w:val="24"/>
          <w:szCs w:val="24"/>
        </w:rPr>
        <w:t>10.1</w:t>
      </w:r>
      <w:r>
        <w:rPr>
          <w:rFonts w:hint="eastAsia" w:asciiTheme="minorEastAsia" w:hAnsiTheme="minorEastAsia" w:eastAsiaTheme="minorEastAsia" w:cstheme="minorEastAsia"/>
          <w:color w:val="auto"/>
          <w:spacing w:val="-7"/>
          <w:sz w:val="24"/>
          <w:szCs w:val="24"/>
        </w:rPr>
        <w:t>万</w:t>
      </w:r>
      <w:r>
        <w:rPr>
          <w:rFonts w:hint="eastAsia" w:asciiTheme="minorEastAsia" w:hAnsiTheme="minorEastAsia" w:eastAsiaTheme="minorEastAsia" w:cstheme="minorEastAsia"/>
          <w:color w:val="auto"/>
          <w:spacing w:val="-13"/>
          <w:sz w:val="24"/>
          <w:szCs w:val="24"/>
        </w:rPr>
        <w:t xml:space="preserve">人，常住总人口约 </w:t>
      </w:r>
      <w:r>
        <w:rPr>
          <w:rFonts w:hint="eastAsia" w:asciiTheme="minorEastAsia" w:hAnsiTheme="minorEastAsia" w:eastAsiaTheme="minorEastAsia" w:cstheme="minorEastAsia"/>
          <w:color w:val="auto"/>
          <w:spacing w:val="-4"/>
          <w:sz w:val="24"/>
          <w:szCs w:val="24"/>
        </w:rPr>
        <w:t>7.1</w:t>
      </w:r>
      <w:r>
        <w:rPr>
          <w:rFonts w:hint="eastAsia" w:asciiTheme="minorEastAsia" w:hAnsiTheme="minorEastAsia" w:eastAsiaTheme="minorEastAsia" w:cstheme="minorEastAsia"/>
          <w:color w:val="auto"/>
          <w:spacing w:val="-15"/>
          <w:sz w:val="24"/>
          <w:szCs w:val="24"/>
        </w:rPr>
        <w:t xml:space="preserve"> 万人。罗镜镇是广东省小城镇综合改革试点镇，是罗定市南部片和信宜市邻镇的商贸集散地，历史上，南海、顺德一带商人到罗镜镇经商，素有“小佛山”之称。</w:t>
      </w:r>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罗镜镇生活污水处理厂首期工程于</w:t>
      </w:r>
      <w:r>
        <w:rPr>
          <w:rFonts w:hint="eastAsia" w:asciiTheme="minorEastAsia" w:hAnsiTheme="minorEastAsia" w:eastAsiaTheme="minorEastAsia" w:cstheme="minorEastAsia"/>
          <w:color w:val="auto"/>
          <w:spacing w:val="-6"/>
          <w:sz w:val="24"/>
          <w:szCs w:val="24"/>
        </w:rPr>
        <w:t>2010</w:t>
      </w:r>
      <w:r>
        <w:rPr>
          <w:rFonts w:hint="eastAsia" w:asciiTheme="minorEastAsia" w:hAnsiTheme="minorEastAsia" w:eastAsiaTheme="minorEastAsia" w:cstheme="minorEastAsia"/>
          <w:color w:val="auto"/>
          <w:spacing w:val="-13"/>
          <w:sz w:val="24"/>
          <w:szCs w:val="24"/>
        </w:rPr>
        <w:t>年</w:t>
      </w:r>
      <w:r>
        <w:rPr>
          <w:rFonts w:hint="eastAsia" w:asciiTheme="minorEastAsia" w:hAnsiTheme="minorEastAsia" w:eastAsiaTheme="minorEastAsia" w:cstheme="minorEastAsia"/>
          <w:color w:val="auto"/>
          <w:sz w:val="24"/>
          <w:szCs w:val="24"/>
        </w:rPr>
        <w:t>9</w:t>
      </w:r>
      <w:r>
        <w:rPr>
          <w:rFonts w:hint="eastAsia" w:asciiTheme="minorEastAsia" w:hAnsiTheme="minorEastAsia" w:eastAsiaTheme="minorEastAsia" w:cstheme="minorEastAsia"/>
          <w:color w:val="auto"/>
          <w:spacing w:val="-11"/>
          <w:sz w:val="24"/>
          <w:szCs w:val="24"/>
        </w:rPr>
        <w:t>月份以</w:t>
      </w:r>
      <w:r>
        <w:rPr>
          <w:rFonts w:hint="eastAsia" w:asciiTheme="minorEastAsia" w:hAnsiTheme="minorEastAsia" w:eastAsiaTheme="minorEastAsia" w:cstheme="minorEastAsia"/>
          <w:color w:val="auto"/>
          <w:sz w:val="24"/>
          <w:szCs w:val="24"/>
        </w:rPr>
        <w:t>BT</w:t>
      </w:r>
      <w:r>
        <w:rPr>
          <w:rFonts w:hint="eastAsia" w:asciiTheme="minorEastAsia" w:hAnsiTheme="minorEastAsia" w:eastAsiaTheme="minorEastAsia" w:cstheme="minorEastAsia"/>
          <w:color w:val="auto"/>
          <w:spacing w:val="-9"/>
          <w:sz w:val="24"/>
          <w:szCs w:val="24"/>
        </w:rPr>
        <w:t>模式开</w:t>
      </w:r>
      <w:r>
        <w:rPr>
          <w:rFonts w:hint="eastAsia" w:asciiTheme="minorEastAsia" w:hAnsiTheme="minorEastAsia" w:eastAsiaTheme="minorEastAsia" w:cstheme="minorEastAsia"/>
          <w:color w:val="auto"/>
          <w:spacing w:val="-12"/>
          <w:sz w:val="24"/>
          <w:szCs w:val="24"/>
        </w:rPr>
        <w:t>工建设，</w:t>
      </w:r>
      <w:r>
        <w:rPr>
          <w:rFonts w:hint="eastAsia" w:asciiTheme="minorEastAsia" w:hAnsiTheme="minorEastAsia" w:eastAsiaTheme="minorEastAsia" w:cstheme="minorEastAsia"/>
          <w:color w:val="auto"/>
          <w:spacing w:val="-7"/>
          <w:sz w:val="24"/>
          <w:szCs w:val="24"/>
        </w:rPr>
        <w:t>2010</w:t>
      </w:r>
      <w:r>
        <w:rPr>
          <w:rFonts w:hint="eastAsia" w:asciiTheme="minorEastAsia" w:hAnsiTheme="minorEastAsia" w:eastAsiaTheme="minorEastAsia" w:cstheme="minorEastAsia"/>
          <w:color w:val="auto"/>
          <w:spacing w:val="-16"/>
          <w:sz w:val="24"/>
          <w:szCs w:val="24"/>
        </w:rPr>
        <w:t>年底主体工程竣工，</w:t>
      </w:r>
      <w:r>
        <w:rPr>
          <w:rFonts w:hint="eastAsia" w:asciiTheme="minorEastAsia" w:hAnsiTheme="minorEastAsia" w:eastAsiaTheme="minorEastAsia" w:cstheme="minorEastAsia"/>
          <w:color w:val="auto"/>
          <w:spacing w:val="-8"/>
          <w:sz w:val="24"/>
          <w:szCs w:val="24"/>
        </w:rPr>
        <w:t>2011</w:t>
      </w:r>
      <w:r>
        <w:rPr>
          <w:rFonts w:hint="eastAsia" w:asciiTheme="minorEastAsia" w:hAnsiTheme="minorEastAsia" w:eastAsiaTheme="minorEastAsia" w:cstheme="minorEastAsia"/>
          <w:color w:val="auto"/>
          <w:spacing w:val="-12"/>
          <w:sz w:val="24"/>
          <w:szCs w:val="24"/>
        </w:rPr>
        <w:t>年</w:t>
      </w:r>
      <w:r>
        <w:rPr>
          <w:rFonts w:hint="eastAsia" w:asciiTheme="minorEastAsia" w:hAnsiTheme="minorEastAsia" w:eastAsiaTheme="minorEastAsia" w:cstheme="minorEastAsia"/>
          <w:color w:val="auto"/>
          <w:sz w:val="24"/>
          <w:szCs w:val="24"/>
        </w:rPr>
        <w:t>1</w:t>
      </w:r>
      <w:r>
        <w:rPr>
          <w:rFonts w:hint="eastAsia" w:asciiTheme="minorEastAsia" w:hAnsiTheme="minorEastAsia" w:eastAsiaTheme="minorEastAsia" w:cstheme="minorEastAsia"/>
          <w:color w:val="auto"/>
          <w:spacing w:val="-13"/>
          <w:sz w:val="24"/>
          <w:szCs w:val="24"/>
        </w:rPr>
        <w:t>月份试运行，</w:t>
      </w:r>
      <w:r>
        <w:rPr>
          <w:rFonts w:hint="eastAsia" w:asciiTheme="minorEastAsia" w:hAnsiTheme="minorEastAsia" w:eastAsiaTheme="minorEastAsia" w:cstheme="minorEastAsia"/>
          <w:color w:val="auto"/>
          <w:spacing w:val="-8"/>
          <w:sz w:val="24"/>
          <w:szCs w:val="24"/>
        </w:rPr>
        <w:t>2011</w:t>
      </w:r>
      <w:r>
        <w:rPr>
          <w:rFonts w:hint="eastAsia" w:asciiTheme="minorEastAsia" w:hAnsiTheme="minorEastAsia" w:eastAsiaTheme="minorEastAsia" w:cstheme="minorEastAsia"/>
          <w:color w:val="auto"/>
          <w:spacing w:val="-12"/>
          <w:sz w:val="24"/>
          <w:szCs w:val="24"/>
        </w:rPr>
        <w:t>年</w:t>
      </w:r>
      <w:r>
        <w:rPr>
          <w:rFonts w:hint="eastAsia" w:asciiTheme="minorEastAsia" w:hAnsiTheme="minorEastAsia" w:eastAsiaTheme="minorEastAsia" w:cstheme="minorEastAsia"/>
          <w:color w:val="auto"/>
          <w:sz w:val="24"/>
          <w:szCs w:val="24"/>
        </w:rPr>
        <w:t>5</w:t>
      </w:r>
      <w:r>
        <w:rPr>
          <w:rFonts w:hint="eastAsia" w:asciiTheme="minorEastAsia" w:hAnsiTheme="minorEastAsia" w:eastAsiaTheme="minorEastAsia" w:cstheme="minorEastAsia"/>
          <w:color w:val="auto"/>
          <w:spacing w:val="-22"/>
          <w:sz w:val="24"/>
          <w:szCs w:val="24"/>
        </w:rPr>
        <w:t>月顺利通过竣工及环保验收。该厂选址位于罗镜镇石淇湾村委围塘</w:t>
      </w:r>
      <w:r>
        <w:rPr>
          <w:rFonts w:hint="eastAsia" w:asciiTheme="minorEastAsia" w:hAnsiTheme="minorEastAsia" w:eastAsiaTheme="minorEastAsia" w:cstheme="minorEastAsia"/>
          <w:color w:val="auto"/>
          <w:spacing w:val="-13"/>
          <w:sz w:val="24"/>
          <w:szCs w:val="24"/>
        </w:rPr>
        <w:t>村民小组，占地面积约</w:t>
      </w:r>
      <w:r>
        <w:rPr>
          <w:rFonts w:hint="eastAsia" w:asciiTheme="minorEastAsia" w:hAnsiTheme="minorEastAsia" w:eastAsiaTheme="minorEastAsia" w:cstheme="minorEastAsia"/>
          <w:color w:val="auto"/>
          <w:sz w:val="24"/>
          <w:szCs w:val="24"/>
        </w:rPr>
        <w:t>15</w:t>
      </w:r>
      <w:r>
        <w:rPr>
          <w:rFonts w:hint="eastAsia" w:asciiTheme="minorEastAsia" w:hAnsiTheme="minorEastAsia" w:eastAsiaTheme="minorEastAsia" w:cstheme="minorEastAsia"/>
          <w:color w:val="auto"/>
          <w:spacing w:val="-12"/>
          <w:sz w:val="24"/>
          <w:szCs w:val="24"/>
        </w:rPr>
        <w:t>亩，总投资</w:t>
      </w:r>
      <w:r>
        <w:rPr>
          <w:rFonts w:hint="eastAsia" w:asciiTheme="minorEastAsia" w:hAnsiTheme="minorEastAsia" w:eastAsiaTheme="minorEastAsia" w:cstheme="minorEastAsia"/>
          <w:color w:val="auto"/>
          <w:spacing w:val="-4"/>
          <w:sz w:val="24"/>
          <w:szCs w:val="24"/>
        </w:rPr>
        <w:t>900</w:t>
      </w:r>
      <w:r>
        <w:rPr>
          <w:rFonts w:hint="eastAsia" w:asciiTheme="minorEastAsia" w:hAnsiTheme="minorEastAsia" w:eastAsiaTheme="minorEastAsia" w:cstheme="minorEastAsia"/>
          <w:color w:val="auto"/>
          <w:spacing w:val="-15"/>
          <w:sz w:val="24"/>
          <w:szCs w:val="24"/>
        </w:rPr>
        <w:t xml:space="preserve">万元，采用“格栅+一体化氧化沟+人工湿地”工艺，首期设计处理规模为 </w:t>
      </w:r>
      <w:r>
        <w:rPr>
          <w:rFonts w:hint="eastAsia" w:asciiTheme="minorEastAsia" w:hAnsiTheme="minorEastAsia" w:eastAsiaTheme="minorEastAsia" w:cstheme="minorEastAsia"/>
          <w:color w:val="auto"/>
          <w:spacing w:val="-12"/>
          <w:sz w:val="24"/>
          <w:szCs w:val="24"/>
        </w:rPr>
        <w:t>3000m³/d</w:t>
      </w:r>
      <w:r>
        <w:rPr>
          <w:rFonts w:hint="eastAsia" w:asciiTheme="minorEastAsia" w:hAnsiTheme="minorEastAsia" w:eastAsiaTheme="minorEastAsia" w:cstheme="minorEastAsia"/>
          <w:color w:val="auto"/>
          <w:spacing w:val="-9"/>
          <w:sz w:val="24"/>
          <w:szCs w:val="24"/>
        </w:rPr>
        <w:t>，出水水</w:t>
      </w:r>
      <w:r>
        <w:rPr>
          <w:rFonts w:hint="eastAsia" w:asciiTheme="minorEastAsia" w:hAnsiTheme="minorEastAsia" w:eastAsiaTheme="minorEastAsia" w:cstheme="minorEastAsia"/>
          <w:color w:val="auto"/>
          <w:spacing w:val="-15"/>
          <w:sz w:val="24"/>
          <w:szCs w:val="24"/>
        </w:rPr>
        <w:t>质执行国家《城镇污水处理厂污染物排放标准》</w:t>
      </w:r>
      <w:r>
        <w:rPr>
          <w:rFonts w:hint="eastAsia" w:asciiTheme="minorEastAsia" w:hAnsiTheme="minorEastAsia" w:eastAsiaTheme="minorEastAsia" w:cstheme="minorEastAsia"/>
          <w:color w:val="auto"/>
          <w:spacing w:val="-11"/>
          <w:sz w:val="24"/>
          <w:szCs w:val="24"/>
        </w:rPr>
        <w:t>（GB18918-2002）</w:t>
      </w:r>
      <w:r>
        <w:rPr>
          <w:rFonts w:hint="eastAsia" w:asciiTheme="minorEastAsia" w:hAnsiTheme="minorEastAsia" w:eastAsiaTheme="minorEastAsia" w:cstheme="minorEastAsia"/>
          <w:color w:val="auto"/>
          <w:sz w:val="24"/>
          <w:szCs w:val="24"/>
        </w:rPr>
        <w:t>一</w:t>
      </w:r>
      <w:r>
        <w:rPr>
          <w:rFonts w:hint="eastAsia" w:asciiTheme="minorEastAsia" w:hAnsiTheme="minorEastAsia" w:eastAsiaTheme="minorEastAsia" w:cstheme="minorEastAsia"/>
          <w:color w:val="auto"/>
          <w:spacing w:val="-1"/>
          <w:sz w:val="24"/>
          <w:szCs w:val="24"/>
        </w:rPr>
        <w:t>级</w:t>
      </w:r>
      <w:r>
        <w:rPr>
          <w:rFonts w:hint="eastAsia" w:asciiTheme="minorEastAsia" w:hAnsiTheme="minorEastAsia" w:eastAsiaTheme="minorEastAsia" w:cstheme="minorEastAsia"/>
          <w:color w:val="auto"/>
          <w:sz w:val="24"/>
          <w:szCs w:val="24"/>
        </w:rPr>
        <w:t>B</w:t>
      </w:r>
      <w:r>
        <w:rPr>
          <w:rFonts w:hint="eastAsia" w:asciiTheme="minorEastAsia" w:hAnsiTheme="minorEastAsia" w:eastAsiaTheme="minorEastAsia" w:cstheme="minorEastAsia"/>
          <w:color w:val="auto"/>
          <w:spacing w:val="-15"/>
          <w:sz w:val="24"/>
          <w:szCs w:val="24"/>
        </w:rPr>
        <w:t>标准。罗镜镇生活污水处理厂首期工程提标升级改造工程总投</w:t>
      </w:r>
      <w:r>
        <w:rPr>
          <w:rFonts w:hint="eastAsia" w:asciiTheme="minorEastAsia" w:hAnsiTheme="minorEastAsia" w:eastAsiaTheme="minorEastAsia" w:cstheme="minorEastAsia"/>
          <w:color w:val="auto"/>
          <w:spacing w:val="-30"/>
          <w:sz w:val="24"/>
          <w:szCs w:val="24"/>
        </w:rPr>
        <w:t xml:space="preserve">资约 </w:t>
      </w:r>
      <w:r>
        <w:rPr>
          <w:rFonts w:hint="eastAsia" w:asciiTheme="minorEastAsia" w:hAnsiTheme="minorEastAsia" w:eastAsiaTheme="minorEastAsia" w:cstheme="minorEastAsia"/>
          <w:color w:val="auto"/>
          <w:spacing w:val="-5"/>
          <w:sz w:val="24"/>
          <w:szCs w:val="24"/>
        </w:rPr>
        <w:t>1995</w:t>
      </w:r>
      <w:r>
        <w:rPr>
          <w:rFonts w:hint="eastAsia" w:asciiTheme="minorEastAsia" w:hAnsiTheme="minorEastAsia" w:eastAsiaTheme="minorEastAsia" w:cstheme="minorEastAsia"/>
          <w:color w:val="auto"/>
          <w:spacing w:val="-22"/>
          <w:sz w:val="24"/>
          <w:szCs w:val="24"/>
        </w:rPr>
        <w:t>万元，目前采用“沉砂预处理+</w:t>
      </w:r>
      <w:r>
        <w:rPr>
          <w:rFonts w:hint="eastAsia" w:asciiTheme="minorEastAsia" w:hAnsiTheme="minorEastAsia" w:eastAsiaTheme="minorEastAsia" w:cstheme="minorEastAsia"/>
          <w:color w:val="auto"/>
          <w:spacing w:val="-9"/>
          <w:sz w:val="24"/>
          <w:szCs w:val="24"/>
        </w:rPr>
        <w:t>BEC</w:t>
      </w:r>
      <w:r>
        <w:rPr>
          <w:rFonts w:hint="eastAsia" w:asciiTheme="minorEastAsia" w:hAnsiTheme="minorEastAsia" w:eastAsiaTheme="minorEastAsia" w:cstheme="minorEastAsia"/>
          <w:color w:val="auto"/>
          <w:spacing w:val="-12"/>
          <w:sz w:val="24"/>
          <w:szCs w:val="24"/>
        </w:rPr>
        <w:t xml:space="preserve"> 高效生态净水系统”处</w:t>
      </w:r>
      <w:r>
        <w:rPr>
          <w:rFonts w:hint="eastAsia" w:asciiTheme="minorEastAsia" w:hAnsiTheme="minorEastAsia" w:eastAsiaTheme="minorEastAsia" w:cstheme="minorEastAsia"/>
          <w:color w:val="auto"/>
          <w:spacing w:val="-15"/>
          <w:sz w:val="24"/>
          <w:szCs w:val="24"/>
        </w:rPr>
        <w:t>理工艺，建成后排放标准可达到《城镇污水处理厂污染物排放标准》</w:t>
      </w:r>
      <w:r>
        <w:rPr>
          <w:rFonts w:hint="eastAsia" w:asciiTheme="minorEastAsia" w:hAnsiTheme="minorEastAsia" w:eastAsiaTheme="minorEastAsia" w:cstheme="minorEastAsia"/>
          <w:color w:val="auto"/>
          <w:sz w:val="24"/>
          <w:szCs w:val="24"/>
        </w:rPr>
        <w:t>（GB18918-2002）一级A标准。</w:t>
      </w:r>
    </w:p>
    <w:p>
      <w:pPr>
        <w:pStyle w:val="10"/>
        <w:spacing w:line="500" w:lineRule="exact"/>
        <w:ind w:firstLine="448" w:firstLineChars="200"/>
        <w:jc w:val="both"/>
        <w:rPr>
          <w:rFonts w:asciiTheme="minorEastAsia" w:hAnsiTheme="minorEastAsia" w:eastAsiaTheme="minorEastAsia" w:cstheme="minorEastAsia"/>
          <w:color w:val="auto"/>
          <w:spacing w:val="-9"/>
          <w:sz w:val="24"/>
          <w:szCs w:val="24"/>
        </w:rPr>
      </w:pPr>
      <w:r>
        <w:rPr>
          <w:rFonts w:hint="eastAsia" w:asciiTheme="minorEastAsia" w:hAnsiTheme="minorEastAsia" w:eastAsiaTheme="minorEastAsia" w:cstheme="minorEastAsia"/>
          <w:color w:val="auto"/>
          <w:spacing w:val="-8"/>
          <w:sz w:val="24"/>
          <w:szCs w:val="24"/>
        </w:rPr>
        <w:t>罗镜镇建成区现状排水采用合流制排水系统，现有排水渠道为前</w:t>
      </w:r>
      <w:r>
        <w:rPr>
          <w:rFonts w:hint="eastAsia" w:asciiTheme="minorEastAsia" w:hAnsiTheme="minorEastAsia" w:eastAsiaTheme="minorEastAsia" w:cstheme="minorEastAsia"/>
          <w:color w:val="auto"/>
          <w:spacing w:val="-10"/>
          <w:sz w:val="24"/>
          <w:szCs w:val="24"/>
        </w:rPr>
        <w:t>期已铺设管道及部分自然排水渠，收集部分生活污水进入生活污水处理厂进行处理，剩余污水未经处理直接排入罗镜河，对罗镜河水体环</w:t>
      </w:r>
      <w:r>
        <w:rPr>
          <w:rFonts w:hint="eastAsia" w:asciiTheme="minorEastAsia" w:hAnsiTheme="minorEastAsia" w:eastAsiaTheme="minorEastAsia" w:cstheme="minorEastAsia"/>
          <w:color w:val="auto"/>
          <w:spacing w:val="-9"/>
          <w:sz w:val="24"/>
          <w:szCs w:val="24"/>
        </w:rPr>
        <w:t>境造成影响。</w:t>
      </w:r>
    </w:p>
    <w:p>
      <w:pPr>
        <w:pStyle w:val="10"/>
        <w:spacing w:line="500" w:lineRule="exact"/>
        <w:ind w:firstLine="422" w:firstLineChars="200"/>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表3.2-6 罗定市已建已运行城镇污水处理厂情况</w:t>
      </w:r>
    </w:p>
    <w:tbl>
      <w:tblPr>
        <w:tblStyle w:val="2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09"/>
        <w:gridCol w:w="1290"/>
        <w:gridCol w:w="1209"/>
        <w:gridCol w:w="1163"/>
        <w:gridCol w:w="1299"/>
        <w:gridCol w:w="2419"/>
        <w:gridCol w:w="81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5" w:hRule="atLeast"/>
          <w:tblHeader/>
          <w:jc w:val="center"/>
        </w:trPr>
        <w:tc>
          <w:tcPr>
            <w:tcW w:w="346" w:type="pct"/>
            <w:vAlign w:val="center"/>
          </w:tcPr>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序号</w:t>
            </w:r>
          </w:p>
        </w:tc>
        <w:tc>
          <w:tcPr>
            <w:tcW w:w="733" w:type="pct"/>
            <w:vAlign w:val="center"/>
          </w:tcPr>
          <w:p>
            <w:pPr>
              <w:pStyle w:val="33"/>
              <w:jc w:val="center"/>
              <w:rPr>
                <w:rFonts w:asciiTheme="minorEastAsia" w:hAnsiTheme="minorEastAsia" w:eastAsiaTheme="minorEastAsia" w:cstheme="minorEastAsia"/>
                <w:b/>
                <w:color w:val="auto"/>
                <w:sz w:val="21"/>
                <w:szCs w:val="21"/>
              </w:rPr>
            </w:pPr>
          </w:p>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项目名称</w:t>
            </w:r>
          </w:p>
        </w:tc>
        <w:tc>
          <w:tcPr>
            <w:tcW w:w="687" w:type="pct"/>
            <w:vAlign w:val="center"/>
          </w:tcPr>
          <w:p>
            <w:pPr>
              <w:pStyle w:val="33"/>
              <w:jc w:val="center"/>
              <w:rPr>
                <w:rFonts w:asciiTheme="minorEastAsia" w:hAnsiTheme="minorEastAsia" w:eastAsiaTheme="minorEastAsia" w:cstheme="minorEastAsia"/>
                <w:b/>
                <w:color w:val="auto"/>
                <w:sz w:val="21"/>
                <w:szCs w:val="21"/>
              </w:rPr>
            </w:pPr>
          </w:p>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所在市县</w:t>
            </w:r>
          </w:p>
        </w:tc>
        <w:tc>
          <w:tcPr>
            <w:tcW w:w="661" w:type="pct"/>
            <w:vAlign w:val="center"/>
          </w:tcPr>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设计处理能力</w:t>
            </w:r>
          </w:p>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（t/d）</w:t>
            </w:r>
          </w:p>
        </w:tc>
        <w:tc>
          <w:tcPr>
            <w:tcW w:w="738" w:type="pct"/>
            <w:vAlign w:val="center"/>
          </w:tcPr>
          <w:p>
            <w:pPr>
              <w:pStyle w:val="33"/>
              <w:jc w:val="center"/>
              <w:rPr>
                <w:rFonts w:asciiTheme="minorEastAsia" w:hAnsiTheme="minorEastAsia" w:eastAsiaTheme="minorEastAsia" w:cstheme="minorEastAsia"/>
                <w:b/>
                <w:color w:val="auto"/>
                <w:sz w:val="21"/>
                <w:szCs w:val="21"/>
              </w:rPr>
            </w:pPr>
          </w:p>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处理工艺</w:t>
            </w:r>
          </w:p>
        </w:tc>
        <w:tc>
          <w:tcPr>
            <w:tcW w:w="1374" w:type="pct"/>
            <w:vAlign w:val="center"/>
          </w:tcPr>
          <w:p>
            <w:pPr>
              <w:pStyle w:val="33"/>
              <w:jc w:val="center"/>
              <w:rPr>
                <w:rFonts w:asciiTheme="minorEastAsia" w:hAnsiTheme="minorEastAsia" w:eastAsiaTheme="minorEastAsia" w:cstheme="minorEastAsia"/>
                <w:b/>
                <w:color w:val="auto"/>
                <w:sz w:val="21"/>
                <w:szCs w:val="21"/>
              </w:rPr>
            </w:pPr>
          </w:p>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执行标准</w:t>
            </w:r>
          </w:p>
        </w:tc>
        <w:tc>
          <w:tcPr>
            <w:tcW w:w="461" w:type="pct"/>
            <w:vAlign w:val="center"/>
          </w:tcPr>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运行情况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89" w:hRule="atLeast"/>
          <w:jc w:val="center"/>
        </w:trPr>
        <w:tc>
          <w:tcPr>
            <w:tcW w:w="346"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w w:val="99"/>
                <w:sz w:val="21"/>
                <w:szCs w:val="21"/>
              </w:rPr>
              <w:t>1</w:t>
            </w:r>
          </w:p>
        </w:tc>
        <w:tc>
          <w:tcPr>
            <w:tcW w:w="733"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罗定市生活污水处理厂</w:t>
            </w:r>
          </w:p>
        </w:tc>
        <w:tc>
          <w:tcPr>
            <w:tcW w:w="687"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罗定市</w:t>
            </w:r>
          </w:p>
        </w:tc>
        <w:tc>
          <w:tcPr>
            <w:tcW w:w="661"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20000</w:t>
            </w:r>
          </w:p>
        </w:tc>
        <w:tc>
          <w:tcPr>
            <w:tcW w:w="738"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接触氧化</w:t>
            </w:r>
          </w:p>
        </w:tc>
        <w:tc>
          <w:tcPr>
            <w:tcW w:w="1374" w:type="pct"/>
            <w:vAlign w:val="center"/>
          </w:tcPr>
          <w:p>
            <w:pPr>
              <w:pStyle w:val="33"/>
              <w:jc w:val="both"/>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pacing w:val="3"/>
                <w:sz w:val="21"/>
                <w:szCs w:val="21"/>
              </w:rPr>
              <w:t>《城镇污水处理厂污染物排放标准》（</w:t>
            </w:r>
            <w:r>
              <w:rPr>
                <w:rFonts w:asciiTheme="minorEastAsia" w:hAnsiTheme="minorEastAsia" w:eastAsiaTheme="minorEastAsia" w:cstheme="minorEastAsia"/>
                <w:color w:val="auto"/>
                <w:spacing w:val="3"/>
                <w:sz w:val="21"/>
                <w:szCs w:val="21"/>
              </w:rPr>
              <w:t>GB 18918-2002）一级标准</w:t>
            </w:r>
            <w:r>
              <w:rPr>
                <w:rFonts w:hint="eastAsia" w:asciiTheme="minorEastAsia" w:hAnsiTheme="minorEastAsia" w:eastAsiaTheme="minorEastAsia" w:cstheme="minorEastAsia"/>
                <w:color w:val="auto"/>
                <w:spacing w:val="3"/>
                <w:sz w:val="21"/>
                <w:szCs w:val="21"/>
              </w:rPr>
              <w:t>的A</w:t>
            </w:r>
            <w:r>
              <w:rPr>
                <w:rFonts w:asciiTheme="minorEastAsia" w:hAnsiTheme="minorEastAsia" w:eastAsiaTheme="minorEastAsia" w:cstheme="minorEastAsia"/>
                <w:color w:val="auto"/>
                <w:spacing w:val="3"/>
                <w:sz w:val="21"/>
                <w:szCs w:val="21"/>
              </w:rPr>
              <w:t>标准</w:t>
            </w:r>
          </w:p>
        </w:tc>
        <w:tc>
          <w:tcPr>
            <w:tcW w:w="461"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正常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90" w:hRule="atLeast"/>
          <w:jc w:val="center"/>
        </w:trPr>
        <w:tc>
          <w:tcPr>
            <w:tcW w:w="346"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w w:val="99"/>
                <w:sz w:val="21"/>
                <w:szCs w:val="21"/>
              </w:rPr>
              <w:t>2</w:t>
            </w:r>
          </w:p>
        </w:tc>
        <w:tc>
          <w:tcPr>
            <w:tcW w:w="733"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罗定市第二生活污水处理厂</w:t>
            </w:r>
          </w:p>
        </w:tc>
        <w:tc>
          <w:tcPr>
            <w:tcW w:w="687"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罗定市</w:t>
            </w:r>
          </w:p>
        </w:tc>
        <w:tc>
          <w:tcPr>
            <w:tcW w:w="661"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20000</w:t>
            </w:r>
          </w:p>
        </w:tc>
        <w:tc>
          <w:tcPr>
            <w:tcW w:w="738"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一体化氧化沟</w:t>
            </w:r>
          </w:p>
        </w:tc>
        <w:tc>
          <w:tcPr>
            <w:tcW w:w="1374" w:type="pct"/>
            <w:vAlign w:val="center"/>
          </w:tcPr>
          <w:p>
            <w:pPr>
              <w:pStyle w:val="33"/>
              <w:jc w:val="both"/>
              <w:rPr>
                <w:rFonts w:asciiTheme="minorEastAsia" w:hAnsiTheme="minorEastAsia" w:eastAsiaTheme="minorEastAsia" w:cstheme="minorEastAsia"/>
                <w:color w:val="auto"/>
                <w:spacing w:val="3"/>
                <w:sz w:val="21"/>
                <w:szCs w:val="21"/>
              </w:rPr>
            </w:pPr>
            <w:r>
              <w:rPr>
                <w:rFonts w:hint="eastAsia" w:asciiTheme="minorEastAsia" w:hAnsiTheme="minorEastAsia" w:eastAsiaTheme="minorEastAsia" w:cstheme="minorEastAsia"/>
                <w:color w:val="auto"/>
                <w:spacing w:val="3"/>
                <w:sz w:val="21"/>
                <w:szCs w:val="21"/>
              </w:rPr>
              <w:t>废水处理设施总排放口所检项目排放浓度符合《广东省水污染物排放限值标准》（</w:t>
            </w:r>
            <w:r>
              <w:rPr>
                <w:rFonts w:asciiTheme="minorEastAsia" w:hAnsiTheme="minorEastAsia" w:eastAsiaTheme="minorEastAsia" w:cstheme="minorEastAsia"/>
                <w:color w:val="auto"/>
                <w:spacing w:val="3"/>
                <w:sz w:val="21"/>
                <w:szCs w:val="21"/>
              </w:rPr>
              <w:t>DB44/26-2001）第二时段一级标准和《城镇污水处理厂污染物排放标准》（GB 18918-2002）一级标准B标准中较严值</w:t>
            </w:r>
          </w:p>
        </w:tc>
        <w:tc>
          <w:tcPr>
            <w:tcW w:w="461"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正常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05" w:hRule="atLeast"/>
          <w:jc w:val="center"/>
        </w:trPr>
        <w:tc>
          <w:tcPr>
            <w:tcW w:w="346"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w w:val="99"/>
                <w:sz w:val="21"/>
                <w:szCs w:val="21"/>
              </w:rPr>
              <w:t>3</w:t>
            </w:r>
          </w:p>
        </w:tc>
        <w:tc>
          <w:tcPr>
            <w:tcW w:w="733"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罗定市第三生活污水处理有限公司</w:t>
            </w:r>
          </w:p>
        </w:tc>
        <w:tc>
          <w:tcPr>
            <w:tcW w:w="687"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罗定市</w:t>
            </w:r>
          </w:p>
        </w:tc>
        <w:tc>
          <w:tcPr>
            <w:tcW w:w="661"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20000</w:t>
            </w:r>
          </w:p>
        </w:tc>
        <w:tc>
          <w:tcPr>
            <w:tcW w:w="738"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一体化氧化沟</w:t>
            </w:r>
          </w:p>
        </w:tc>
        <w:tc>
          <w:tcPr>
            <w:tcW w:w="1374" w:type="pct"/>
            <w:vAlign w:val="center"/>
          </w:tcPr>
          <w:p>
            <w:pPr>
              <w:pStyle w:val="33"/>
              <w:jc w:val="both"/>
              <w:rPr>
                <w:rFonts w:asciiTheme="minorEastAsia" w:hAnsiTheme="minorEastAsia" w:eastAsiaTheme="minorEastAsia" w:cstheme="minorEastAsia"/>
                <w:color w:val="auto"/>
                <w:spacing w:val="3"/>
                <w:sz w:val="21"/>
                <w:szCs w:val="21"/>
              </w:rPr>
            </w:pPr>
            <w:r>
              <w:rPr>
                <w:rFonts w:hint="eastAsia" w:asciiTheme="minorEastAsia" w:hAnsiTheme="minorEastAsia" w:eastAsiaTheme="minorEastAsia" w:cstheme="minorEastAsia"/>
                <w:color w:val="auto"/>
                <w:spacing w:val="3"/>
                <w:sz w:val="21"/>
                <w:szCs w:val="21"/>
              </w:rPr>
              <w:t>《城镇污水处理厂污染物排放标准》（</w:t>
            </w:r>
            <w:r>
              <w:rPr>
                <w:rFonts w:asciiTheme="minorEastAsia" w:hAnsiTheme="minorEastAsia" w:eastAsiaTheme="minorEastAsia" w:cstheme="minorEastAsia"/>
                <w:color w:val="auto"/>
                <w:spacing w:val="3"/>
                <w:sz w:val="21"/>
                <w:szCs w:val="21"/>
              </w:rPr>
              <w:t>GB18918-2002）一级A标准及广东省地方标准《水污染物排放限值》（DB44/26-2001）城镇二级污水处理厂第二时段一级标准较严值</w:t>
            </w:r>
          </w:p>
        </w:tc>
        <w:tc>
          <w:tcPr>
            <w:tcW w:w="461"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正常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10" w:hRule="atLeast"/>
          <w:jc w:val="center"/>
        </w:trPr>
        <w:tc>
          <w:tcPr>
            <w:tcW w:w="346"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w w:val="99"/>
                <w:sz w:val="21"/>
                <w:szCs w:val="21"/>
              </w:rPr>
              <w:t>4</w:t>
            </w:r>
          </w:p>
        </w:tc>
        <w:tc>
          <w:tcPr>
            <w:tcW w:w="733"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罗定市附城生活污水处理厂</w:t>
            </w:r>
          </w:p>
        </w:tc>
        <w:tc>
          <w:tcPr>
            <w:tcW w:w="687"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罗定市附城街道</w:t>
            </w:r>
          </w:p>
        </w:tc>
        <w:tc>
          <w:tcPr>
            <w:tcW w:w="661"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4000</w:t>
            </w:r>
          </w:p>
        </w:tc>
        <w:tc>
          <w:tcPr>
            <w:tcW w:w="738"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一体化氧化沟</w:t>
            </w:r>
          </w:p>
        </w:tc>
        <w:tc>
          <w:tcPr>
            <w:tcW w:w="1374"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pacing w:val="3"/>
                <w:sz w:val="21"/>
                <w:szCs w:val="21"/>
              </w:rPr>
              <w:t>《城镇污水处理厂污染物排放标准》（</w:t>
            </w:r>
            <w:r>
              <w:rPr>
                <w:rFonts w:asciiTheme="minorEastAsia" w:hAnsiTheme="minorEastAsia" w:eastAsiaTheme="minorEastAsia" w:cstheme="minorEastAsia"/>
                <w:color w:val="auto"/>
                <w:spacing w:val="3"/>
                <w:sz w:val="21"/>
                <w:szCs w:val="21"/>
              </w:rPr>
              <w:t>GB 18918-2002）一级标准</w:t>
            </w:r>
            <w:r>
              <w:rPr>
                <w:rFonts w:hint="eastAsia" w:asciiTheme="minorEastAsia" w:hAnsiTheme="minorEastAsia" w:eastAsiaTheme="minorEastAsia" w:cstheme="minorEastAsia"/>
                <w:color w:val="auto"/>
                <w:spacing w:val="3"/>
                <w:sz w:val="21"/>
                <w:szCs w:val="21"/>
              </w:rPr>
              <w:t>的A</w:t>
            </w:r>
            <w:r>
              <w:rPr>
                <w:rFonts w:asciiTheme="minorEastAsia" w:hAnsiTheme="minorEastAsia" w:eastAsiaTheme="minorEastAsia" w:cstheme="minorEastAsia"/>
                <w:color w:val="auto"/>
                <w:spacing w:val="3"/>
                <w:sz w:val="21"/>
                <w:szCs w:val="21"/>
              </w:rPr>
              <w:t>标准</w:t>
            </w:r>
          </w:p>
        </w:tc>
        <w:tc>
          <w:tcPr>
            <w:tcW w:w="461"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正常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3" w:hRule="atLeast"/>
          <w:jc w:val="center"/>
        </w:trPr>
        <w:tc>
          <w:tcPr>
            <w:tcW w:w="346"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w w:val="99"/>
                <w:sz w:val="21"/>
                <w:szCs w:val="21"/>
              </w:rPr>
              <w:t>5</w:t>
            </w:r>
          </w:p>
        </w:tc>
        <w:tc>
          <w:tcPr>
            <w:tcW w:w="733"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罗定市罗镜镇生活污水处理厂</w:t>
            </w:r>
          </w:p>
        </w:tc>
        <w:tc>
          <w:tcPr>
            <w:tcW w:w="687"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罗定市罗镜镇</w:t>
            </w:r>
          </w:p>
        </w:tc>
        <w:tc>
          <w:tcPr>
            <w:tcW w:w="661"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3000</w:t>
            </w:r>
          </w:p>
        </w:tc>
        <w:tc>
          <w:tcPr>
            <w:tcW w:w="738"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pacing w:val="-1"/>
                <w:sz w:val="21"/>
                <w:szCs w:val="21"/>
              </w:rPr>
              <w:t>沉砂预处</w:t>
            </w:r>
            <w:r>
              <w:rPr>
                <w:rFonts w:hint="eastAsia" w:asciiTheme="minorEastAsia" w:hAnsiTheme="minorEastAsia" w:eastAsiaTheme="minorEastAsia" w:cstheme="minorEastAsia"/>
                <w:color w:val="auto"/>
                <w:spacing w:val="7"/>
                <w:sz w:val="21"/>
                <w:szCs w:val="21"/>
              </w:rPr>
              <w:t>理</w:t>
            </w:r>
            <w:r>
              <w:rPr>
                <w:rFonts w:hint="eastAsia" w:asciiTheme="minorEastAsia" w:hAnsiTheme="minorEastAsia" w:eastAsiaTheme="minorEastAsia" w:cstheme="minorEastAsia"/>
                <w:color w:val="auto"/>
                <w:spacing w:val="6"/>
                <w:sz w:val="21"/>
                <w:szCs w:val="21"/>
              </w:rPr>
              <w:t>+</w:t>
            </w:r>
            <w:r>
              <w:rPr>
                <w:rFonts w:hint="eastAsia" w:asciiTheme="minorEastAsia" w:hAnsiTheme="minorEastAsia" w:eastAsiaTheme="minorEastAsia" w:cstheme="minorEastAsia"/>
                <w:color w:val="auto"/>
                <w:spacing w:val="8"/>
                <w:sz w:val="21"/>
                <w:szCs w:val="21"/>
              </w:rPr>
              <w:t>生物</w:t>
            </w:r>
            <w:r>
              <w:rPr>
                <w:rFonts w:hint="eastAsia" w:asciiTheme="minorEastAsia" w:hAnsiTheme="minorEastAsia" w:eastAsiaTheme="minorEastAsia" w:cstheme="minorEastAsia"/>
                <w:color w:val="auto"/>
                <w:spacing w:val="-11"/>
                <w:sz w:val="21"/>
                <w:szCs w:val="21"/>
              </w:rPr>
              <w:t xml:space="preserve">- </w:t>
            </w:r>
            <w:r>
              <w:rPr>
                <w:rFonts w:hint="eastAsia" w:asciiTheme="minorEastAsia" w:hAnsiTheme="minorEastAsia" w:eastAsiaTheme="minorEastAsia" w:cstheme="minorEastAsia"/>
                <w:color w:val="auto"/>
                <w:spacing w:val="-4"/>
                <w:w w:val="95"/>
                <w:sz w:val="21"/>
                <w:szCs w:val="21"/>
              </w:rPr>
              <w:t>生态耦合</w:t>
            </w:r>
          </w:p>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（BEC）</w:t>
            </w:r>
          </w:p>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高效净水工艺</w:t>
            </w:r>
          </w:p>
        </w:tc>
        <w:tc>
          <w:tcPr>
            <w:tcW w:w="1374"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pacing w:val="3"/>
                <w:sz w:val="21"/>
                <w:szCs w:val="21"/>
              </w:rPr>
              <w:t>《城镇污水处理厂污染物排放标准》（</w:t>
            </w:r>
            <w:r>
              <w:rPr>
                <w:rFonts w:asciiTheme="minorEastAsia" w:hAnsiTheme="minorEastAsia" w:eastAsiaTheme="minorEastAsia" w:cstheme="minorEastAsia"/>
                <w:color w:val="auto"/>
                <w:spacing w:val="3"/>
                <w:sz w:val="21"/>
                <w:szCs w:val="21"/>
              </w:rPr>
              <w:t>GB 18918-2002）一级标准</w:t>
            </w:r>
            <w:r>
              <w:rPr>
                <w:rFonts w:hint="eastAsia" w:asciiTheme="minorEastAsia" w:hAnsiTheme="minorEastAsia" w:eastAsiaTheme="minorEastAsia" w:cstheme="minorEastAsia"/>
                <w:color w:val="auto"/>
                <w:spacing w:val="3"/>
                <w:sz w:val="21"/>
                <w:szCs w:val="21"/>
              </w:rPr>
              <w:t>的A</w:t>
            </w:r>
            <w:r>
              <w:rPr>
                <w:rFonts w:asciiTheme="minorEastAsia" w:hAnsiTheme="minorEastAsia" w:eastAsiaTheme="minorEastAsia" w:cstheme="minorEastAsia"/>
                <w:color w:val="auto"/>
                <w:spacing w:val="3"/>
                <w:sz w:val="21"/>
                <w:szCs w:val="21"/>
              </w:rPr>
              <w:t>标准</w:t>
            </w:r>
          </w:p>
        </w:tc>
        <w:tc>
          <w:tcPr>
            <w:tcW w:w="461"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正常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9" w:hRule="atLeast"/>
          <w:jc w:val="center"/>
        </w:trPr>
        <w:tc>
          <w:tcPr>
            <w:tcW w:w="346"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w w:val="99"/>
                <w:sz w:val="21"/>
                <w:szCs w:val="21"/>
              </w:rPr>
              <w:t>6</w:t>
            </w:r>
          </w:p>
        </w:tc>
        <w:tc>
          <w:tcPr>
            <w:tcW w:w="733"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罗定市船步镇生活污水处理厂</w:t>
            </w:r>
          </w:p>
        </w:tc>
        <w:tc>
          <w:tcPr>
            <w:tcW w:w="687"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罗定市船步镇</w:t>
            </w:r>
          </w:p>
        </w:tc>
        <w:tc>
          <w:tcPr>
            <w:tcW w:w="661"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3000</w:t>
            </w:r>
          </w:p>
        </w:tc>
        <w:tc>
          <w:tcPr>
            <w:tcW w:w="738"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一体化氧化沟</w:t>
            </w:r>
          </w:p>
        </w:tc>
        <w:tc>
          <w:tcPr>
            <w:tcW w:w="1374"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pacing w:val="3"/>
                <w:sz w:val="21"/>
                <w:szCs w:val="21"/>
              </w:rPr>
              <w:t>《城镇污水处理厂污染物排放标准》（</w:t>
            </w:r>
            <w:r>
              <w:rPr>
                <w:rFonts w:asciiTheme="minorEastAsia" w:hAnsiTheme="minorEastAsia" w:eastAsiaTheme="minorEastAsia" w:cstheme="minorEastAsia"/>
                <w:color w:val="auto"/>
                <w:spacing w:val="3"/>
                <w:sz w:val="21"/>
                <w:szCs w:val="21"/>
              </w:rPr>
              <w:t>GB 18918-2002）一级标准</w:t>
            </w:r>
            <w:r>
              <w:rPr>
                <w:rFonts w:hint="eastAsia" w:asciiTheme="minorEastAsia" w:hAnsiTheme="minorEastAsia" w:eastAsiaTheme="minorEastAsia" w:cstheme="minorEastAsia"/>
                <w:color w:val="auto"/>
                <w:spacing w:val="3"/>
                <w:sz w:val="21"/>
                <w:szCs w:val="21"/>
              </w:rPr>
              <w:t>的A</w:t>
            </w:r>
            <w:r>
              <w:rPr>
                <w:rFonts w:asciiTheme="minorEastAsia" w:hAnsiTheme="minorEastAsia" w:eastAsiaTheme="minorEastAsia" w:cstheme="minorEastAsia"/>
                <w:color w:val="auto"/>
                <w:spacing w:val="3"/>
                <w:sz w:val="21"/>
                <w:szCs w:val="21"/>
              </w:rPr>
              <w:t>标准</w:t>
            </w:r>
          </w:p>
        </w:tc>
        <w:tc>
          <w:tcPr>
            <w:tcW w:w="461"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正常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4" w:hRule="atLeast"/>
          <w:jc w:val="center"/>
        </w:trPr>
        <w:tc>
          <w:tcPr>
            <w:tcW w:w="346"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w w:val="99"/>
                <w:sz w:val="21"/>
                <w:szCs w:val="21"/>
              </w:rPr>
              <w:t>7</w:t>
            </w:r>
          </w:p>
        </w:tc>
        <w:tc>
          <w:tcPr>
            <w:tcW w:w="733"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罗定市泗纶镇生活污水处理厂</w:t>
            </w:r>
          </w:p>
        </w:tc>
        <w:tc>
          <w:tcPr>
            <w:tcW w:w="687"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罗定市泗纶镇</w:t>
            </w:r>
          </w:p>
        </w:tc>
        <w:tc>
          <w:tcPr>
            <w:tcW w:w="661"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2000</w:t>
            </w:r>
          </w:p>
        </w:tc>
        <w:tc>
          <w:tcPr>
            <w:tcW w:w="738"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pacing w:val="-1"/>
                <w:sz w:val="21"/>
                <w:szCs w:val="21"/>
              </w:rPr>
              <w:t>沉砂预处</w:t>
            </w:r>
            <w:r>
              <w:rPr>
                <w:rFonts w:hint="eastAsia" w:asciiTheme="minorEastAsia" w:hAnsiTheme="minorEastAsia" w:eastAsiaTheme="minorEastAsia" w:cstheme="minorEastAsia"/>
                <w:color w:val="auto"/>
                <w:spacing w:val="7"/>
                <w:sz w:val="21"/>
                <w:szCs w:val="21"/>
              </w:rPr>
              <w:t>理</w:t>
            </w:r>
            <w:r>
              <w:rPr>
                <w:rFonts w:hint="eastAsia" w:asciiTheme="minorEastAsia" w:hAnsiTheme="minorEastAsia" w:eastAsiaTheme="minorEastAsia" w:cstheme="minorEastAsia"/>
                <w:color w:val="auto"/>
                <w:spacing w:val="6"/>
                <w:sz w:val="21"/>
                <w:szCs w:val="21"/>
              </w:rPr>
              <w:t>+</w:t>
            </w:r>
            <w:r>
              <w:rPr>
                <w:rFonts w:hint="eastAsia" w:asciiTheme="minorEastAsia" w:hAnsiTheme="minorEastAsia" w:eastAsiaTheme="minorEastAsia" w:cstheme="minorEastAsia"/>
                <w:color w:val="auto"/>
                <w:spacing w:val="8"/>
                <w:sz w:val="21"/>
                <w:szCs w:val="21"/>
              </w:rPr>
              <w:t>生物</w:t>
            </w:r>
            <w:r>
              <w:rPr>
                <w:rFonts w:hint="eastAsia" w:asciiTheme="minorEastAsia" w:hAnsiTheme="minorEastAsia" w:eastAsiaTheme="minorEastAsia" w:cstheme="minorEastAsia"/>
                <w:color w:val="auto"/>
                <w:spacing w:val="-11"/>
                <w:sz w:val="21"/>
                <w:szCs w:val="21"/>
              </w:rPr>
              <w:t xml:space="preserve">- </w:t>
            </w:r>
            <w:r>
              <w:rPr>
                <w:rFonts w:hint="eastAsia" w:asciiTheme="minorEastAsia" w:hAnsiTheme="minorEastAsia" w:eastAsiaTheme="minorEastAsia" w:cstheme="minorEastAsia"/>
                <w:color w:val="auto"/>
                <w:spacing w:val="-4"/>
                <w:w w:val="95"/>
                <w:sz w:val="21"/>
                <w:szCs w:val="21"/>
              </w:rPr>
              <w:t>生态耦合</w:t>
            </w:r>
          </w:p>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（BEC）</w:t>
            </w:r>
          </w:p>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高效净水工艺</w:t>
            </w:r>
          </w:p>
        </w:tc>
        <w:tc>
          <w:tcPr>
            <w:tcW w:w="1374" w:type="pct"/>
            <w:vAlign w:val="center"/>
          </w:tcPr>
          <w:p>
            <w:pPr>
              <w:pStyle w:val="33"/>
              <w:jc w:val="both"/>
              <w:rPr>
                <w:rFonts w:asciiTheme="minorEastAsia" w:hAnsiTheme="minorEastAsia" w:eastAsiaTheme="minorEastAsia" w:cstheme="minorEastAsia"/>
                <w:color w:val="auto"/>
                <w:spacing w:val="3"/>
                <w:sz w:val="21"/>
                <w:szCs w:val="21"/>
              </w:rPr>
            </w:pPr>
            <w:r>
              <w:rPr>
                <w:rFonts w:hint="eastAsia" w:asciiTheme="minorEastAsia" w:hAnsiTheme="minorEastAsia" w:eastAsiaTheme="minorEastAsia" w:cstheme="minorEastAsia"/>
                <w:color w:val="auto"/>
                <w:spacing w:val="3"/>
                <w:sz w:val="21"/>
                <w:szCs w:val="21"/>
              </w:rPr>
              <w:t>《城镇污水处理厂污染物排放标准》一级</w:t>
            </w:r>
            <w:r>
              <w:rPr>
                <w:rFonts w:asciiTheme="minorEastAsia" w:hAnsiTheme="minorEastAsia" w:eastAsiaTheme="minorEastAsia" w:cstheme="minorEastAsia"/>
                <w:color w:val="auto"/>
                <w:spacing w:val="3"/>
                <w:sz w:val="21"/>
                <w:szCs w:val="21"/>
              </w:rPr>
              <w:t>A标准及广东省地方标准《水污染物排放限值》的较严值</w:t>
            </w:r>
          </w:p>
        </w:tc>
        <w:tc>
          <w:tcPr>
            <w:tcW w:w="461"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正常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10" w:hRule="atLeast"/>
          <w:jc w:val="center"/>
        </w:trPr>
        <w:tc>
          <w:tcPr>
            <w:tcW w:w="346"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w w:val="99"/>
                <w:sz w:val="21"/>
                <w:szCs w:val="21"/>
              </w:rPr>
              <w:t>8</w:t>
            </w:r>
          </w:p>
        </w:tc>
        <w:tc>
          <w:tcPr>
            <w:tcW w:w="733"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罗定市生江镇生活污水处理厂</w:t>
            </w:r>
          </w:p>
        </w:tc>
        <w:tc>
          <w:tcPr>
            <w:tcW w:w="687" w:type="pct"/>
            <w:vAlign w:val="center"/>
          </w:tcPr>
          <w:p>
            <w:pPr>
              <w:pStyle w:val="33"/>
              <w:jc w:val="center"/>
              <w:rPr>
                <w:rFonts w:asciiTheme="minorEastAsia" w:hAnsiTheme="minorEastAsia" w:eastAsiaTheme="minorEastAsia" w:cstheme="minorEastAsia"/>
                <w:b/>
                <w:color w:val="auto"/>
                <w:sz w:val="21"/>
                <w:szCs w:val="21"/>
              </w:rPr>
            </w:pPr>
          </w:p>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罗定市生江镇</w:t>
            </w:r>
          </w:p>
        </w:tc>
        <w:tc>
          <w:tcPr>
            <w:tcW w:w="661"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500</w:t>
            </w:r>
          </w:p>
        </w:tc>
        <w:tc>
          <w:tcPr>
            <w:tcW w:w="738"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w w:val="99"/>
                <w:sz w:val="21"/>
                <w:szCs w:val="21"/>
              </w:rPr>
              <w:t>/</w:t>
            </w:r>
          </w:p>
        </w:tc>
        <w:tc>
          <w:tcPr>
            <w:tcW w:w="1374"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pacing w:val="3"/>
                <w:sz w:val="21"/>
                <w:szCs w:val="21"/>
              </w:rPr>
              <w:t>《城镇污水处理厂污染物排放标准》（</w:t>
            </w:r>
            <w:r>
              <w:rPr>
                <w:rFonts w:asciiTheme="minorEastAsia" w:hAnsiTheme="minorEastAsia" w:eastAsiaTheme="minorEastAsia" w:cstheme="minorEastAsia"/>
                <w:color w:val="auto"/>
                <w:spacing w:val="3"/>
                <w:sz w:val="21"/>
                <w:szCs w:val="21"/>
              </w:rPr>
              <w:t>GB 18918-2002）一级标准</w:t>
            </w:r>
            <w:r>
              <w:rPr>
                <w:rFonts w:hint="eastAsia" w:asciiTheme="minorEastAsia" w:hAnsiTheme="minorEastAsia" w:eastAsiaTheme="minorEastAsia" w:cstheme="minorEastAsia"/>
                <w:color w:val="auto"/>
                <w:spacing w:val="3"/>
                <w:sz w:val="21"/>
                <w:szCs w:val="21"/>
              </w:rPr>
              <w:t>的A</w:t>
            </w:r>
            <w:r>
              <w:rPr>
                <w:rFonts w:asciiTheme="minorEastAsia" w:hAnsiTheme="minorEastAsia" w:eastAsiaTheme="minorEastAsia" w:cstheme="minorEastAsia"/>
                <w:color w:val="auto"/>
                <w:spacing w:val="3"/>
                <w:sz w:val="21"/>
                <w:szCs w:val="21"/>
              </w:rPr>
              <w:t>标准</w:t>
            </w:r>
          </w:p>
        </w:tc>
        <w:tc>
          <w:tcPr>
            <w:tcW w:w="461"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正常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10" w:hRule="atLeast"/>
          <w:jc w:val="center"/>
        </w:trPr>
        <w:tc>
          <w:tcPr>
            <w:tcW w:w="346"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w w:val="99"/>
                <w:sz w:val="21"/>
                <w:szCs w:val="21"/>
              </w:rPr>
              <w:t>9</w:t>
            </w:r>
          </w:p>
        </w:tc>
        <w:tc>
          <w:tcPr>
            <w:tcW w:w="733"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罗定市金鸡镇生活污水处理</w:t>
            </w:r>
          </w:p>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w w:val="99"/>
                <w:sz w:val="21"/>
                <w:szCs w:val="21"/>
              </w:rPr>
              <w:t>厂</w:t>
            </w:r>
          </w:p>
        </w:tc>
        <w:tc>
          <w:tcPr>
            <w:tcW w:w="687"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罗定市金鸡镇</w:t>
            </w:r>
          </w:p>
        </w:tc>
        <w:tc>
          <w:tcPr>
            <w:tcW w:w="661"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500</w:t>
            </w:r>
          </w:p>
        </w:tc>
        <w:tc>
          <w:tcPr>
            <w:tcW w:w="738"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w w:val="99"/>
                <w:sz w:val="21"/>
                <w:szCs w:val="21"/>
              </w:rPr>
              <w:t>/</w:t>
            </w:r>
          </w:p>
        </w:tc>
        <w:tc>
          <w:tcPr>
            <w:tcW w:w="1374"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pacing w:val="3"/>
                <w:sz w:val="21"/>
                <w:szCs w:val="21"/>
              </w:rPr>
              <w:t>《城镇污水处理厂污染物排放标准》（</w:t>
            </w:r>
            <w:r>
              <w:rPr>
                <w:rFonts w:asciiTheme="minorEastAsia" w:hAnsiTheme="minorEastAsia" w:eastAsiaTheme="minorEastAsia" w:cstheme="minorEastAsia"/>
                <w:color w:val="auto"/>
                <w:spacing w:val="3"/>
                <w:sz w:val="21"/>
                <w:szCs w:val="21"/>
              </w:rPr>
              <w:t>GB 18918-2002）一级标准</w:t>
            </w:r>
            <w:r>
              <w:rPr>
                <w:rFonts w:hint="eastAsia" w:asciiTheme="minorEastAsia" w:hAnsiTheme="minorEastAsia" w:eastAsiaTheme="minorEastAsia" w:cstheme="minorEastAsia"/>
                <w:color w:val="auto"/>
                <w:spacing w:val="3"/>
                <w:sz w:val="21"/>
                <w:szCs w:val="21"/>
              </w:rPr>
              <w:t>的A</w:t>
            </w:r>
            <w:r>
              <w:rPr>
                <w:rFonts w:asciiTheme="minorEastAsia" w:hAnsiTheme="minorEastAsia" w:eastAsiaTheme="minorEastAsia" w:cstheme="minorEastAsia"/>
                <w:color w:val="auto"/>
                <w:spacing w:val="3"/>
                <w:sz w:val="21"/>
                <w:szCs w:val="21"/>
              </w:rPr>
              <w:t>标准</w:t>
            </w:r>
          </w:p>
        </w:tc>
        <w:tc>
          <w:tcPr>
            <w:tcW w:w="461"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已运行未达标</w:t>
            </w:r>
          </w:p>
        </w:tc>
      </w:tr>
    </w:tbl>
    <w:p>
      <w:pPr>
        <w:pStyle w:val="10"/>
        <w:spacing w:line="500" w:lineRule="exact"/>
        <w:jc w:val="both"/>
        <w:rPr>
          <w:rFonts w:asciiTheme="minorEastAsia" w:hAnsiTheme="minorEastAsia" w:eastAsiaTheme="minorEastAsia" w:cstheme="minorEastAsia"/>
          <w:color w:val="auto"/>
          <w:sz w:val="24"/>
          <w:szCs w:val="24"/>
        </w:rPr>
      </w:pPr>
    </w:p>
    <w:p>
      <w:pPr>
        <w:pStyle w:val="32"/>
        <w:numPr>
          <w:ilvl w:val="2"/>
          <w:numId w:val="7"/>
        </w:numPr>
        <w:tabs>
          <w:tab w:val="left" w:pos="1796"/>
        </w:tabs>
        <w:spacing w:line="500" w:lineRule="exact"/>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现场水质分析</w:t>
      </w:r>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 xml:space="preserve">调研过程中分别在华石镇排污口、围底镇排污口、黎少镇排污 口、太平镇排污口、分界镇排污口、罗平镇排污口、榃滨镇排污口等地进 </w:t>
      </w:r>
      <w:r>
        <w:rPr>
          <w:rFonts w:hint="eastAsia" w:asciiTheme="minorEastAsia" w:hAnsiTheme="minorEastAsia" w:eastAsiaTheme="minorEastAsia" w:cstheme="minorEastAsia"/>
          <w:color w:val="auto"/>
          <w:spacing w:val="-16"/>
          <w:sz w:val="24"/>
          <w:szCs w:val="24"/>
        </w:rPr>
        <w:t>行生活污水取样分析，检测主要污染物</w:t>
      </w:r>
      <w:r>
        <w:rPr>
          <w:rFonts w:hint="eastAsia" w:asciiTheme="minorEastAsia" w:hAnsiTheme="minorEastAsia" w:eastAsiaTheme="minorEastAsia" w:cstheme="minorEastAsia"/>
          <w:color w:val="auto"/>
          <w:spacing w:val="-4"/>
          <w:sz w:val="24"/>
          <w:szCs w:val="24"/>
        </w:rPr>
        <w:t>COD</w:t>
      </w:r>
      <w:r>
        <w:rPr>
          <w:rFonts w:hint="eastAsia" w:asciiTheme="minorEastAsia" w:hAnsiTheme="minorEastAsia" w:eastAsiaTheme="minorEastAsia" w:cstheme="minorEastAsia"/>
          <w:color w:val="auto"/>
          <w:spacing w:val="-14"/>
          <w:sz w:val="24"/>
          <w:szCs w:val="24"/>
        </w:rPr>
        <w:t>和氨氮，各取样点污水</w:t>
      </w:r>
      <w:r>
        <w:rPr>
          <w:rFonts w:hint="eastAsia" w:asciiTheme="minorEastAsia" w:hAnsiTheme="minorEastAsia" w:eastAsiaTheme="minorEastAsia" w:cstheme="minorEastAsia"/>
          <w:color w:val="auto"/>
          <w:spacing w:val="-6"/>
          <w:sz w:val="24"/>
          <w:szCs w:val="24"/>
        </w:rPr>
        <w:t>水质见表</w:t>
      </w:r>
      <w:r>
        <w:rPr>
          <w:rFonts w:hint="eastAsia" w:asciiTheme="minorEastAsia" w:hAnsiTheme="minorEastAsia" w:eastAsiaTheme="minorEastAsia" w:cstheme="minorEastAsia"/>
          <w:color w:val="auto"/>
          <w:spacing w:val="-12"/>
          <w:sz w:val="24"/>
          <w:szCs w:val="24"/>
        </w:rPr>
        <w:t>3</w:t>
      </w:r>
      <w:r>
        <w:rPr>
          <w:rFonts w:asciiTheme="minorEastAsia" w:hAnsiTheme="minorEastAsia" w:eastAsiaTheme="minorEastAsia" w:cstheme="minorEastAsia"/>
          <w:color w:val="auto"/>
          <w:spacing w:val="-12"/>
          <w:sz w:val="24"/>
          <w:szCs w:val="24"/>
        </w:rPr>
        <w:t>.2</w:t>
      </w:r>
      <w:r>
        <w:rPr>
          <w:rFonts w:hint="eastAsia" w:asciiTheme="minorEastAsia" w:hAnsiTheme="minorEastAsia" w:eastAsiaTheme="minorEastAsia" w:cstheme="minorEastAsia"/>
          <w:color w:val="auto"/>
          <w:spacing w:val="-12"/>
          <w:sz w:val="24"/>
          <w:szCs w:val="24"/>
        </w:rPr>
        <w:t>-</w:t>
      </w:r>
      <w:r>
        <w:rPr>
          <w:rFonts w:asciiTheme="minorEastAsia" w:hAnsiTheme="minorEastAsia" w:eastAsiaTheme="minorEastAsia" w:cstheme="minorEastAsia"/>
          <w:color w:val="auto"/>
          <w:spacing w:val="-12"/>
          <w:sz w:val="24"/>
          <w:szCs w:val="24"/>
        </w:rPr>
        <w:t>7</w:t>
      </w:r>
      <w:r>
        <w:rPr>
          <w:rFonts w:hint="eastAsia" w:asciiTheme="minorEastAsia" w:hAnsiTheme="minorEastAsia" w:eastAsiaTheme="minorEastAsia" w:cstheme="minorEastAsia"/>
          <w:color w:val="auto"/>
          <w:spacing w:val="-10"/>
          <w:sz w:val="24"/>
          <w:szCs w:val="24"/>
        </w:rPr>
        <w:t>。由此表可见，镇区排污口</w:t>
      </w:r>
      <w:r>
        <w:rPr>
          <w:rFonts w:hint="eastAsia" w:asciiTheme="minorEastAsia" w:hAnsiTheme="minorEastAsia" w:eastAsiaTheme="minorEastAsia" w:cstheme="minorEastAsia"/>
          <w:color w:val="auto"/>
          <w:spacing w:val="-4"/>
          <w:sz w:val="24"/>
          <w:szCs w:val="24"/>
        </w:rPr>
        <w:t>COD</w:t>
      </w:r>
      <w:r>
        <w:rPr>
          <w:rFonts w:hint="eastAsia" w:asciiTheme="minorEastAsia" w:hAnsiTheme="minorEastAsia" w:eastAsiaTheme="minorEastAsia" w:cstheme="minorEastAsia"/>
          <w:color w:val="auto"/>
          <w:spacing w:val="-9"/>
          <w:sz w:val="24"/>
          <w:szCs w:val="24"/>
        </w:rPr>
        <w:t>浓度较高，最高可</w:t>
      </w:r>
      <w:r>
        <w:rPr>
          <w:rFonts w:hint="eastAsia" w:asciiTheme="minorEastAsia" w:hAnsiTheme="minorEastAsia" w:eastAsiaTheme="minorEastAsia" w:cstheme="minorEastAsia"/>
          <w:color w:val="auto"/>
          <w:spacing w:val="-7"/>
          <w:sz w:val="24"/>
          <w:szCs w:val="24"/>
        </w:rPr>
        <w:t>达</w:t>
      </w:r>
      <w:r>
        <w:rPr>
          <w:rFonts w:hint="eastAsia" w:asciiTheme="minorEastAsia" w:hAnsiTheme="minorEastAsia" w:eastAsiaTheme="minorEastAsia" w:cstheme="minorEastAsia"/>
          <w:color w:val="auto"/>
          <w:spacing w:val="-8"/>
          <w:sz w:val="24"/>
          <w:szCs w:val="24"/>
        </w:rPr>
        <w:t>238mg/L</w:t>
      </w:r>
      <w:r>
        <w:rPr>
          <w:rFonts w:hint="eastAsia" w:asciiTheme="minorEastAsia" w:hAnsiTheme="minorEastAsia" w:eastAsiaTheme="minorEastAsia" w:cstheme="minorEastAsia"/>
          <w:color w:val="auto"/>
          <w:spacing w:val="-15"/>
          <w:sz w:val="24"/>
          <w:szCs w:val="24"/>
        </w:rPr>
        <w:t xml:space="preserve"> 以上，但现有的污水收集系统尚不完善，污水经过了雨水、地下水、山泉水混合稀释污水收集浓度大幅度下降，故实际上镇区排</w:t>
      </w:r>
      <w:r>
        <w:rPr>
          <w:rFonts w:hint="eastAsia" w:asciiTheme="minorEastAsia" w:hAnsiTheme="minorEastAsia" w:eastAsiaTheme="minorEastAsia" w:cstheme="minorEastAsia"/>
          <w:color w:val="auto"/>
          <w:spacing w:val="-5"/>
          <w:sz w:val="24"/>
          <w:szCs w:val="24"/>
        </w:rPr>
        <w:t>放的污水</w:t>
      </w:r>
      <w:r>
        <w:rPr>
          <w:rFonts w:hint="eastAsia" w:asciiTheme="minorEastAsia" w:hAnsiTheme="minorEastAsia" w:eastAsiaTheme="minorEastAsia" w:cstheme="minorEastAsia"/>
          <w:color w:val="auto"/>
          <w:spacing w:val="-4"/>
          <w:sz w:val="24"/>
          <w:szCs w:val="24"/>
        </w:rPr>
        <w:t>COD</w:t>
      </w:r>
      <w:r>
        <w:rPr>
          <w:rFonts w:hint="eastAsia" w:asciiTheme="minorEastAsia" w:hAnsiTheme="minorEastAsia" w:eastAsiaTheme="minorEastAsia" w:cstheme="minorEastAsia"/>
          <w:color w:val="auto"/>
          <w:spacing w:val="-15"/>
          <w:sz w:val="24"/>
          <w:szCs w:val="24"/>
        </w:rPr>
        <w:t>浓度应高于实测值。</w:t>
      </w:r>
    </w:p>
    <w:p>
      <w:pPr>
        <w:spacing w:line="500" w:lineRule="exact"/>
        <w:ind w:firstLine="422" w:firstLineChars="200"/>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表3.2-7 污水样品水质分析表</w:t>
      </w:r>
    </w:p>
    <w:tbl>
      <w:tblPr>
        <w:tblStyle w:val="27"/>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37"/>
        <w:gridCol w:w="2928"/>
        <w:gridCol w:w="2403"/>
        <w:gridCol w:w="262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 w:hRule="atLeast"/>
          <w:jc w:val="center"/>
        </w:trPr>
        <w:tc>
          <w:tcPr>
            <w:tcW w:w="476" w:type="pct"/>
            <w:tcBorders>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序号</w:t>
            </w:r>
          </w:p>
        </w:tc>
        <w:tc>
          <w:tcPr>
            <w:tcW w:w="1664" w:type="pct"/>
            <w:tcBorders>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取样点</w:t>
            </w:r>
          </w:p>
        </w:tc>
        <w:tc>
          <w:tcPr>
            <w:tcW w:w="1366" w:type="pct"/>
            <w:tcBorders>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COD（mg/L）</w:t>
            </w:r>
          </w:p>
        </w:tc>
        <w:tc>
          <w:tcPr>
            <w:tcW w:w="1495" w:type="pct"/>
            <w:tcBorders>
              <w:left w:val="single" w:color="000000" w:sz="4" w:space="0"/>
              <w:bottom w:val="single" w:color="000000" w:sz="4"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氨氮（mg/L）</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jc w:val="center"/>
        </w:trPr>
        <w:tc>
          <w:tcPr>
            <w:tcW w:w="476" w:type="pct"/>
            <w:tcBorders>
              <w:top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w:t>
            </w:r>
          </w:p>
        </w:tc>
        <w:tc>
          <w:tcPr>
            <w:tcW w:w="1664" w:type="pct"/>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华石镇排污口</w:t>
            </w:r>
          </w:p>
        </w:tc>
        <w:tc>
          <w:tcPr>
            <w:tcW w:w="1366" w:type="pct"/>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20.5</w:t>
            </w:r>
          </w:p>
        </w:tc>
        <w:tc>
          <w:tcPr>
            <w:tcW w:w="1495" w:type="pct"/>
            <w:tcBorders>
              <w:top w:val="single" w:color="000000" w:sz="4" w:space="0"/>
              <w:left w:val="single" w:color="000000" w:sz="4" w:space="0"/>
              <w:bottom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11.5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 w:hRule="atLeast"/>
          <w:jc w:val="center"/>
        </w:trPr>
        <w:tc>
          <w:tcPr>
            <w:tcW w:w="476" w:type="pct"/>
            <w:tcBorders>
              <w:top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w:t>
            </w:r>
          </w:p>
        </w:tc>
        <w:tc>
          <w:tcPr>
            <w:tcW w:w="1664" w:type="pct"/>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围底镇排污口 1#</w:t>
            </w:r>
          </w:p>
        </w:tc>
        <w:tc>
          <w:tcPr>
            <w:tcW w:w="1366" w:type="pct"/>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163.7</w:t>
            </w:r>
          </w:p>
        </w:tc>
        <w:tc>
          <w:tcPr>
            <w:tcW w:w="1495" w:type="pct"/>
            <w:tcBorders>
              <w:top w:val="single" w:color="000000" w:sz="4" w:space="0"/>
              <w:left w:val="single" w:color="000000" w:sz="4" w:space="0"/>
              <w:bottom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75.7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jc w:val="center"/>
        </w:trPr>
        <w:tc>
          <w:tcPr>
            <w:tcW w:w="476" w:type="pct"/>
            <w:tcBorders>
              <w:top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3</w:t>
            </w:r>
          </w:p>
        </w:tc>
        <w:tc>
          <w:tcPr>
            <w:tcW w:w="1664" w:type="pct"/>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围底镇排污口 2#</w:t>
            </w:r>
          </w:p>
        </w:tc>
        <w:tc>
          <w:tcPr>
            <w:tcW w:w="1366" w:type="pct"/>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209.4</w:t>
            </w:r>
          </w:p>
        </w:tc>
        <w:tc>
          <w:tcPr>
            <w:tcW w:w="1495" w:type="pct"/>
            <w:tcBorders>
              <w:top w:val="single" w:color="000000" w:sz="4" w:space="0"/>
              <w:left w:val="single" w:color="000000" w:sz="4" w:space="0"/>
              <w:bottom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12.0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jc w:val="center"/>
        </w:trPr>
        <w:tc>
          <w:tcPr>
            <w:tcW w:w="476" w:type="pct"/>
            <w:tcBorders>
              <w:top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4</w:t>
            </w:r>
          </w:p>
        </w:tc>
        <w:tc>
          <w:tcPr>
            <w:tcW w:w="1664" w:type="pct"/>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黎少镇排污口 1#</w:t>
            </w:r>
          </w:p>
        </w:tc>
        <w:tc>
          <w:tcPr>
            <w:tcW w:w="1366" w:type="pct"/>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23.0</w:t>
            </w:r>
          </w:p>
        </w:tc>
        <w:tc>
          <w:tcPr>
            <w:tcW w:w="1495" w:type="pct"/>
            <w:tcBorders>
              <w:top w:val="single" w:color="000000" w:sz="4" w:space="0"/>
              <w:left w:val="single" w:color="000000" w:sz="4" w:space="0"/>
              <w:bottom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jc w:val="center"/>
        </w:trPr>
        <w:tc>
          <w:tcPr>
            <w:tcW w:w="476" w:type="pct"/>
            <w:tcBorders>
              <w:top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5</w:t>
            </w:r>
          </w:p>
        </w:tc>
        <w:tc>
          <w:tcPr>
            <w:tcW w:w="1664" w:type="pct"/>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黎少镇排污口 2#</w:t>
            </w:r>
          </w:p>
        </w:tc>
        <w:tc>
          <w:tcPr>
            <w:tcW w:w="1366" w:type="pct"/>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238.0</w:t>
            </w:r>
          </w:p>
        </w:tc>
        <w:tc>
          <w:tcPr>
            <w:tcW w:w="1495" w:type="pct"/>
            <w:tcBorders>
              <w:top w:val="single" w:color="000000" w:sz="4" w:space="0"/>
              <w:left w:val="single" w:color="000000" w:sz="4" w:space="0"/>
              <w:bottom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11.1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jc w:val="center"/>
        </w:trPr>
        <w:tc>
          <w:tcPr>
            <w:tcW w:w="476" w:type="pct"/>
            <w:tcBorders>
              <w:top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6</w:t>
            </w:r>
          </w:p>
        </w:tc>
        <w:tc>
          <w:tcPr>
            <w:tcW w:w="1664" w:type="pct"/>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太平镇排污口</w:t>
            </w:r>
          </w:p>
        </w:tc>
        <w:tc>
          <w:tcPr>
            <w:tcW w:w="1366" w:type="pct"/>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74.5</w:t>
            </w:r>
          </w:p>
        </w:tc>
        <w:tc>
          <w:tcPr>
            <w:tcW w:w="1495" w:type="pct"/>
            <w:tcBorders>
              <w:top w:val="single" w:color="000000" w:sz="4" w:space="0"/>
              <w:left w:val="single" w:color="000000" w:sz="4" w:space="0"/>
              <w:bottom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104.0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jc w:val="center"/>
        </w:trPr>
        <w:tc>
          <w:tcPr>
            <w:tcW w:w="476" w:type="pct"/>
            <w:tcBorders>
              <w:top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7</w:t>
            </w:r>
          </w:p>
        </w:tc>
        <w:tc>
          <w:tcPr>
            <w:tcW w:w="1664" w:type="pct"/>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分界镇排污口</w:t>
            </w:r>
          </w:p>
        </w:tc>
        <w:tc>
          <w:tcPr>
            <w:tcW w:w="1366" w:type="pct"/>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148.1</w:t>
            </w:r>
          </w:p>
        </w:tc>
        <w:tc>
          <w:tcPr>
            <w:tcW w:w="1495" w:type="pct"/>
            <w:tcBorders>
              <w:top w:val="single" w:color="000000" w:sz="4" w:space="0"/>
              <w:left w:val="single" w:color="000000" w:sz="4" w:space="0"/>
              <w:bottom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jc w:val="center"/>
        </w:trPr>
        <w:tc>
          <w:tcPr>
            <w:tcW w:w="476" w:type="pct"/>
            <w:tcBorders>
              <w:top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8</w:t>
            </w:r>
          </w:p>
        </w:tc>
        <w:tc>
          <w:tcPr>
            <w:tcW w:w="1664" w:type="pct"/>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罗平镇排污口</w:t>
            </w:r>
          </w:p>
        </w:tc>
        <w:tc>
          <w:tcPr>
            <w:tcW w:w="1366" w:type="pct"/>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150.8</w:t>
            </w:r>
          </w:p>
        </w:tc>
        <w:tc>
          <w:tcPr>
            <w:tcW w:w="1495" w:type="pct"/>
            <w:tcBorders>
              <w:top w:val="single" w:color="000000" w:sz="4" w:space="0"/>
              <w:left w:val="single" w:color="000000" w:sz="4" w:space="0"/>
              <w:bottom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jc w:val="center"/>
        </w:trPr>
        <w:tc>
          <w:tcPr>
            <w:tcW w:w="476" w:type="pct"/>
            <w:tcBorders>
              <w:top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9</w:t>
            </w:r>
          </w:p>
        </w:tc>
        <w:tc>
          <w:tcPr>
            <w:tcW w:w="1664" w:type="pct"/>
            <w:tcBorders>
              <w:top w:val="single" w:color="000000" w:sz="4" w:space="0"/>
              <w:left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榃滨镇排污口</w:t>
            </w:r>
          </w:p>
        </w:tc>
        <w:tc>
          <w:tcPr>
            <w:tcW w:w="1366" w:type="pct"/>
            <w:tcBorders>
              <w:top w:val="single" w:color="000000" w:sz="4" w:space="0"/>
              <w:left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207.7</w:t>
            </w:r>
          </w:p>
        </w:tc>
        <w:tc>
          <w:tcPr>
            <w:tcW w:w="1495" w:type="pct"/>
            <w:tcBorders>
              <w:top w:val="single" w:color="000000" w:sz="4" w:space="0"/>
              <w:lef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57.0</w:t>
            </w:r>
          </w:p>
        </w:tc>
      </w:tr>
    </w:tbl>
    <w:p>
      <w:pPr>
        <w:pStyle w:val="3"/>
        <w:numPr>
          <w:ilvl w:val="1"/>
          <w:numId w:val="8"/>
        </w:numPr>
        <w:tabs>
          <w:tab w:val="left" w:pos="1548"/>
        </w:tabs>
        <w:adjustRightInd/>
        <w:snapToGrid/>
        <w:spacing w:before="120" w:beforeLines="50" w:line="500" w:lineRule="exact"/>
        <w:ind w:left="0" w:firstLine="0"/>
        <w:jc w:val="both"/>
        <w:rPr>
          <w:rFonts w:asciiTheme="minorEastAsia" w:hAnsiTheme="minorEastAsia" w:eastAsiaTheme="minorEastAsia" w:cstheme="minorEastAsia"/>
          <w:color w:val="auto"/>
          <w:sz w:val="24"/>
          <w:szCs w:val="24"/>
        </w:rPr>
      </w:pPr>
      <w:bookmarkStart w:id="39" w:name="3.3农村排水现状"/>
      <w:bookmarkEnd w:id="39"/>
      <w:bookmarkStart w:id="40" w:name="_Toc30618"/>
      <w:bookmarkStart w:id="41" w:name="_Toc16662"/>
      <w:r>
        <w:rPr>
          <w:rFonts w:hint="eastAsia" w:asciiTheme="minorEastAsia" w:hAnsiTheme="minorEastAsia" w:eastAsiaTheme="minorEastAsia" w:cstheme="minorEastAsia"/>
          <w:color w:val="auto"/>
          <w:sz w:val="24"/>
          <w:szCs w:val="24"/>
        </w:rPr>
        <w:t>农村排水现状</w:t>
      </w:r>
      <w:bookmarkEnd w:id="40"/>
      <w:bookmarkEnd w:id="41"/>
    </w:p>
    <w:p>
      <w:pPr>
        <w:pStyle w:val="32"/>
        <w:numPr>
          <w:ilvl w:val="2"/>
          <w:numId w:val="8"/>
        </w:numPr>
        <w:tabs>
          <w:tab w:val="left" w:pos="1796"/>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农村生活污水排水现状</w:t>
      </w:r>
    </w:p>
    <w:p>
      <w:pPr>
        <w:pStyle w:val="10"/>
        <w:spacing w:line="500" w:lineRule="exact"/>
        <w:ind w:firstLine="44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9"/>
          <w:sz w:val="24"/>
          <w:szCs w:val="24"/>
        </w:rPr>
        <w:t xml:space="preserve">截止至 </w:t>
      </w:r>
      <w:r>
        <w:rPr>
          <w:rFonts w:hint="eastAsia" w:asciiTheme="minorEastAsia" w:hAnsiTheme="minorEastAsia" w:eastAsiaTheme="minorEastAsia" w:cstheme="minorEastAsia"/>
          <w:color w:val="auto"/>
          <w:spacing w:val="-6"/>
          <w:sz w:val="24"/>
          <w:szCs w:val="24"/>
        </w:rPr>
        <w:t>2015</w:t>
      </w:r>
      <w:r>
        <w:rPr>
          <w:rFonts w:hint="eastAsia" w:asciiTheme="minorEastAsia" w:hAnsiTheme="minorEastAsia" w:eastAsiaTheme="minorEastAsia" w:cstheme="minorEastAsia"/>
          <w:color w:val="auto"/>
          <w:spacing w:val="-17"/>
          <w:sz w:val="24"/>
          <w:szCs w:val="24"/>
        </w:rPr>
        <w:t xml:space="preserve"> 年末，罗定市全市农村总户籍人口约</w:t>
      </w:r>
      <w:r>
        <w:rPr>
          <w:rFonts w:hint="eastAsia" w:asciiTheme="minorEastAsia" w:hAnsiTheme="minorEastAsia" w:eastAsiaTheme="minorEastAsia" w:cstheme="minorEastAsia"/>
          <w:color w:val="auto"/>
          <w:sz w:val="24"/>
          <w:szCs w:val="24"/>
        </w:rPr>
        <w:t>84</w:t>
      </w:r>
      <w:r>
        <w:rPr>
          <w:rFonts w:hint="eastAsia" w:asciiTheme="minorEastAsia" w:hAnsiTheme="minorEastAsia" w:eastAsiaTheme="minorEastAsia" w:cstheme="minorEastAsia"/>
          <w:color w:val="auto"/>
          <w:spacing w:val="-12"/>
          <w:sz w:val="24"/>
          <w:szCs w:val="24"/>
        </w:rPr>
        <w:t>万人。随</w:t>
      </w:r>
      <w:r>
        <w:rPr>
          <w:rFonts w:hint="eastAsia" w:asciiTheme="minorEastAsia" w:hAnsiTheme="minorEastAsia" w:eastAsiaTheme="minorEastAsia" w:cstheme="minorEastAsia"/>
          <w:color w:val="auto"/>
          <w:spacing w:val="-15"/>
          <w:sz w:val="24"/>
          <w:szCs w:val="24"/>
        </w:rPr>
        <w:t>着城市扩张、城镇工业化的发展，农村居民的生产生活方式发生了较大变化。现在由于化肥的普遍使用使得人、畜粪便得不到有效利用， 大部分人、畜粪便基本经化粪池简单处理后便直接排入水体。在生活设施上，冲水厕所取代了原先的旱厕，生活污水产生量呈现较大程度</w:t>
      </w:r>
      <w:r>
        <w:rPr>
          <w:rFonts w:hint="eastAsia" w:asciiTheme="minorEastAsia" w:hAnsiTheme="minorEastAsia" w:eastAsiaTheme="minorEastAsia" w:cstheme="minorEastAsia"/>
          <w:color w:val="auto"/>
          <w:spacing w:val="-8"/>
          <w:sz w:val="24"/>
          <w:szCs w:val="24"/>
        </w:rPr>
        <w:t>的增加。</w:t>
      </w:r>
    </w:p>
    <w:p>
      <w:pPr>
        <w:pStyle w:val="10"/>
        <w:spacing w:line="500" w:lineRule="exact"/>
        <w:ind w:firstLine="44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8"/>
          <w:sz w:val="24"/>
          <w:szCs w:val="24"/>
        </w:rPr>
        <w:t>农村居民日常排水主要来自日常洗浴和厨房烹饪等活动产生的污</w:t>
      </w:r>
      <w:r>
        <w:rPr>
          <w:rFonts w:hint="eastAsia" w:asciiTheme="minorEastAsia" w:hAnsiTheme="minorEastAsia" w:eastAsiaTheme="minorEastAsia" w:cstheme="minorEastAsia"/>
          <w:color w:val="auto"/>
          <w:spacing w:val="-10"/>
          <w:sz w:val="24"/>
          <w:szCs w:val="24"/>
        </w:rPr>
        <w:t>水，总体来说罗定市农村污水处理设施及污水收集管网的建设较为缺失。大多数村民家中建有化粪池，沟渠建设较好的村落污水通过巷道内的沟渠或管道流入河道或农田，沟渠建设不足的村落污水多蓄积在房前屋后的低洼处，未经处理的生活污水就近直接排放，直接影响农</w:t>
      </w:r>
      <w:r>
        <w:rPr>
          <w:rFonts w:hint="eastAsia" w:asciiTheme="minorEastAsia" w:hAnsiTheme="minorEastAsia" w:eastAsiaTheme="minorEastAsia" w:cstheme="minorEastAsia"/>
          <w:color w:val="auto"/>
          <w:spacing w:val="-12"/>
          <w:sz w:val="24"/>
          <w:szCs w:val="24"/>
        </w:rPr>
        <w:t>村人居环境整体水平。</w:t>
      </w:r>
    </w:p>
    <w:p>
      <w:pPr>
        <w:pStyle w:val="32"/>
        <w:numPr>
          <w:ilvl w:val="2"/>
          <w:numId w:val="8"/>
        </w:numPr>
        <w:tabs>
          <w:tab w:val="left" w:pos="1796"/>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农村生活污水处理设施建设现状</w:t>
      </w:r>
    </w:p>
    <w:p>
      <w:pPr>
        <w:pStyle w:val="10"/>
        <w:spacing w:line="500" w:lineRule="exact"/>
        <w:ind w:firstLine="44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0"/>
          <w:sz w:val="24"/>
          <w:szCs w:val="24"/>
        </w:rPr>
        <w:t>根据现场调查，农村污水处理设施建设进度参差不齐，部分农村已建设生活污水处理设施但没有建设配套的污水收集管网，部分农村已完成生活污水处理设施及配套管网的建设但运营维护状况不佳，部分农村正在进行农村污水处理设施的建设，大部分农村地区尚未开展</w:t>
      </w:r>
      <w:r>
        <w:rPr>
          <w:rFonts w:hint="eastAsia" w:asciiTheme="minorEastAsia" w:hAnsiTheme="minorEastAsia" w:eastAsiaTheme="minorEastAsia" w:cstheme="minorEastAsia"/>
          <w:color w:val="auto"/>
          <w:spacing w:val="-13"/>
          <w:sz w:val="24"/>
          <w:szCs w:val="24"/>
        </w:rPr>
        <w:t>农村生活污水处理设施的建设。</w:t>
      </w:r>
    </w:p>
    <w:p>
      <w:pPr>
        <w:pStyle w:val="10"/>
        <w:tabs>
          <w:tab w:val="left" w:pos="7588"/>
        </w:tabs>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截止到</w:t>
      </w:r>
      <w:r>
        <w:rPr>
          <w:rFonts w:hint="eastAsia" w:asciiTheme="minorEastAsia" w:hAnsiTheme="minorEastAsia" w:eastAsiaTheme="minorEastAsia" w:cstheme="minorEastAsia"/>
          <w:color w:val="auto"/>
          <w:sz w:val="24"/>
          <w:szCs w:val="24"/>
          <w:lang w:val="en-US"/>
        </w:rPr>
        <w:t>2022年，</w:t>
      </w:r>
      <w:r>
        <w:rPr>
          <w:rFonts w:hint="eastAsia" w:asciiTheme="minorEastAsia" w:hAnsiTheme="minorEastAsia" w:eastAsiaTheme="minorEastAsia" w:cstheme="minorEastAsia"/>
          <w:color w:val="auto"/>
          <w:sz w:val="24"/>
          <w:szCs w:val="24"/>
        </w:rPr>
        <w:t>罗定市在建及已列入计划拟建的农村污水处理设施共352</w:t>
      </w:r>
      <w:r>
        <w:rPr>
          <w:rFonts w:hint="eastAsia" w:asciiTheme="minorEastAsia" w:hAnsiTheme="minorEastAsia" w:eastAsiaTheme="minorEastAsia" w:cstheme="minorEastAsia"/>
          <w:color w:val="auto"/>
          <w:spacing w:val="-10"/>
          <w:sz w:val="24"/>
          <w:szCs w:val="24"/>
        </w:rPr>
        <w:t>（</w:t>
      </w:r>
      <w:r>
        <w:rPr>
          <w:rFonts w:hint="eastAsia" w:asciiTheme="minorEastAsia" w:hAnsiTheme="minorEastAsia" w:eastAsiaTheme="minorEastAsia" w:cstheme="minorEastAsia"/>
          <w:color w:val="auto"/>
          <w:spacing w:val="23"/>
          <w:sz w:val="24"/>
          <w:szCs w:val="24"/>
        </w:rPr>
        <w:t>其中</w:t>
      </w:r>
      <w:r>
        <w:rPr>
          <w:rFonts w:hint="eastAsia" w:asciiTheme="minorEastAsia" w:hAnsiTheme="minorEastAsia" w:eastAsiaTheme="minorEastAsia" w:cstheme="minorEastAsia"/>
          <w:color w:val="auto"/>
          <w:spacing w:val="-2"/>
          <w:sz w:val="24"/>
          <w:szCs w:val="24"/>
        </w:rPr>
        <w:t>PPP</w:t>
      </w:r>
      <w:r>
        <w:rPr>
          <w:rFonts w:hint="eastAsia" w:asciiTheme="minorEastAsia" w:hAnsiTheme="minorEastAsia" w:eastAsiaTheme="minorEastAsia" w:cstheme="minorEastAsia"/>
          <w:color w:val="auto"/>
          <w:spacing w:val="35"/>
          <w:sz w:val="24"/>
          <w:szCs w:val="24"/>
        </w:rPr>
        <w:t>为</w:t>
      </w:r>
      <w:r>
        <w:rPr>
          <w:rFonts w:hint="eastAsia" w:asciiTheme="minorEastAsia" w:hAnsiTheme="minorEastAsia" w:eastAsiaTheme="minorEastAsia" w:cstheme="minorEastAsia"/>
          <w:color w:val="auto"/>
          <w:spacing w:val="-2"/>
          <w:sz w:val="24"/>
          <w:szCs w:val="24"/>
        </w:rPr>
        <w:t xml:space="preserve">291 </w:t>
      </w:r>
      <w:r>
        <w:rPr>
          <w:rFonts w:hint="eastAsia" w:asciiTheme="minorEastAsia" w:hAnsiTheme="minorEastAsia" w:eastAsiaTheme="minorEastAsia" w:cstheme="minorEastAsia"/>
          <w:color w:val="auto"/>
          <w:spacing w:val="-29"/>
          <w:sz w:val="24"/>
          <w:szCs w:val="24"/>
        </w:rPr>
        <w:t>座</w:t>
      </w:r>
      <w:r>
        <w:rPr>
          <w:rFonts w:hint="eastAsia" w:asciiTheme="minorEastAsia" w:hAnsiTheme="minorEastAsia" w:eastAsiaTheme="minorEastAsia" w:cstheme="minorEastAsia"/>
          <w:color w:val="auto"/>
          <w:spacing w:val="-27"/>
          <w:sz w:val="24"/>
          <w:szCs w:val="24"/>
        </w:rPr>
        <w:t>，</w:t>
      </w:r>
      <w:r>
        <w:rPr>
          <w:rFonts w:hint="eastAsia" w:asciiTheme="minorEastAsia" w:hAnsiTheme="minorEastAsia" w:eastAsiaTheme="minorEastAsia" w:cstheme="minorEastAsia"/>
          <w:color w:val="auto"/>
          <w:spacing w:val="-29"/>
          <w:sz w:val="24"/>
          <w:szCs w:val="24"/>
        </w:rPr>
        <w:t>扶</w:t>
      </w:r>
      <w:r>
        <w:rPr>
          <w:rFonts w:hint="eastAsia" w:asciiTheme="minorEastAsia" w:hAnsiTheme="minorEastAsia" w:eastAsiaTheme="minorEastAsia" w:cstheme="minorEastAsia"/>
          <w:color w:val="auto"/>
          <w:spacing w:val="-27"/>
          <w:sz w:val="24"/>
          <w:szCs w:val="24"/>
        </w:rPr>
        <w:t>贫</w:t>
      </w:r>
      <w:r>
        <w:rPr>
          <w:rFonts w:hint="eastAsia" w:asciiTheme="minorEastAsia" w:hAnsiTheme="minorEastAsia" w:eastAsiaTheme="minorEastAsia" w:cstheme="minorEastAsia"/>
          <w:color w:val="auto"/>
          <w:sz w:val="24"/>
          <w:szCs w:val="24"/>
        </w:rPr>
        <w:t>办</w:t>
      </w:r>
      <w:r>
        <w:rPr>
          <w:rFonts w:hint="eastAsia" w:asciiTheme="minorEastAsia" w:hAnsiTheme="minorEastAsia" w:eastAsiaTheme="minorEastAsia" w:cstheme="minorEastAsia"/>
          <w:color w:val="auto"/>
          <w:spacing w:val="-8"/>
          <w:sz w:val="24"/>
          <w:szCs w:val="24"/>
        </w:rPr>
        <w:t>61）</w:t>
      </w:r>
      <w:r>
        <w:rPr>
          <w:rFonts w:hint="eastAsia" w:asciiTheme="minorEastAsia" w:hAnsiTheme="minorEastAsia" w:eastAsiaTheme="minorEastAsia" w:cstheme="minorEastAsia"/>
          <w:color w:val="auto"/>
          <w:spacing w:val="-17"/>
          <w:sz w:val="24"/>
          <w:szCs w:val="24"/>
        </w:rPr>
        <w:t>座</w:t>
      </w:r>
      <w:r>
        <w:rPr>
          <w:rFonts w:hint="eastAsia" w:asciiTheme="minorEastAsia" w:hAnsiTheme="minorEastAsia" w:eastAsiaTheme="minorEastAsia" w:cstheme="minorEastAsia"/>
          <w:color w:val="auto"/>
          <w:spacing w:val="-20"/>
          <w:sz w:val="24"/>
          <w:szCs w:val="24"/>
        </w:rPr>
        <w:t>，</w:t>
      </w:r>
      <w:r>
        <w:rPr>
          <w:rFonts w:hint="eastAsia" w:asciiTheme="minorEastAsia" w:hAnsiTheme="minorEastAsia" w:eastAsiaTheme="minorEastAsia" w:cstheme="minorEastAsia"/>
          <w:color w:val="auto"/>
          <w:spacing w:val="-17"/>
          <w:sz w:val="24"/>
          <w:szCs w:val="24"/>
        </w:rPr>
        <w:t>大</w:t>
      </w:r>
      <w:r>
        <w:rPr>
          <w:rFonts w:hint="eastAsia" w:asciiTheme="minorEastAsia" w:hAnsiTheme="minorEastAsia" w:eastAsiaTheme="minorEastAsia" w:cstheme="minorEastAsia"/>
          <w:color w:val="auto"/>
          <w:spacing w:val="-20"/>
          <w:sz w:val="24"/>
          <w:szCs w:val="24"/>
        </w:rPr>
        <w:t>部</w:t>
      </w:r>
      <w:r>
        <w:rPr>
          <w:rFonts w:hint="eastAsia" w:asciiTheme="minorEastAsia" w:hAnsiTheme="minorEastAsia" w:eastAsiaTheme="minorEastAsia" w:cstheme="minorEastAsia"/>
          <w:color w:val="auto"/>
          <w:spacing w:val="-17"/>
          <w:sz w:val="24"/>
          <w:szCs w:val="24"/>
        </w:rPr>
        <w:t>分</w:t>
      </w:r>
      <w:r>
        <w:rPr>
          <w:rFonts w:hint="eastAsia" w:asciiTheme="minorEastAsia" w:hAnsiTheme="minorEastAsia" w:eastAsiaTheme="minorEastAsia" w:cstheme="minorEastAsia"/>
          <w:color w:val="auto"/>
          <w:spacing w:val="-20"/>
          <w:sz w:val="24"/>
          <w:szCs w:val="24"/>
        </w:rPr>
        <w:t>采</w:t>
      </w:r>
      <w:r>
        <w:rPr>
          <w:rFonts w:hint="eastAsia" w:asciiTheme="minorEastAsia" w:hAnsiTheme="minorEastAsia" w:eastAsiaTheme="minorEastAsia" w:cstheme="minorEastAsia"/>
          <w:color w:val="auto"/>
          <w:spacing w:val="-17"/>
          <w:sz w:val="24"/>
          <w:szCs w:val="24"/>
        </w:rPr>
        <w:t>用无</w:t>
      </w:r>
      <w:r>
        <w:rPr>
          <w:rFonts w:hint="eastAsia" w:asciiTheme="minorEastAsia" w:hAnsiTheme="minorEastAsia" w:eastAsiaTheme="minorEastAsia" w:cstheme="minorEastAsia"/>
          <w:color w:val="auto"/>
          <w:spacing w:val="-20"/>
          <w:sz w:val="24"/>
          <w:szCs w:val="24"/>
        </w:rPr>
        <w:t>动</w:t>
      </w:r>
      <w:r>
        <w:rPr>
          <w:rFonts w:hint="eastAsia" w:asciiTheme="minorEastAsia" w:hAnsiTheme="minorEastAsia" w:eastAsiaTheme="minorEastAsia" w:cstheme="minorEastAsia"/>
          <w:color w:val="auto"/>
          <w:spacing w:val="-17"/>
          <w:sz w:val="24"/>
          <w:szCs w:val="24"/>
        </w:rPr>
        <w:t>力</w:t>
      </w:r>
      <w:r>
        <w:rPr>
          <w:rFonts w:hint="eastAsia" w:asciiTheme="minorEastAsia" w:hAnsiTheme="minorEastAsia" w:eastAsiaTheme="minorEastAsia" w:cstheme="minorEastAsia"/>
          <w:color w:val="auto"/>
          <w:spacing w:val="-20"/>
          <w:sz w:val="24"/>
          <w:szCs w:val="24"/>
        </w:rPr>
        <w:t>厌</w:t>
      </w:r>
      <w:r>
        <w:rPr>
          <w:rFonts w:hint="eastAsia" w:asciiTheme="minorEastAsia" w:hAnsiTheme="minorEastAsia" w:eastAsiaTheme="minorEastAsia" w:cstheme="minorEastAsia"/>
          <w:color w:val="auto"/>
          <w:spacing w:val="-17"/>
          <w:sz w:val="24"/>
          <w:szCs w:val="24"/>
        </w:rPr>
        <w:t>氧</w:t>
      </w:r>
      <w:r>
        <w:rPr>
          <w:rFonts w:hint="eastAsia" w:asciiTheme="minorEastAsia" w:hAnsiTheme="minorEastAsia" w:eastAsiaTheme="minorEastAsia" w:cstheme="minorEastAsia"/>
          <w:color w:val="auto"/>
          <w:spacing w:val="-19"/>
          <w:sz w:val="24"/>
          <w:szCs w:val="24"/>
        </w:rPr>
        <w:t>+</w:t>
      </w:r>
      <w:r>
        <w:rPr>
          <w:rFonts w:hint="eastAsia" w:asciiTheme="minorEastAsia" w:hAnsiTheme="minorEastAsia" w:eastAsiaTheme="minorEastAsia" w:cstheme="minorEastAsia"/>
          <w:color w:val="auto"/>
          <w:spacing w:val="-17"/>
          <w:sz w:val="24"/>
          <w:szCs w:val="24"/>
        </w:rPr>
        <w:t>人</w:t>
      </w:r>
      <w:r>
        <w:rPr>
          <w:rFonts w:hint="eastAsia" w:asciiTheme="minorEastAsia" w:hAnsiTheme="minorEastAsia" w:eastAsiaTheme="minorEastAsia" w:cstheme="minorEastAsia"/>
          <w:color w:val="auto"/>
          <w:spacing w:val="-20"/>
          <w:sz w:val="24"/>
          <w:szCs w:val="24"/>
        </w:rPr>
        <w:t>工</w:t>
      </w:r>
      <w:r>
        <w:rPr>
          <w:rFonts w:hint="eastAsia" w:asciiTheme="minorEastAsia" w:hAnsiTheme="minorEastAsia" w:eastAsiaTheme="minorEastAsia" w:cstheme="minorEastAsia"/>
          <w:color w:val="auto"/>
          <w:sz w:val="24"/>
          <w:szCs w:val="24"/>
        </w:rPr>
        <w:t>湿</w:t>
      </w:r>
      <w:r>
        <w:rPr>
          <w:rFonts w:hint="eastAsia" w:asciiTheme="minorEastAsia" w:hAnsiTheme="minorEastAsia" w:eastAsiaTheme="minorEastAsia" w:cstheme="minorEastAsia"/>
          <w:color w:val="auto"/>
          <w:spacing w:val="-5"/>
          <w:sz w:val="24"/>
          <w:szCs w:val="24"/>
        </w:rPr>
        <w:t>地</w:t>
      </w:r>
      <w:r>
        <w:rPr>
          <w:rFonts w:hint="eastAsia" w:asciiTheme="minorEastAsia" w:hAnsiTheme="minorEastAsia" w:eastAsiaTheme="minorEastAsia" w:cstheme="minorEastAsia"/>
          <w:color w:val="auto"/>
          <w:spacing w:val="-3"/>
          <w:sz w:val="24"/>
          <w:szCs w:val="24"/>
        </w:rPr>
        <w:t>的</w:t>
      </w:r>
      <w:r>
        <w:rPr>
          <w:rFonts w:hint="eastAsia" w:asciiTheme="minorEastAsia" w:hAnsiTheme="minorEastAsia" w:eastAsiaTheme="minorEastAsia" w:cstheme="minorEastAsia"/>
          <w:color w:val="auto"/>
          <w:spacing w:val="-5"/>
          <w:sz w:val="24"/>
          <w:szCs w:val="24"/>
        </w:rPr>
        <w:t>工</w:t>
      </w:r>
      <w:r>
        <w:rPr>
          <w:rFonts w:hint="eastAsia" w:asciiTheme="minorEastAsia" w:hAnsiTheme="minorEastAsia" w:eastAsiaTheme="minorEastAsia" w:cstheme="minorEastAsia"/>
          <w:color w:val="auto"/>
          <w:spacing w:val="-3"/>
          <w:sz w:val="24"/>
          <w:szCs w:val="24"/>
        </w:rPr>
        <w:t>艺</w:t>
      </w:r>
      <w:r>
        <w:rPr>
          <w:rFonts w:hint="eastAsia" w:asciiTheme="minorEastAsia" w:hAnsiTheme="minorEastAsia" w:eastAsiaTheme="minorEastAsia" w:cstheme="minorEastAsia"/>
          <w:color w:val="auto"/>
          <w:spacing w:val="-5"/>
          <w:sz w:val="24"/>
          <w:szCs w:val="24"/>
        </w:rPr>
        <w:t>，少</w:t>
      </w:r>
      <w:r>
        <w:rPr>
          <w:rFonts w:hint="eastAsia" w:asciiTheme="minorEastAsia" w:hAnsiTheme="minorEastAsia" w:eastAsiaTheme="minorEastAsia" w:cstheme="minorEastAsia"/>
          <w:color w:val="auto"/>
          <w:spacing w:val="-3"/>
          <w:sz w:val="24"/>
          <w:szCs w:val="24"/>
        </w:rPr>
        <w:t>部</w:t>
      </w:r>
      <w:r>
        <w:rPr>
          <w:rFonts w:hint="eastAsia" w:asciiTheme="minorEastAsia" w:hAnsiTheme="minorEastAsia" w:eastAsiaTheme="minorEastAsia" w:cstheme="minorEastAsia"/>
          <w:color w:val="auto"/>
          <w:spacing w:val="-5"/>
          <w:sz w:val="24"/>
          <w:szCs w:val="24"/>
        </w:rPr>
        <w:t>分</w:t>
      </w:r>
      <w:r>
        <w:rPr>
          <w:rFonts w:hint="eastAsia" w:asciiTheme="minorEastAsia" w:hAnsiTheme="minorEastAsia" w:eastAsiaTheme="minorEastAsia" w:cstheme="minorEastAsia"/>
          <w:color w:val="auto"/>
          <w:spacing w:val="-3"/>
          <w:sz w:val="24"/>
          <w:szCs w:val="24"/>
        </w:rPr>
        <w:t>采</w:t>
      </w:r>
      <w:r>
        <w:rPr>
          <w:rFonts w:hint="eastAsia" w:asciiTheme="minorEastAsia" w:hAnsiTheme="minorEastAsia" w:eastAsiaTheme="minorEastAsia" w:cstheme="minorEastAsia"/>
          <w:color w:val="auto"/>
          <w:spacing w:val="-5"/>
          <w:sz w:val="24"/>
          <w:szCs w:val="24"/>
        </w:rPr>
        <w:t>用</w:t>
      </w:r>
      <w:r>
        <w:rPr>
          <w:rFonts w:hint="eastAsia" w:asciiTheme="minorEastAsia" w:hAnsiTheme="minorEastAsia" w:eastAsiaTheme="minorEastAsia" w:cstheme="minorEastAsia"/>
          <w:color w:val="auto"/>
          <w:spacing w:val="-3"/>
          <w:sz w:val="24"/>
          <w:szCs w:val="24"/>
        </w:rPr>
        <w:t>厌</w:t>
      </w:r>
      <w:r>
        <w:rPr>
          <w:rFonts w:hint="eastAsia" w:asciiTheme="minorEastAsia" w:hAnsiTheme="minorEastAsia" w:eastAsiaTheme="minorEastAsia" w:cstheme="minorEastAsia"/>
          <w:color w:val="auto"/>
          <w:spacing w:val="-5"/>
          <w:sz w:val="24"/>
          <w:szCs w:val="24"/>
        </w:rPr>
        <w:t>氧</w:t>
      </w:r>
      <w:r>
        <w:rPr>
          <w:rFonts w:hint="eastAsia" w:asciiTheme="minorEastAsia" w:hAnsiTheme="minorEastAsia" w:eastAsiaTheme="minorEastAsia" w:cstheme="minorEastAsia"/>
          <w:color w:val="auto"/>
          <w:spacing w:val="-4"/>
          <w:sz w:val="24"/>
          <w:szCs w:val="24"/>
        </w:rPr>
        <w:t>+</w:t>
      </w:r>
      <w:r>
        <w:rPr>
          <w:rFonts w:hint="eastAsia" w:asciiTheme="minorEastAsia" w:hAnsiTheme="minorEastAsia" w:eastAsiaTheme="minorEastAsia" w:cstheme="minorEastAsia"/>
          <w:color w:val="auto"/>
          <w:spacing w:val="-5"/>
          <w:sz w:val="24"/>
          <w:szCs w:val="24"/>
        </w:rPr>
        <w:t>缺</w:t>
      </w:r>
      <w:r>
        <w:rPr>
          <w:rFonts w:hint="eastAsia" w:asciiTheme="minorEastAsia" w:hAnsiTheme="minorEastAsia" w:eastAsiaTheme="minorEastAsia" w:cstheme="minorEastAsia"/>
          <w:color w:val="auto"/>
          <w:spacing w:val="-3"/>
          <w:sz w:val="24"/>
          <w:szCs w:val="24"/>
        </w:rPr>
        <w:t>氧</w:t>
      </w:r>
      <w:r>
        <w:rPr>
          <w:rFonts w:hint="eastAsia" w:asciiTheme="minorEastAsia" w:hAnsiTheme="minorEastAsia" w:eastAsiaTheme="minorEastAsia" w:cstheme="minorEastAsia"/>
          <w:color w:val="auto"/>
          <w:spacing w:val="-4"/>
          <w:sz w:val="24"/>
          <w:szCs w:val="24"/>
        </w:rPr>
        <w:t>+</w:t>
      </w:r>
      <w:r>
        <w:rPr>
          <w:rFonts w:hint="eastAsia" w:asciiTheme="minorEastAsia" w:hAnsiTheme="minorEastAsia" w:eastAsiaTheme="minorEastAsia" w:cstheme="minorEastAsia"/>
          <w:color w:val="auto"/>
          <w:spacing w:val="-5"/>
          <w:sz w:val="24"/>
          <w:szCs w:val="24"/>
        </w:rPr>
        <w:t>接</w:t>
      </w:r>
      <w:r>
        <w:rPr>
          <w:rFonts w:hint="eastAsia" w:asciiTheme="minorEastAsia" w:hAnsiTheme="minorEastAsia" w:eastAsiaTheme="minorEastAsia" w:cstheme="minorEastAsia"/>
          <w:color w:val="auto"/>
          <w:spacing w:val="-3"/>
          <w:sz w:val="24"/>
          <w:szCs w:val="24"/>
        </w:rPr>
        <w:t>触</w:t>
      </w:r>
      <w:r>
        <w:rPr>
          <w:rFonts w:hint="eastAsia" w:asciiTheme="minorEastAsia" w:hAnsiTheme="minorEastAsia" w:eastAsiaTheme="minorEastAsia" w:cstheme="minorEastAsia"/>
          <w:color w:val="auto"/>
          <w:spacing w:val="-5"/>
          <w:sz w:val="24"/>
          <w:szCs w:val="24"/>
        </w:rPr>
        <w:t>氧</w:t>
      </w:r>
      <w:r>
        <w:rPr>
          <w:rFonts w:hint="eastAsia" w:asciiTheme="minorEastAsia" w:hAnsiTheme="minorEastAsia" w:eastAsiaTheme="minorEastAsia" w:cstheme="minorEastAsia"/>
          <w:color w:val="auto"/>
          <w:spacing w:val="-3"/>
          <w:sz w:val="24"/>
          <w:szCs w:val="24"/>
        </w:rPr>
        <w:t>化</w:t>
      </w:r>
      <w:r>
        <w:rPr>
          <w:rFonts w:hint="eastAsia" w:asciiTheme="minorEastAsia" w:hAnsiTheme="minorEastAsia" w:eastAsiaTheme="minorEastAsia" w:cstheme="minorEastAsia"/>
          <w:color w:val="auto"/>
          <w:sz w:val="24"/>
          <w:szCs w:val="24"/>
        </w:rPr>
        <w:t>（A2/0</w:t>
      </w:r>
      <w:r>
        <w:rPr>
          <w:rFonts w:hint="eastAsia" w:asciiTheme="minorEastAsia" w:hAnsiTheme="minorEastAsia" w:eastAsiaTheme="minorEastAsia" w:cstheme="minorEastAsia"/>
          <w:color w:val="auto"/>
          <w:spacing w:val="45"/>
          <w:sz w:val="24"/>
          <w:szCs w:val="24"/>
        </w:rPr>
        <w:t>法</w:t>
      </w:r>
      <w:r>
        <w:rPr>
          <w:rFonts w:hint="eastAsia" w:asciiTheme="minorEastAsia" w:hAnsiTheme="minorEastAsia" w:eastAsiaTheme="minorEastAsia" w:cstheme="minorEastAsia"/>
          <w:color w:val="auto"/>
          <w:spacing w:val="-4"/>
          <w:sz w:val="24"/>
          <w:szCs w:val="24"/>
        </w:rPr>
        <w:t>）+</w:t>
      </w:r>
      <w:r>
        <w:rPr>
          <w:rFonts w:hint="eastAsia" w:asciiTheme="minorEastAsia" w:hAnsiTheme="minorEastAsia" w:eastAsiaTheme="minorEastAsia" w:cstheme="minorEastAsia"/>
          <w:color w:val="auto"/>
          <w:spacing w:val="-3"/>
          <w:sz w:val="24"/>
          <w:szCs w:val="24"/>
        </w:rPr>
        <w:t>沉淀</w:t>
      </w:r>
      <w:r>
        <w:rPr>
          <w:rFonts w:hint="eastAsia" w:asciiTheme="minorEastAsia" w:hAnsiTheme="minorEastAsia" w:eastAsiaTheme="minorEastAsia" w:cstheme="minorEastAsia"/>
          <w:color w:val="auto"/>
          <w:spacing w:val="-4"/>
          <w:sz w:val="24"/>
          <w:szCs w:val="24"/>
        </w:rPr>
        <w:t>+</w:t>
      </w:r>
      <w:r>
        <w:rPr>
          <w:rFonts w:hint="eastAsia" w:asciiTheme="minorEastAsia" w:hAnsiTheme="minorEastAsia" w:eastAsiaTheme="minorEastAsia" w:cstheme="minorEastAsia"/>
          <w:color w:val="auto"/>
          <w:spacing w:val="-3"/>
          <w:sz w:val="24"/>
          <w:szCs w:val="24"/>
        </w:rPr>
        <w:t>过</w:t>
      </w:r>
      <w:r>
        <w:rPr>
          <w:rFonts w:hint="eastAsia" w:asciiTheme="minorEastAsia" w:hAnsiTheme="minorEastAsia" w:eastAsiaTheme="minorEastAsia" w:cstheme="minorEastAsia"/>
          <w:color w:val="auto"/>
          <w:spacing w:val="-13"/>
          <w:sz w:val="24"/>
          <w:szCs w:val="24"/>
        </w:rPr>
        <w:t>滤</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pacing w:val="-13"/>
          <w:sz w:val="24"/>
          <w:szCs w:val="24"/>
        </w:rPr>
        <w:t>农</w:t>
      </w:r>
      <w:r>
        <w:rPr>
          <w:rFonts w:hint="eastAsia" w:asciiTheme="minorEastAsia" w:hAnsiTheme="minorEastAsia" w:eastAsiaTheme="minorEastAsia" w:cstheme="minorEastAsia"/>
          <w:color w:val="auto"/>
          <w:spacing w:val="-10"/>
          <w:sz w:val="24"/>
          <w:szCs w:val="24"/>
        </w:rPr>
        <w:t>村</w:t>
      </w:r>
      <w:r>
        <w:rPr>
          <w:rFonts w:hint="eastAsia" w:asciiTheme="minorEastAsia" w:hAnsiTheme="minorEastAsia" w:eastAsiaTheme="minorEastAsia" w:cstheme="minorEastAsia"/>
          <w:color w:val="auto"/>
          <w:spacing w:val="-13"/>
          <w:sz w:val="24"/>
          <w:szCs w:val="24"/>
        </w:rPr>
        <w:t>污</w:t>
      </w:r>
      <w:r>
        <w:rPr>
          <w:rFonts w:hint="eastAsia" w:asciiTheme="minorEastAsia" w:hAnsiTheme="minorEastAsia" w:eastAsiaTheme="minorEastAsia" w:cstheme="minorEastAsia"/>
          <w:color w:val="auto"/>
          <w:spacing w:val="-10"/>
          <w:sz w:val="24"/>
          <w:szCs w:val="24"/>
        </w:rPr>
        <w:t>水</w:t>
      </w:r>
      <w:r>
        <w:rPr>
          <w:rFonts w:hint="eastAsia" w:asciiTheme="minorEastAsia" w:hAnsiTheme="minorEastAsia" w:eastAsiaTheme="minorEastAsia" w:cstheme="minorEastAsia"/>
          <w:color w:val="auto"/>
          <w:spacing w:val="-13"/>
          <w:sz w:val="24"/>
          <w:szCs w:val="24"/>
        </w:rPr>
        <w:t>处</w:t>
      </w:r>
      <w:r>
        <w:rPr>
          <w:rFonts w:hint="eastAsia" w:asciiTheme="minorEastAsia" w:hAnsiTheme="minorEastAsia" w:eastAsiaTheme="minorEastAsia" w:cstheme="minorEastAsia"/>
          <w:color w:val="auto"/>
          <w:spacing w:val="-10"/>
          <w:sz w:val="24"/>
          <w:szCs w:val="24"/>
        </w:rPr>
        <w:t>理</w:t>
      </w:r>
      <w:r>
        <w:rPr>
          <w:rFonts w:hint="eastAsia" w:asciiTheme="minorEastAsia" w:hAnsiTheme="minorEastAsia" w:eastAsiaTheme="minorEastAsia" w:cstheme="minorEastAsia"/>
          <w:color w:val="auto"/>
          <w:spacing w:val="-13"/>
          <w:sz w:val="24"/>
          <w:szCs w:val="24"/>
        </w:rPr>
        <w:t>设</w:t>
      </w:r>
      <w:r>
        <w:rPr>
          <w:rFonts w:hint="eastAsia" w:asciiTheme="minorEastAsia" w:hAnsiTheme="minorEastAsia" w:eastAsiaTheme="minorEastAsia" w:cstheme="minorEastAsia"/>
          <w:color w:val="auto"/>
          <w:spacing w:val="-10"/>
          <w:sz w:val="24"/>
          <w:szCs w:val="24"/>
        </w:rPr>
        <w:t>施</w:t>
      </w:r>
      <w:r>
        <w:rPr>
          <w:rFonts w:hint="eastAsia" w:asciiTheme="minorEastAsia" w:hAnsiTheme="minorEastAsia" w:eastAsiaTheme="minorEastAsia" w:cstheme="minorEastAsia"/>
          <w:color w:val="auto"/>
          <w:spacing w:val="-13"/>
          <w:sz w:val="24"/>
          <w:szCs w:val="24"/>
        </w:rPr>
        <w:t>的</w:t>
      </w:r>
      <w:r>
        <w:rPr>
          <w:rFonts w:hint="eastAsia" w:asciiTheme="minorEastAsia" w:hAnsiTheme="minorEastAsia" w:eastAsiaTheme="minorEastAsia" w:cstheme="minorEastAsia"/>
          <w:color w:val="auto"/>
          <w:spacing w:val="-10"/>
          <w:sz w:val="24"/>
          <w:szCs w:val="24"/>
        </w:rPr>
        <w:t>建</w:t>
      </w:r>
      <w:r>
        <w:rPr>
          <w:rFonts w:hint="eastAsia" w:asciiTheme="minorEastAsia" w:hAnsiTheme="minorEastAsia" w:eastAsiaTheme="minorEastAsia" w:cstheme="minorEastAsia"/>
          <w:color w:val="auto"/>
          <w:spacing w:val="-13"/>
          <w:sz w:val="24"/>
          <w:szCs w:val="24"/>
        </w:rPr>
        <w:t>成</w:t>
      </w:r>
      <w:r>
        <w:rPr>
          <w:rFonts w:hint="eastAsia" w:asciiTheme="minorEastAsia" w:hAnsiTheme="minorEastAsia" w:eastAsiaTheme="minorEastAsia" w:cstheme="minorEastAsia"/>
          <w:color w:val="auto"/>
          <w:spacing w:val="-10"/>
          <w:sz w:val="24"/>
          <w:szCs w:val="24"/>
        </w:rPr>
        <w:t>在</w:t>
      </w:r>
      <w:r>
        <w:rPr>
          <w:rFonts w:hint="eastAsia" w:asciiTheme="minorEastAsia" w:hAnsiTheme="minorEastAsia" w:eastAsiaTheme="minorEastAsia" w:cstheme="minorEastAsia"/>
          <w:color w:val="auto"/>
          <w:spacing w:val="-13"/>
          <w:sz w:val="24"/>
          <w:szCs w:val="24"/>
        </w:rPr>
        <w:t>一</w:t>
      </w:r>
      <w:r>
        <w:rPr>
          <w:rFonts w:hint="eastAsia" w:asciiTheme="minorEastAsia" w:hAnsiTheme="minorEastAsia" w:eastAsiaTheme="minorEastAsia" w:cstheme="minorEastAsia"/>
          <w:color w:val="auto"/>
          <w:spacing w:val="-10"/>
          <w:sz w:val="24"/>
          <w:szCs w:val="24"/>
        </w:rPr>
        <w:t>定</w:t>
      </w:r>
      <w:r>
        <w:rPr>
          <w:rFonts w:hint="eastAsia" w:asciiTheme="minorEastAsia" w:hAnsiTheme="minorEastAsia" w:eastAsiaTheme="minorEastAsia" w:cstheme="minorEastAsia"/>
          <w:color w:val="auto"/>
          <w:spacing w:val="-13"/>
          <w:sz w:val="24"/>
          <w:szCs w:val="24"/>
        </w:rPr>
        <w:t>程</w:t>
      </w:r>
      <w:r>
        <w:rPr>
          <w:rFonts w:hint="eastAsia" w:asciiTheme="minorEastAsia" w:hAnsiTheme="minorEastAsia" w:eastAsiaTheme="minorEastAsia" w:cstheme="minorEastAsia"/>
          <w:color w:val="auto"/>
          <w:spacing w:val="-10"/>
          <w:sz w:val="24"/>
          <w:szCs w:val="24"/>
        </w:rPr>
        <w:t>度</w:t>
      </w:r>
      <w:r>
        <w:rPr>
          <w:rFonts w:hint="eastAsia" w:asciiTheme="minorEastAsia" w:hAnsiTheme="minorEastAsia" w:eastAsiaTheme="minorEastAsia" w:cstheme="minorEastAsia"/>
          <w:color w:val="auto"/>
          <w:spacing w:val="-13"/>
          <w:sz w:val="24"/>
          <w:szCs w:val="24"/>
        </w:rPr>
        <w:t>上</w:t>
      </w:r>
      <w:r>
        <w:rPr>
          <w:rFonts w:hint="eastAsia" w:asciiTheme="minorEastAsia" w:hAnsiTheme="minorEastAsia" w:eastAsiaTheme="minorEastAsia" w:cstheme="minorEastAsia"/>
          <w:color w:val="auto"/>
          <w:spacing w:val="-10"/>
          <w:sz w:val="24"/>
          <w:szCs w:val="24"/>
        </w:rPr>
        <w:t>削</w:t>
      </w:r>
      <w:r>
        <w:rPr>
          <w:rFonts w:hint="eastAsia" w:asciiTheme="minorEastAsia" w:hAnsiTheme="minorEastAsia" w:eastAsiaTheme="minorEastAsia" w:cstheme="minorEastAsia"/>
          <w:color w:val="auto"/>
          <w:spacing w:val="-13"/>
          <w:sz w:val="24"/>
          <w:szCs w:val="24"/>
        </w:rPr>
        <w:t>减</w:t>
      </w:r>
      <w:r>
        <w:rPr>
          <w:rFonts w:hint="eastAsia" w:asciiTheme="minorEastAsia" w:hAnsiTheme="minorEastAsia" w:eastAsiaTheme="minorEastAsia" w:cstheme="minorEastAsia"/>
          <w:color w:val="auto"/>
          <w:spacing w:val="-10"/>
          <w:sz w:val="24"/>
          <w:szCs w:val="24"/>
        </w:rPr>
        <w:t>了</w:t>
      </w:r>
      <w:r>
        <w:rPr>
          <w:rFonts w:hint="eastAsia" w:asciiTheme="minorEastAsia" w:hAnsiTheme="minorEastAsia" w:eastAsiaTheme="minorEastAsia" w:cstheme="minorEastAsia"/>
          <w:color w:val="auto"/>
          <w:spacing w:val="-13"/>
          <w:sz w:val="24"/>
          <w:szCs w:val="24"/>
        </w:rPr>
        <w:t>农</w:t>
      </w:r>
      <w:r>
        <w:rPr>
          <w:rFonts w:hint="eastAsia" w:asciiTheme="minorEastAsia" w:hAnsiTheme="minorEastAsia" w:eastAsiaTheme="minorEastAsia" w:cstheme="minorEastAsia"/>
          <w:color w:val="auto"/>
          <w:spacing w:val="-10"/>
          <w:sz w:val="24"/>
          <w:szCs w:val="24"/>
        </w:rPr>
        <w:t>村</w:t>
      </w:r>
      <w:r>
        <w:rPr>
          <w:rFonts w:hint="eastAsia" w:asciiTheme="minorEastAsia" w:hAnsiTheme="minorEastAsia" w:eastAsiaTheme="minorEastAsia" w:cstheme="minorEastAsia"/>
          <w:color w:val="auto"/>
          <w:spacing w:val="-13"/>
          <w:sz w:val="24"/>
          <w:szCs w:val="24"/>
        </w:rPr>
        <w:t>生</w:t>
      </w:r>
      <w:r>
        <w:rPr>
          <w:rFonts w:hint="eastAsia" w:asciiTheme="minorEastAsia" w:hAnsiTheme="minorEastAsia" w:eastAsiaTheme="minorEastAsia" w:cstheme="minorEastAsia"/>
          <w:color w:val="auto"/>
          <w:spacing w:val="-10"/>
          <w:sz w:val="24"/>
          <w:szCs w:val="24"/>
        </w:rPr>
        <w:t>活</w:t>
      </w:r>
      <w:r>
        <w:rPr>
          <w:rFonts w:hint="eastAsia" w:asciiTheme="minorEastAsia" w:hAnsiTheme="minorEastAsia" w:eastAsiaTheme="minorEastAsia" w:cstheme="minorEastAsia"/>
          <w:color w:val="auto"/>
          <w:spacing w:val="-13"/>
          <w:sz w:val="24"/>
          <w:szCs w:val="24"/>
        </w:rPr>
        <w:t>污</w:t>
      </w:r>
      <w:r>
        <w:rPr>
          <w:rFonts w:hint="eastAsia" w:asciiTheme="minorEastAsia" w:hAnsiTheme="minorEastAsia" w:eastAsiaTheme="minorEastAsia" w:cstheme="minorEastAsia"/>
          <w:color w:val="auto"/>
          <w:spacing w:val="-10"/>
          <w:sz w:val="24"/>
          <w:szCs w:val="24"/>
        </w:rPr>
        <w:t>水</w:t>
      </w:r>
      <w:r>
        <w:rPr>
          <w:rFonts w:hint="eastAsia" w:asciiTheme="minorEastAsia" w:hAnsiTheme="minorEastAsia" w:eastAsiaTheme="minorEastAsia" w:cstheme="minorEastAsia"/>
          <w:color w:val="auto"/>
          <w:sz w:val="24"/>
          <w:szCs w:val="24"/>
        </w:rPr>
        <w:t>对</w:t>
      </w:r>
      <w:r>
        <w:rPr>
          <w:rFonts w:hint="eastAsia" w:asciiTheme="minorEastAsia" w:hAnsiTheme="minorEastAsia" w:eastAsiaTheme="minorEastAsia" w:cstheme="minorEastAsia"/>
          <w:color w:val="auto"/>
          <w:spacing w:val="-15"/>
          <w:sz w:val="24"/>
          <w:szCs w:val="24"/>
        </w:rPr>
        <w:t>周边</w:t>
      </w:r>
      <w:r>
        <w:rPr>
          <w:rFonts w:hint="eastAsia" w:asciiTheme="minorEastAsia" w:hAnsiTheme="minorEastAsia" w:eastAsiaTheme="minorEastAsia" w:cstheme="minorEastAsia"/>
          <w:color w:val="auto"/>
          <w:sz w:val="24"/>
          <w:szCs w:val="24"/>
        </w:rPr>
        <w:t>环</w:t>
      </w:r>
      <w:r>
        <w:rPr>
          <w:rFonts w:hint="eastAsia" w:asciiTheme="minorEastAsia" w:hAnsiTheme="minorEastAsia" w:eastAsiaTheme="minorEastAsia" w:cstheme="minorEastAsia"/>
          <w:color w:val="auto"/>
          <w:spacing w:val="-15"/>
          <w:sz w:val="24"/>
          <w:szCs w:val="24"/>
        </w:rPr>
        <w:t>境的</w:t>
      </w:r>
      <w:r>
        <w:rPr>
          <w:rFonts w:hint="eastAsia" w:asciiTheme="minorEastAsia" w:hAnsiTheme="minorEastAsia" w:eastAsiaTheme="minorEastAsia" w:cstheme="minorEastAsia"/>
          <w:color w:val="auto"/>
          <w:spacing w:val="-17"/>
          <w:sz w:val="24"/>
          <w:szCs w:val="24"/>
        </w:rPr>
        <w:t>污</w:t>
      </w:r>
      <w:r>
        <w:rPr>
          <w:rFonts w:hint="eastAsia" w:asciiTheme="minorEastAsia" w:hAnsiTheme="minorEastAsia" w:eastAsiaTheme="minorEastAsia" w:cstheme="minorEastAsia"/>
          <w:color w:val="auto"/>
          <w:spacing w:val="-15"/>
          <w:sz w:val="24"/>
          <w:szCs w:val="24"/>
        </w:rPr>
        <w:t>染，改善了</w:t>
      </w:r>
      <w:r>
        <w:rPr>
          <w:rFonts w:hint="eastAsia" w:asciiTheme="minorEastAsia" w:hAnsiTheme="minorEastAsia" w:eastAsiaTheme="minorEastAsia" w:cstheme="minorEastAsia"/>
          <w:color w:val="auto"/>
          <w:spacing w:val="-17"/>
          <w:sz w:val="24"/>
          <w:szCs w:val="24"/>
        </w:rPr>
        <w:t>村</w:t>
      </w:r>
      <w:r>
        <w:rPr>
          <w:rFonts w:hint="eastAsia" w:asciiTheme="minorEastAsia" w:hAnsiTheme="minorEastAsia" w:eastAsiaTheme="minorEastAsia" w:cstheme="minorEastAsia"/>
          <w:color w:val="auto"/>
          <w:spacing w:val="-15"/>
          <w:sz w:val="24"/>
          <w:szCs w:val="24"/>
        </w:rPr>
        <w:t>民的居住环</w:t>
      </w:r>
      <w:r>
        <w:rPr>
          <w:rFonts w:hint="eastAsia" w:asciiTheme="minorEastAsia" w:hAnsiTheme="minorEastAsia" w:eastAsiaTheme="minorEastAsia" w:cstheme="minorEastAsia"/>
          <w:color w:val="auto"/>
          <w:spacing w:val="-17"/>
          <w:sz w:val="24"/>
          <w:szCs w:val="24"/>
        </w:rPr>
        <w:t>境</w:t>
      </w:r>
      <w:r>
        <w:rPr>
          <w:rFonts w:hint="eastAsia" w:asciiTheme="minorEastAsia" w:hAnsiTheme="minorEastAsia" w:eastAsiaTheme="minorEastAsia" w:cstheme="minorEastAsia"/>
          <w:color w:val="auto"/>
          <w:spacing w:val="-15"/>
          <w:sz w:val="24"/>
          <w:szCs w:val="24"/>
        </w:rPr>
        <w:t>，可起到一</w:t>
      </w:r>
      <w:r>
        <w:rPr>
          <w:rFonts w:hint="eastAsia" w:asciiTheme="minorEastAsia" w:hAnsiTheme="minorEastAsia" w:eastAsiaTheme="minorEastAsia" w:cstheme="minorEastAsia"/>
          <w:color w:val="auto"/>
          <w:spacing w:val="-17"/>
          <w:sz w:val="24"/>
          <w:szCs w:val="24"/>
        </w:rPr>
        <w:t>定</w:t>
      </w:r>
      <w:r>
        <w:rPr>
          <w:rFonts w:hint="eastAsia" w:asciiTheme="minorEastAsia" w:hAnsiTheme="minorEastAsia" w:eastAsiaTheme="minorEastAsia" w:cstheme="minorEastAsia"/>
          <w:color w:val="auto"/>
          <w:spacing w:val="-15"/>
          <w:sz w:val="24"/>
          <w:szCs w:val="24"/>
        </w:rPr>
        <w:t>的示范性</w:t>
      </w:r>
      <w:r>
        <w:rPr>
          <w:rFonts w:hint="eastAsia" w:asciiTheme="minorEastAsia" w:hAnsiTheme="minorEastAsia" w:eastAsiaTheme="minorEastAsia" w:cstheme="minorEastAsia"/>
          <w:color w:val="auto"/>
          <w:sz w:val="24"/>
          <w:szCs w:val="24"/>
        </w:rPr>
        <w:t>作</w:t>
      </w:r>
      <w:r>
        <w:rPr>
          <w:rFonts w:hint="eastAsia" w:asciiTheme="minorEastAsia" w:hAnsiTheme="minorEastAsia" w:eastAsiaTheme="minorEastAsia" w:cstheme="minorEastAsia"/>
          <w:color w:val="auto"/>
          <w:spacing w:val="-17"/>
          <w:sz w:val="24"/>
          <w:szCs w:val="24"/>
        </w:rPr>
        <w:t>用</w:t>
      </w:r>
      <w:r>
        <w:rPr>
          <w:rFonts w:hint="eastAsia" w:asciiTheme="minorEastAsia" w:hAnsiTheme="minorEastAsia" w:eastAsiaTheme="minorEastAsia" w:cstheme="minorEastAsia"/>
          <w:color w:val="auto"/>
          <w:spacing w:val="-15"/>
          <w:sz w:val="24"/>
          <w:szCs w:val="24"/>
        </w:rPr>
        <w:t>，</w:t>
      </w:r>
      <w:r>
        <w:rPr>
          <w:rFonts w:hint="eastAsia" w:asciiTheme="minorEastAsia" w:hAnsiTheme="minorEastAsia" w:eastAsiaTheme="minorEastAsia" w:cstheme="minorEastAsia"/>
          <w:color w:val="auto"/>
          <w:spacing w:val="-17"/>
          <w:sz w:val="24"/>
          <w:szCs w:val="24"/>
        </w:rPr>
        <w:t>但</w:t>
      </w:r>
      <w:r>
        <w:rPr>
          <w:rFonts w:hint="eastAsia" w:asciiTheme="minorEastAsia" w:hAnsiTheme="minorEastAsia" w:eastAsiaTheme="minorEastAsia" w:cstheme="minorEastAsia"/>
          <w:color w:val="auto"/>
          <w:sz w:val="24"/>
          <w:szCs w:val="24"/>
        </w:rPr>
        <w:t>对</w:t>
      </w:r>
      <w:r>
        <w:rPr>
          <w:rFonts w:hint="eastAsia" w:asciiTheme="minorEastAsia" w:hAnsiTheme="minorEastAsia" w:eastAsiaTheme="minorEastAsia" w:cstheme="minorEastAsia"/>
          <w:color w:val="auto"/>
          <w:spacing w:val="-17"/>
          <w:sz w:val="24"/>
          <w:szCs w:val="24"/>
        </w:rPr>
        <w:t>于</w:t>
      </w:r>
      <w:r>
        <w:rPr>
          <w:rFonts w:hint="eastAsia" w:asciiTheme="minorEastAsia" w:hAnsiTheme="minorEastAsia" w:eastAsiaTheme="minorEastAsia" w:cstheme="minorEastAsia"/>
          <w:color w:val="auto"/>
          <w:spacing w:val="-15"/>
          <w:sz w:val="24"/>
          <w:szCs w:val="24"/>
        </w:rPr>
        <w:t>全</w:t>
      </w:r>
      <w:r>
        <w:rPr>
          <w:rFonts w:hint="eastAsia" w:asciiTheme="minorEastAsia" w:hAnsiTheme="minorEastAsia" w:eastAsiaTheme="minorEastAsia" w:cstheme="minorEastAsia"/>
          <w:color w:val="auto"/>
          <w:spacing w:val="-17"/>
          <w:sz w:val="24"/>
          <w:szCs w:val="24"/>
        </w:rPr>
        <w:t>市</w:t>
      </w:r>
      <w:r>
        <w:rPr>
          <w:rFonts w:hint="eastAsia" w:asciiTheme="minorEastAsia" w:hAnsiTheme="minorEastAsia" w:eastAsiaTheme="minorEastAsia" w:cstheme="minorEastAsia"/>
          <w:color w:val="auto"/>
          <w:spacing w:val="-15"/>
          <w:sz w:val="24"/>
          <w:szCs w:val="24"/>
        </w:rPr>
        <w:t>来</w:t>
      </w:r>
      <w:r>
        <w:rPr>
          <w:rFonts w:hint="eastAsia" w:asciiTheme="minorEastAsia" w:hAnsiTheme="minorEastAsia" w:eastAsiaTheme="minorEastAsia" w:cstheme="minorEastAsia"/>
          <w:color w:val="auto"/>
          <w:spacing w:val="-17"/>
          <w:sz w:val="24"/>
          <w:szCs w:val="24"/>
        </w:rPr>
        <w:t>说，</w:t>
      </w:r>
      <w:r>
        <w:rPr>
          <w:rFonts w:hint="eastAsia" w:asciiTheme="minorEastAsia" w:hAnsiTheme="minorEastAsia" w:eastAsiaTheme="minorEastAsia" w:cstheme="minorEastAsia"/>
          <w:color w:val="auto"/>
          <w:spacing w:val="-15"/>
          <w:sz w:val="24"/>
          <w:szCs w:val="24"/>
        </w:rPr>
        <w:t>农</w:t>
      </w:r>
      <w:r>
        <w:rPr>
          <w:rFonts w:hint="eastAsia" w:asciiTheme="minorEastAsia" w:hAnsiTheme="minorEastAsia" w:eastAsiaTheme="minorEastAsia" w:cstheme="minorEastAsia"/>
          <w:color w:val="auto"/>
          <w:spacing w:val="-17"/>
          <w:sz w:val="24"/>
          <w:szCs w:val="24"/>
        </w:rPr>
        <w:t>村</w:t>
      </w:r>
      <w:r>
        <w:rPr>
          <w:rFonts w:hint="eastAsia" w:asciiTheme="minorEastAsia" w:hAnsiTheme="minorEastAsia" w:eastAsiaTheme="minorEastAsia" w:cstheme="minorEastAsia"/>
          <w:color w:val="auto"/>
          <w:spacing w:val="-15"/>
          <w:sz w:val="24"/>
          <w:szCs w:val="24"/>
        </w:rPr>
        <w:t>污</w:t>
      </w:r>
      <w:r>
        <w:rPr>
          <w:rFonts w:hint="eastAsia" w:asciiTheme="minorEastAsia" w:hAnsiTheme="minorEastAsia" w:eastAsiaTheme="minorEastAsia" w:cstheme="minorEastAsia"/>
          <w:color w:val="auto"/>
          <w:spacing w:val="-17"/>
          <w:sz w:val="24"/>
          <w:szCs w:val="24"/>
        </w:rPr>
        <w:t>水</w:t>
      </w:r>
      <w:r>
        <w:rPr>
          <w:rFonts w:hint="eastAsia" w:asciiTheme="minorEastAsia" w:hAnsiTheme="minorEastAsia" w:eastAsiaTheme="minorEastAsia" w:cstheme="minorEastAsia"/>
          <w:color w:val="auto"/>
          <w:spacing w:val="-15"/>
          <w:sz w:val="24"/>
          <w:szCs w:val="24"/>
        </w:rPr>
        <w:t>处</w:t>
      </w:r>
      <w:r>
        <w:rPr>
          <w:rFonts w:hint="eastAsia" w:asciiTheme="minorEastAsia" w:hAnsiTheme="minorEastAsia" w:eastAsiaTheme="minorEastAsia" w:cstheme="minorEastAsia"/>
          <w:color w:val="auto"/>
          <w:spacing w:val="-17"/>
          <w:sz w:val="24"/>
          <w:szCs w:val="24"/>
        </w:rPr>
        <w:t>理设</w:t>
      </w:r>
      <w:r>
        <w:rPr>
          <w:rFonts w:hint="eastAsia" w:asciiTheme="minorEastAsia" w:hAnsiTheme="minorEastAsia" w:eastAsiaTheme="minorEastAsia" w:cstheme="minorEastAsia"/>
          <w:color w:val="auto"/>
          <w:spacing w:val="-15"/>
          <w:sz w:val="24"/>
          <w:szCs w:val="24"/>
        </w:rPr>
        <w:t>施</w:t>
      </w:r>
      <w:r>
        <w:rPr>
          <w:rFonts w:hint="eastAsia" w:asciiTheme="minorEastAsia" w:hAnsiTheme="minorEastAsia" w:eastAsiaTheme="minorEastAsia" w:cstheme="minorEastAsia"/>
          <w:color w:val="auto"/>
          <w:spacing w:val="-17"/>
          <w:sz w:val="24"/>
          <w:szCs w:val="24"/>
        </w:rPr>
        <w:t>建</w:t>
      </w:r>
      <w:r>
        <w:rPr>
          <w:rFonts w:hint="eastAsia" w:asciiTheme="minorEastAsia" w:hAnsiTheme="minorEastAsia" w:eastAsiaTheme="minorEastAsia" w:cstheme="minorEastAsia"/>
          <w:color w:val="auto"/>
          <w:spacing w:val="-15"/>
          <w:sz w:val="24"/>
          <w:szCs w:val="24"/>
        </w:rPr>
        <w:t>设</w:t>
      </w:r>
      <w:r>
        <w:rPr>
          <w:rFonts w:hint="eastAsia" w:asciiTheme="minorEastAsia" w:hAnsiTheme="minorEastAsia" w:eastAsiaTheme="minorEastAsia" w:cstheme="minorEastAsia"/>
          <w:color w:val="auto"/>
          <w:spacing w:val="-17"/>
          <w:sz w:val="24"/>
          <w:szCs w:val="24"/>
        </w:rPr>
        <w:t>力度</w:t>
      </w:r>
      <w:r>
        <w:rPr>
          <w:rFonts w:hint="eastAsia" w:asciiTheme="minorEastAsia" w:hAnsiTheme="minorEastAsia" w:eastAsiaTheme="minorEastAsia" w:cstheme="minorEastAsia"/>
          <w:color w:val="auto"/>
          <w:spacing w:val="-15"/>
          <w:sz w:val="24"/>
          <w:szCs w:val="24"/>
        </w:rPr>
        <w:t>仍</w:t>
      </w:r>
      <w:r>
        <w:rPr>
          <w:rFonts w:hint="eastAsia" w:asciiTheme="minorEastAsia" w:hAnsiTheme="minorEastAsia" w:eastAsiaTheme="minorEastAsia" w:cstheme="minorEastAsia"/>
          <w:color w:val="auto"/>
          <w:spacing w:val="-17"/>
          <w:sz w:val="24"/>
          <w:szCs w:val="24"/>
        </w:rPr>
        <w:t>较</w:t>
      </w:r>
      <w:r>
        <w:rPr>
          <w:rFonts w:hint="eastAsia" w:asciiTheme="minorEastAsia" w:hAnsiTheme="minorEastAsia" w:eastAsiaTheme="minorEastAsia" w:cstheme="minorEastAsia"/>
          <w:color w:val="auto"/>
          <w:spacing w:val="-15"/>
          <w:sz w:val="24"/>
          <w:szCs w:val="24"/>
        </w:rPr>
        <w:t>为</w:t>
      </w:r>
      <w:r>
        <w:rPr>
          <w:rFonts w:hint="eastAsia" w:asciiTheme="minorEastAsia" w:hAnsiTheme="minorEastAsia" w:eastAsiaTheme="minorEastAsia" w:cstheme="minorEastAsia"/>
          <w:color w:val="auto"/>
          <w:spacing w:val="-17"/>
          <w:sz w:val="24"/>
          <w:szCs w:val="24"/>
        </w:rPr>
        <w:t>薄</w:t>
      </w:r>
      <w:r>
        <w:rPr>
          <w:rFonts w:hint="eastAsia" w:asciiTheme="minorEastAsia" w:hAnsiTheme="minorEastAsia" w:eastAsiaTheme="minorEastAsia" w:cstheme="minorEastAsia"/>
          <w:color w:val="auto"/>
          <w:spacing w:val="-15"/>
          <w:sz w:val="24"/>
          <w:szCs w:val="24"/>
        </w:rPr>
        <w:t>弱</w:t>
      </w:r>
      <w:r>
        <w:rPr>
          <w:rFonts w:hint="eastAsia" w:asciiTheme="minorEastAsia" w:hAnsiTheme="minorEastAsia" w:eastAsiaTheme="minorEastAsia" w:cstheme="minorEastAsia"/>
          <w:color w:val="auto"/>
          <w:sz w:val="24"/>
          <w:szCs w:val="24"/>
        </w:rPr>
        <w:t>。</w:t>
      </w:r>
    </w:p>
    <w:p>
      <w:pPr>
        <w:pStyle w:val="10"/>
        <w:spacing w:line="500" w:lineRule="exact"/>
        <w:ind w:firstLine="42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3"/>
          <w:sz w:val="24"/>
          <w:szCs w:val="24"/>
        </w:rPr>
        <w:t>随着罗定市“美丽乡村”建设工作的开展，在全省全力推进农村人居环境综合整治的大形势下，罗定市正着力补齐农村生态环境短板，改善农村的生产生活条件，持续开展环境问题大整治大行动，村级生活污水处理设施的建设则迎来了新一轮的发展契机。</w:t>
      </w:r>
    </w:p>
    <w:p>
      <w:pPr>
        <w:pStyle w:val="3"/>
        <w:numPr>
          <w:ilvl w:val="1"/>
          <w:numId w:val="8"/>
        </w:numPr>
        <w:tabs>
          <w:tab w:val="left" w:pos="1548"/>
        </w:tabs>
        <w:adjustRightInd/>
        <w:snapToGrid/>
        <w:spacing w:line="500" w:lineRule="exact"/>
        <w:ind w:left="0" w:firstLine="0"/>
        <w:jc w:val="both"/>
        <w:rPr>
          <w:rFonts w:asciiTheme="minorEastAsia" w:hAnsiTheme="minorEastAsia" w:eastAsiaTheme="minorEastAsia" w:cstheme="minorEastAsia"/>
          <w:color w:val="auto"/>
          <w:sz w:val="24"/>
          <w:szCs w:val="24"/>
        </w:rPr>
      </w:pPr>
      <w:bookmarkStart w:id="42" w:name="3.4存在问题"/>
      <w:bookmarkEnd w:id="42"/>
      <w:bookmarkStart w:id="43" w:name="_Toc21225"/>
      <w:bookmarkStart w:id="44" w:name="_Toc12956"/>
      <w:r>
        <w:rPr>
          <w:rFonts w:hint="eastAsia" w:asciiTheme="minorEastAsia" w:hAnsiTheme="minorEastAsia" w:eastAsiaTheme="minorEastAsia" w:cstheme="minorEastAsia"/>
          <w:color w:val="auto"/>
          <w:sz w:val="24"/>
          <w:szCs w:val="24"/>
        </w:rPr>
        <w:t>存在问题</w:t>
      </w:r>
      <w:bookmarkEnd w:id="43"/>
      <w:bookmarkEnd w:id="44"/>
    </w:p>
    <w:p>
      <w:pPr>
        <w:pStyle w:val="32"/>
        <w:numPr>
          <w:ilvl w:val="0"/>
          <w:numId w:val="9"/>
        </w:numPr>
        <w:tabs>
          <w:tab w:val="left" w:pos="1402"/>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统一收集难度大农村地域面积广，人口居住分散，规划滞 后，农村污水处理工作难度很大，</w:t>
      </w:r>
      <w:r>
        <w:rPr>
          <w:rFonts w:hint="eastAsia" w:asciiTheme="minorEastAsia" w:hAnsiTheme="minorEastAsia" w:eastAsiaTheme="minorEastAsia" w:cstheme="minorEastAsia"/>
          <w:color w:val="auto"/>
          <w:spacing w:val="-3"/>
          <w:sz w:val="24"/>
          <w:szCs w:val="24"/>
        </w:rPr>
        <w:t>96</w:t>
      </w:r>
      <w:r>
        <w:rPr>
          <w:rFonts w:hint="eastAsia" w:asciiTheme="minorEastAsia" w:hAnsiTheme="minorEastAsia" w:eastAsiaTheme="minorEastAsia" w:cstheme="minorEastAsia"/>
          <w:color w:val="auto"/>
          <w:spacing w:val="-6"/>
          <w:sz w:val="24"/>
          <w:szCs w:val="24"/>
        </w:rPr>
        <w:t>%以上的村庄没有排水管道，乱</w:t>
      </w:r>
      <w:r>
        <w:rPr>
          <w:rFonts w:hint="eastAsia" w:asciiTheme="minorEastAsia" w:hAnsiTheme="minorEastAsia" w:eastAsiaTheme="minorEastAsia" w:cstheme="minorEastAsia"/>
          <w:color w:val="auto"/>
          <w:spacing w:val="-5"/>
          <w:sz w:val="24"/>
          <w:szCs w:val="24"/>
        </w:rPr>
        <w:t>排乱倒现象严重，雨水、污水和尿液大多一起排入坑塘，农村生活污水的收集问题是制约农村污水治理的直接原因。</w:t>
      </w:r>
    </w:p>
    <w:p>
      <w:pPr>
        <w:pStyle w:val="32"/>
        <w:numPr>
          <w:ilvl w:val="0"/>
          <w:numId w:val="9"/>
        </w:numPr>
        <w:tabs>
          <w:tab w:val="left" w:pos="1352"/>
        </w:tabs>
        <w:spacing w:line="500" w:lineRule="exact"/>
        <w:ind w:left="0" w:firstLine="44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0"/>
          <w:sz w:val="24"/>
          <w:szCs w:val="24"/>
        </w:rPr>
        <w:t>建设用地问题突出 推进农村污水收集和处理设施过程中，最大的问题仍是土地问题，通常难以选取合适的建设用地，导致建设受</w:t>
      </w:r>
      <w:r>
        <w:rPr>
          <w:rFonts w:hint="eastAsia" w:asciiTheme="minorEastAsia" w:hAnsiTheme="minorEastAsia" w:eastAsiaTheme="minorEastAsia" w:cstheme="minorEastAsia"/>
          <w:color w:val="auto"/>
          <w:spacing w:val="-3"/>
          <w:sz w:val="24"/>
          <w:szCs w:val="24"/>
        </w:rPr>
        <w:t>阻。</w:t>
      </w:r>
    </w:p>
    <w:p>
      <w:pPr>
        <w:pStyle w:val="32"/>
        <w:numPr>
          <w:ilvl w:val="0"/>
          <w:numId w:val="9"/>
        </w:numPr>
        <w:tabs>
          <w:tab w:val="left" w:pos="1352"/>
        </w:tabs>
        <w:spacing w:line="500" w:lineRule="exact"/>
        <w:ind w:left="0" w:firstLine="420" w:firstLineChars="20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已建站点多缺乏统一运营管理，导致运行情况不佳或处理功能缺失区内尚没有系统考虑推进运行维护管理规范化的举措和要求，此外，居民对污水治理措施 也不够珍惜，存在随意损坏设施的情况。人员管理不够到位，尤其村级层面，除个别村安排了水电工或保洁人员兼职管理外，大多数村设施运行维护基本处于失管状态。</w:t>
      </w:r>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设施运行维护水平不高，部分未纳管项目较长时间未能通过综合验收，也未能列入正常监 管和水质检测范畴。部分设施损坏率高，运行情况不佳，有的已完全失效。污水管网运行管理 尚有欠缺，输送不畅、管网滞留现象频发，造成有效处理水平低。</w:t>
      </w:r>
    </w:p>
    <w:p>
      <w:pPr>
        <w:pStyle w:val="3"/>
        <w:numPr>
          <w:ilvl w:val="1"/>
          <w:numId w:val="8"/>
        </w:numPr>
        <w:tabs>
          <w:tab w:val="left" w:pos="1548"/>
        </w:tabs>
        <w:adjustRightInd/>
        <w:snapToGrid/>
        <w:spacing w:line="500" w:lineRule="exact"/>
        <w:ind w:left="0" w:firstLine="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lang w:val="en-US"/>
        </w:rPr>
        <w:t xml:space="preserve"> </w:t>
      </w:r>
      <w:bookmarkStart w:id="45" w:name="_Toc16301"/>
      <w:r>
        <w:rPr>
          <w:rFonts w:hint="eastAsia" w:asciiTheme="minorEastAsia" w:hAnsiTheme="minorEastAsia" w:eastAsiaTheme="minorEastAsia" w:cstheme="minorEastAsia"/>
          <w:color w:val="auto"/>
          <w:sz w:val="24"/>
          <w:szCs w:val="24"/>
        </w:rPr>
        <w:t>相关规划概况</w:t>
      </w:r>
      <w:bookmarkEnd w:id="45"/>
    </w:p>
    <w:p>
      <w:pPr>
        <w:pStyle w:val="32"/>
        <w:numPr>
          <w:ilvl w:val="2"/>
          <w:numId w:val="8"/>
        </w:numPr>
        <w:tabs>
          <w:tab w:val="left" w:pos="1690"/>
        </w:tabs>
        <w:spacing w:line="500" w:lineRule="exact"/>
        <w:ind w:left="0" w:firstLine="40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pacing w:val="-8"/>
          <w:w w:val="90"/>
          <w:sz w:val="24"/>
          <w:szCs w:val="24"/>
        </w:rPr>
        <w:t>《广东省农村生活污水治理攻坚实施方案</w:t>
      </w:r>
      <w:r>
        <w:rPr>
          <w:rFonts w:hint="eastAsia" w:asciiTheme="minorEastAsia" w:hAnsiTheme="minorEastAsia" w:eastAsiaTheme="minorEastAsia" w:cstheme="minorEastAsia"/>
          <w:b/>
          <w:color w:val="auto"/>
          <w:spacing w:val="-7"/>
          <w:w w:val="90"/>
          <w:sz w:val="24"/>
          <w:szCs w:val="24"/>
        </w:rPr>
        <w:t xml:space="preserve">（2019-2022 </w:t>
      </w:r>
      <w:r>
        <w:rPr>
          <w:rFonts w:hint="eastAsia" w:asciiTheme="minorEastAsia" w:hAnsiTheme="minorEastAsia" w:eastAsiaTheme="minorEastAsia" w:cstheme="minorEastAsia"/>
          <w:b/>
          <w:color w:val="auto"/>
          <w:spacing w:val="-10"/>
          <w:sz w:val="24"/>
          <w:szCs w:val="24"/>
        </w:rPr>
        <w:t>年）》（</w:t>
      </w:r>
      <w:r>
        <w:rPr>
          <w:rFonts w:hint="eastAsia" w:asciiTheme="minorEastAsia" w:hAnsiTheme="minorEastAsia" w:eastAsiaTheme="minorEastAsia" w:cstheme="minorEastAsia"/>
          <w:b/>
          <w:color w:val="auto"/>
          <w:spacing w:val="-13"/>
          <w:sz w:val="24"/>
          <w:szCs w:val="24"/>
        </w:rPr>
        <w:t>粤环函【</w:t>
      </w:r>
      <w:r>
        <w:rPr>
          <w:rFonts w:hint="eastAsia" w:asciiTheme="minorEastAsia" w:hAnsiTheme="minorEastAsia" w:eastAsiaTheme="minorEastAsia" w:cstheme="minorEastAsia"/>
          <w:b/>
          <w:color w:val="auto"/>
          <w:spacing w:val="-11"/>
          <w:sz w:val="24"/>
          <w:szCs w:val="24"/>
        </w:rPr>
        <w:t>2019</w:t>
      </w:r>
      <w:r>
        <w:rPr>
          <w:rFonts w:hint="eastAsia" w:asciiTheme="minorEastAsia" w:hAnsiTheme="minorEastAsia" w:eastAsiaTheme="minorEastAsia" w:cstheme="minorEastAsia"/>
          <w:b/>
          <w:color w:val="auto"/>
          <w:spacing w:val="-10"/>
          <w:sz w:val="24"/>
          <w:szCs w:val="24"/>
        </w:rPr>
        <w:t>】</w:t>
      </w:r>
      <w:r>
        <w:rPr>
          <w:rFonts w:hint="eastAsia" w:asciiTheme="minorEastAsia" w:hAnsiTheme="minorEastAsia" w:eastAsiaTheme="minorEastAsia" w:cstheme="minorEastAsia"/>
          <w:b/>
          <w:color w:val="auto"/>
          <w:spacing w:val="-5"/>
          <w:sz w:val="24"/>
          <w:szCs w:val="24"/>
        </w:rPr>
        <w:t>1116</w:t>
      </w:r>
      <w:r>
        <w:rPr>
          <w:rFonts w:hint="eastAsia" w:asciiTheme="minorEastAsia" w:hAnsiTheme="minorEastAsia" w:eastAsiaTheme="minorEastAsia" w:cstheme="minorEastAsia"/>
          <w:b/>
          <w:color w:val="auto"/>
          <w:spacing w:val="-43"/>
          <w:sz w:val="24"/>
          <w:szCs w:val="24"/>
        </w:rPr>
        <w:t>号文</w:t>
      </w:r>
      <w:r>
        <w:rPr>
          <w:rFonts w:hint="eastAsia" w:asciiTheme="minorEastAsia" w:hAnsiTheme="minorEastAsia" w:eastAsiaTheme="minorEastAsia" w:cstheme="minorEastAsia"/>
          <w:b/>
          <w:color w:val="auto"/>
          <w:sz w:val="24"/>
          <w:szCs w:val="24"/>
        </w:rPr>
        <w:t>）</w:t>
      </w:r>
    </w:p>
    <w:p>
      <w:pPr>
        <w:pStyle w:val="32"/>
        <w:numPr>
          <w:ilvl w:val="3"/>
          <w:numId w:val="8"/>
        </w:numPr>
        <w:tabs>
          <w:tab w:val="left" w:pos="2000"/>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生活污水处理目标</w:t>
      </w:r>
    </w:p>
    <w:p>
      <w:pPr>
        <w:pStyle w:val="10"/>
        <w:spacing w:line="500" w:lineRule="exact"/>
        <w:ind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2022</w:t>
      </w:r>
      <w:r>
        <w:rPr>
          <w:rFonts w:hint="eastAsia" w:asciiTheme="minorEastAsia" w:hAnsiTheme="minorEastAsia" w:eastAsiaTheme="minorEastAsia" w:cstheme="minorEastAsia"/>
          <w:color w:val="auto"/>
          <w:spacing w:val="-22"/>
          <w:sz w:val="24"/>
          <w:szCs w:val="24"/>
        </w:rPr>
        <w:t xml:space="preserve"> 年年底前，全省农村生活污水治理水平不断提升，全省村庄生</w:t>
      </w:r>
      <w:r>
        <w:rPr>
          <w:rFonts w:hint="eastAsia" w:asciiTheme="minorEastAsia" w:hAnsiTheme="minorEastAsia" w:eastAsiaTheme="minorEastAsia" w:cstheme="minorEastAsia"/>
          <w:color w:val="auto"/>
          <w:spacing w:val="-18"/>
          <w:sz w:val="24"/>
          <w:szCs w:val="24"/>
        </w:rPr>
        <w:t>活污水治理率提高至</w:t>
      </w:r>
      <w:r>
        <w:rPr>
          <w:rFonts w:hint="eastAsia" w:asciiTheme="minorEastAsia" w:hAnsiTheme="minorEastAsia" w:eastAsiaTheme="minorEastAsia" w:cstheme="minorEastAsia"/>
          <w:color w:val="auto"/>
          <w:spacing w:val="-13"/>
          <w:sz w:val="24"/>
          <w:szCs w:val="24"/>
        </w:rPr>
        <w:t>60</w:t>
      </w:r>
      <w:r>
        <w:rPr>
          <w:rFonts w:hint="eastAsia" w:asciiTheme="minorEastAsia" w:hAnsiTheme="minorEastAsia" w:eastAsiaTheme="minorEastAsia" w:cstheme="minorEastAsia"/>
          <w:color w:val="auto"/>
          <w:spacing w:val="-18"/>
          <w:sz w:val="24"/>
          <w:szCs w:val="24"/>
        </w:rPr>
        <w:t>%以上，粤东西北地区</w:t>
      </w:r>
      <w:r>
        <w:rPr>
          <w:rFonts w:hint="eastAsia" w:asciiTheme="minorEastAsia" w:hAnsiTheme="minorEastAsia" w:eastAsiaTheme="minorEastAsia" w:cstheme="minorEastAsia"/>
          <w:color w:val="auto"/>
          <w:spacing w:val="-12"/>
          <w:sz w:val="24"/>
          <w:szCs w:val="24"/>
        </w:rPr>
        <w:t>60%以上，珠三角地区80</w:t>
      </w:r>
      <w:r>
        <w:rPr>
          <w:rFonts w:hint="eastAsia" w:asciiTheme="minorEastAsia" w:hAnsiTheme="minorEastAsia" w:eastAsiaTheme="minorEastAsia" w:cstheme="minorEastAsia"/>
          <w:color w:val="auto"/>
          <w:spacing w:val="-15"/>
          <w:sz w:val="24"/>
          <w:szCs w:val="24"/>
        </w:rPr>
        <w:t>%以上行政村建有污水处理设施或纳入城镇污水系统统一处理，建立相对完善的农村生活污水处理设施综合管理体系，农村水环境质量明</w:t>
      </w:r>
      <w:r>
        <w:rPr>
          <w:rFonts w:hint="eastAsia" w:asciiTheme="minorEastAsia" w:hAnsiTheme="minorEastAsia" w:eastAsiaTheme="minorEastAsia" w:cstheme="minorEastAsia"/>
          <w:color w:val="auto"/>
          <w:spacing w:val="-8"/>
          <w:sz w:val="24"/>
          <w:szCs w:val="24"/>
        </w:rPr>
        <w:t>显改善。</w:t>
      </w:r>
    </w:p>
    <w:p>
      <w:pPr>
        <w:pStyle w:val="32"/>
        <w:numPr>
          <w:ilvl w:val="2"/>
          <w:numId w:val="8"/>
        </w:numPr>
        <w:tabs>
          <w:tab w:val="left" w:pos="1728"/>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《罗定市城市总体规划（2011～2035年</w:t>
      </w:r>
      <w:r>
        <w:rPr>
          <w:rFonts w:hint="eastAsia" w:asciiTheme="minorEastAsia" w:hAnsiTheme="minorEastAsia" w:eastAsiaTheme="minorEastAsia" w:cstheme="minorEastAsia"/>
          <w:b/>
          <w:color w:val="auto"/>
          <w:spacing w:val="-140"/>
          <w:sz w:val="24"/>
          <w:szCs w:val="24"/>
        </w:rPr>
        <w:t>）</w:t>
      </w:r>
      <w:r>
        <w:rPr>
          <w:rFonts w:hint="eastAsia" w:asciiTheme="minorEastAsia" w:hAnsiTheme="minorEastAsia" w:eastAsiaTheme="minorEastAsia" w:cstheme="minorEastAsia"/>
          <w:b/>
          <w:color w:val="auto"/>
          <w:sz w:val="24"/>
          <w:szCs w:val="24"/>
        </w:rPr>
        <w:t>》</w:t>
      </w:r>
    </w:p>
    <w:p>
      <w:pPr>
        <w:pStyle w:val="32"/>
        <w:numPr>
          <w:ilvl w:val="3"/>
          <w:numId w:val="8"/>
        </w:numPr>
        <w:tabs>
          <w:tab w:val="left" w:pos="2000"/>
        </w:tabs>
        <w:spacing w:line="500" w:lineRule="exact"/>
        <w:ind w:left="0" w:firstLine="46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4"/>
          <w:sz w:val="24"/>
          <w:szCs w:val="24"/>
        </w:rPr>
        <w:t>规划期限</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规划年限：本次的规划期限为2011-2030年，其中：近期为2011-2020年；远期为 2020-2030年。</w:t>
      </w:r>
    </w:p>
    <w:p>
      <w:pPr>
        <w:pStyle w:val="32"/>
        <w:numPr>
          <w:ilvl w:val="3"/>
          <w:numId w:val="8"/>
        </w:numPr>
        <w:tabs>
          <w:tab w:val="left" w:pos="2002"/>
        </w:tabs>
        <w:spacing w:line="500" w:lineRule="exact"/>
        <w:ind w:left="0" w:firstLine="46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4"/>
          <w:sz w:val="24"/>
          <w:szCs w:val="24"/>
        </w:rPr>
        <w:t>规划范围：</w:t>
      </w:r>
    </w:p>
    <w:p>
      <w:pPr>
        <w:pStyle w:val="10"/>
        <w:spacing w:line="500" w:lineRule="exact"/>
        <w:ind w:firstLine="420" w:firstLineChars="20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本规划在地域空间上分为市域和中心城区两个层面。</w:t>
      </w:r>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1）</w:t>
      </w:r>
      <w:r>
        <w:rPr>
          <w:rFonts w:hint="eastAsia" w:asciiTheme="minorEastAsia" w:hAnsiTheme="minorEastAsia" w:eastAsiaTheme="minorEastAsia" w:cstheme="minorEastAsia"/>
          <w:color w:val="auto"/>
          <w:spacing w:val="-2"/>
          <w:sz w:val="24"/>
          <w:szCs w:val="24"/>
        </w:rPr>
        <w:t>市域：</w:t>
      </w:r>
    </w:p>
    <w:p>
      <w:pPr>
        <w:pStyle w:val="10"/>
        <w:spacing w:line="500" w:lineRule="exact"/>
        <w:ind w:firstLine="432" w:firstLineChars="200"/>
        <w:jc w:val="both"/>
        <w:rPr>
          <w:rFonts w:asciiTheme="minorEastAsia" w:hAnsiTheme="minorEastAsia" w:eastAsiaTheme="minorEastAsia" w:cstheme="minorEastAsia"/>
          <w:color w:val="auto"/>
          <w:spacing w:val="-14"/>
          <w:sz w:val="24"/>
          <w:szCs w:val="24"/>
        </w:rPr>
      </w:pPr>
      <w:r>
        <w:rPr>
          <w:rFonts w:hint="eastAsia" w:asciiTheme="minorEastAsia" w:hAnsiTheme="minorEastAsia" w:eastAsiaTheme="minorEastAsia" w:cstheme="minorEastAsia"/>
          <w:color w:val="auto"/>
          <w:spacing w:val="-12"/>
          <w:sz w:val="24"/>
          <w:szCs w:val="24"/>
        </w:rPr>
        <w:t>罗定市域为</w:t>
      </w:r>
      <w:r>
        <w:rPr>
          <w:rFonts w:hint="eastAsia" w:asciiTheme="minorEastAsia" w:hAnsiTheme="minorEastAsia" w:eastAsiaTheme="minorEastAsia" w:cstheme="minorEastAsia"/>
          <w:color w:val="auto"/>
          <w:spacing w:val="-8"/>
          <w:sz w:val="24"/>
          <w:szCs w:val="24"/>
        </w:rPr>
        <w:t>2327.5</w:t>
      </w:r>
      <w:r>
        <w:rPr>
          <w:rFonts w:hint="eastAsia" w:asciiTheme="minorEastAsia" w:hAnsiTheme="minorEastAsia" w:eastAsiaTheme="minorEastAsia" w:cstheme="minorEastAsia"/>
          <w:color w:val="auto"/>
          <w:spacing w:val="-14"/>
          <w:sz w:val="24"/>
          <w:szCs w:val="24"/>
        </w:rPr>
        <w:t>平方公里。</w:t>
      </w:r>
    </w:p>
    <w:p>
      <w:pPr>
        <w:pStyle w:val="10"/>
        <w:spacing w:line="500" w:lineRule="exact"/>
        <w:ind w:firstLine="420" w:firstLineChars="20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2）中心城区：</w:t>
      </w:r>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中心城区的范围包括罗城街道办、双东街道办的全部，原附城镇镇区和其周围的平西、高峰、同仁、大旁、塔脚、罗溪、星光</w:t>
      </w:r>
      <w:r>
        <w:rPr>
          <w:rFonts w:hint="eastAsia" w:asciiTheme="minorEastAsia" w:hAnsiTheme="minorEastAsia" w:eastAsiaTheme="minorEastAsia" w:cstheme="minorEastAsia"/>
          <w:color w:val="auto"/>
          <w:sz w:val="24"/>
          <w:szCs w:val="24"/>
        </w:rPr>
        <w:t>7</w:t>
      </w:r>
      <w:r>
        <w:rPr>
          <w:rFonts w:hint="eastAsia" w:asciiTheme="minorEastAsia" w:hAnsiTheme="minorEastAsia" w:eastAsiaTheme="minorEastAsia" w:cstheme="minorEastAsia"/>
          <w:color w:val="auto"/>
          <w:spacing w:val="18"/>
          <w:sz w:val="24"/>
          <w:szCs w:val="24"/>
        </w:rPr>
        <w:t>个</w:t>
      </w:r>
      <w:r>
        <w:rPr>
          <w:rFonts w:hint="eastAsia" w:asciiTheme="minorEastAsia" w:hAnsiTheme="minorEastAsia" w:eastAsiaTheme="minorEastAsia" w:cstheme="minorEastAsia"/>
          <w:color w:val="auto"/>
          <w:spacing w:val="-13"/>
          <w:sz w:val="24"/>
          <w:szCs w:val="24"/>
        </w:rPr>
        <w:t>村， 素龙街道办的潭井、平南、凤西、大甲、大灼、上宁、中村、新</w:t>
      </w:r>
      <w:r>
        <w:rPr>
          <w:rFonts w:hint="eastAsia" w:asciiTheme="minorEastAsia" w:hAnsiTheme="minorEastAsia" w:eastAsiaTheme="minorEastAsia" w:cstheme="minorEastAsia"/>
          <w:color w:val="auto"/>
          <w:spacing w:val="-16"/>
          <w:sz w:val="24"/>
          <w:szCs w:val="24"/>
        </w:rPr>
        <w:t>塘、素龙、沙毫岗、凤塘、赤坎、埇表、思围、七和</w:t>
      </w:r>
      <w:r>
        <w:rPr>
          <w:rFonts w:hint="eastAsia" w:asciiTheme="minorEastAsia" w:hAnsiTheme="minorEastAsia" w:eastAsiaTheme="minorEastAsia" w:cstheme="minorEastAsia"/>
          <w:color w:val="auto"/>
          <w:sz w:val="24"/>
          <w:szCs w:val="24"/>
        </w:rPr>
        <w:t>15</w:t>
      </w:r>
      <w:r>
        <w:rPr>
          <w:rFonts w:hint="eastAsia" w:asciiTheme="minorEastAsia" w:hAnsiTheme="minorEastAsia" w:eastAsiaTheme="minorEastAsia" w:cstheme="minorEastAsia"/>
          <w:color w:val="auto"/>
          <w:spacing w:val="-12"/>
          <w:sz w:val="24"/>
          <w:szCs w:val="24"/>
        </w:rPr>
        <w:t>个村的范</w:t>
      </w:r>
      <w:r>
        <w:rPr>
          <w:rFonts w:hint="eastAsia" w:asciiTheme="minorEastAsia" w:hAnsiTheme="minorEastAsia" w:eastAsiaTheme="minorEastAsia" w:cstheme="minorEastAsia"/>
          <w:color w:val="auto"/>
          <w:sz w:val="24"/>
          <w:szCs w:val="24"/>
        </w:rPr>
        <w:t>围，总面积为121.94平方公里。</w:t>
      </w:r>
    </w:p>
    <w:p>
      <w:pPr>
        <w:pStyle w:val="32"/>
        <w:numPr>
          <w:ilvl w:val="3"/>
          <w:numId w:val="8"/>
        </w:numPr>
        <w:tabs>
          <w:tab w:val="left" w:pos="2139"/>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市域人口</w:t>
      </w:r>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根据市域户籍总人口、外来人口和外出人口的预测结果，并考虑罗定市外出劳力带眷数量较少，可忽略不计，则全市常住人口为：</w:t>
      </w:r>
    </w:p>
    <w:p>
      <w:pPr>
        <w:pStyle w:val="10"/>
        <w:spacing w:line="500" w:lineRule="exact"/>
        <w:ind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2020</w:t>
      </w:r>
      <w:r>
        <w:rPr>
          <w:rFonts w:hint="eastAsia" w:asciiTheme="minorEastAsia" w:hAnsiTheme="minorEastAsia" w:eastAsiaTheme="minorEastAsia" w:cstheme="minorEastAsia"/>
          <w:color w:val="auto"/>
          <w:spacing w:val="-13"/>
          <w:sz w:val="24"/>
          <w:szCs w:val="24"/>
        </w:rPr>
        <w:t>年，全市常住人口=</w:t>
      </w:r>
      <w:r>
        <w:rPr>
          <w:rFonts w:hint="eastAsia" w:asciiTheme="minorEastAsia" w:hAnsiTheme="minorEastAsia" w:eastAsiaTheme="minorEastAsia" w:cstheme="minorEastAsia"/>
          <w:color w:val="auto"/>
          <w:spacing w:val="-10"/>
          <w:sz w:val="24"/>
          <w:szCs w:val="24"/>
        </w:rPr>
        <w:t>136.5+10-27=119.5</w:t>
      </w:r>
      <w:r>
        <w:rPr>
          <w:rFonts w:hint="eastAsia" w:asciiTheme="minorEastAsia" w:hAnsiTheme="minorEastAsia" w:eastAsiaTheme="minorEastAsia" w:cstheme="minorEastAsia"/>
          <w:color w:val="auto"/>
          <w:spacing w:val="-7"/>
          <w:sz w:val="24"/>
          <w:szCs w:val="24"/>
        </w:rPr>
        <w:t>万人；</w:t>
      </w:r>
    </w:p>
    <w:p>
      <w:pPr>
        <w:pStyle w:val="10"/>
        <w:spacing w:line="500" w:lineRule="exact"/>
        <w:ind w:firstLine="452"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7"/>
          <w:sz w:val="24"/>
          <w:szCs w:val="24"/>
        </w:rPr>
        <w:t>2035</w:t>
      </w:r>
      <w:r>
        <w:rPr>
          <w:rFonts w:hint="eastAsia" w:asciiTheme="minorEastAsia" w:hAnsiTheme="minorEastAsia" w:eastAsiaTheme="minorEastAsia" w:cstheme="minorEastAsia"/>
          <w:color w:val="auto"/>
          <w:spacing w:val="-14"/>
          <w:sz w:val="24"/>
          <w:szCs w:val="24"/>
        </w:rPr>
        <w:t>年，全市常住人口=</w:t>
      </w:r>
      <w:r>
        <w:rPr>
          <w:rFonts w:hint="eastAsia" w:asciiTheme="minorEastAsia" w:hAnsiTheme="minorEastAsia" w:eastAsiaTheme="minorEastAsia" w:cstheme="minorEastAsia"/>
          <w:color w:val="auto"/>
          <w:spacing w:val="-10"/>
          <w:sz w:val="24"/>
          <w:szCs w:val="24"/>
        </w:rPr>
        <w:t>151.3+21-12=160.3</w:t>
      </w:r>
      <w:r>
        <w:rPr>
          <w:rFonts w:hint="eastAsia" w:asciiTheme="minorEastAsia" w:hAnsiTheme="minorEastAsia" w:eastAsiaTheme="minorEastAsia" w:cstheme="minorEastAsia"/>
          <w:color w:val="auto"/>
          <w:spacing w:val="-6"/>
          <w:sz w:val="24"/>
          <w:szCs w:val="24"/>
        </w:rPr>
        <w:t>万人。</w:t>
      </w:r>
    </w:p>
    <w:p>
      <w:pPr>
        <w:pStyle w:val="32"/>
        <w:numPr>
          <w:ilvl w:val="3"/>
          <w:numId w:val="8"/>
        </w:numPr>
        <w:tabs>
          <w:tab w:val="left" w:pos="2139"/>
        </w:tabs>
        <w:spacing w:line="500" w:lineRule="exact"/>
        <w:ind w:left="0" w:firstLine="468" w:firstLineChars="200"/>
        <w:jc w:val="both"/>
        <w:rPr>
          <w:rFonts w:asciiTheme="minorEastAsia" w:hAnsiTheme="minorEastAsia" w:eastAsiaTheme="minorEastAsia" w:cstheme="minorEastAsia"/>
          <w:color w:val="auto"/>
          <w:spacing w:val="-3"/>
          <w:sz w:val="24"/>
          <w:szCs w:val="24"/>
        </w:rPr>
      </w:pPr>
      <w:r>
        <w:rPr>
          <w:rFonts w:hint="eastAsia" w:asciiTheme="minorEastAsia" w:hAnsiTheme="minorEastAsia" w:eastAsiaTheme="minorEastAsia" w:cstheme="minorEastAsia"/>
          <w:color w:val="auto"/>
          <w:spacing w:val="-3"/>
          <w:sz w:val="24"/>
          <w:szCs w:val="24"/>
        </w:rPr>
        <w:t>城镇化水平预测</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罗定市城镇化发展目标为：</w:t>
      </w:r>
    </w:p>
    <w:p>
      <w:pPr>
        <w:pStyle w:val="10"/>
        <w:spacing w:line="500" w:lineRule="exact"/>
        <w:ind w:firstLine="448" w:firstLineChars="200"/>
        <w:jc w:val="both"/>
        <w:rPr>
          <w:rFonts w:asciiTheme="minorEastAsia" w:hAnsiTheme="minorEastAsia" w:eastAsiaTheme="minorEastAsia" w:cstheme="minorEastAsia"/>
          <w:color w:val="auto"/>
          <w:spacing w:val="-10"/>
          <w:sz w:val="24"/>
          <w:szCs w:val="24"/>
        </w:rPr>
      </w:pPr>
      <w:r>
        <w:rPr>
          <w:rFonts w:hint="eastAsia" w:asciiTheme="minorEastAsia" w:hAnsiTheme="minorEastAsia" w:eastAsiaTheme="minorEastAsia" w:cstheme="minorEastAsia"/>
          <w:color w:val="auto"/>
          <w:spacing w:val="-8"/>
          <w:sz w:val="24"/>
          <w:szCs w:val="24"/>
        </w:rPr>
        <w:t>近期</w:t>
      </w:r>
      <w:r>
        <w:rPr>
          <w:rFonts w:hint="eastAsia" w:asciiTheme="minorEastAsia" w:hAnsiTheme="minorEastAsia" w:eastAsiaTheme="minorEastAsia" w:cstheme="minorEastAsia"/>
          <w:color w:val="auto"/>
          <w:spacing w:val="-7"/>
          <w:sz w:val="24"/>
          <w:szCs w:val="24"/>
        </w:rPr>
        <w:t>2020</w:t>
      </w:r>
      <w:r>
        <w:rPr>
          <w:rFonts w:hint="eastAsia" w:asciiTheme="minorEastAsia" w:hAnsiTheme="minorEastAsia" w:eastAsiaTheme="minorEastAsia" w:cstheme="minorEastAsia"/>
          <w:color w:val="auto"/>
          <w:spacing w:val="-10"/>
          <w:sz w:val="24"/>
          <w:szCs w:val="24"/>
        </w:rPr>
        <w:t>年达到云浮市城镇化发展的平均水平，城镇化率达</w:t>
      </w:r>
      <w:r>
        <w:rPr>
          <w:rFonts w:hint="eastAsia" w:asciiTheme="minorEastAsia" w:hAnsiTheme="minorEastAsia" w:eastAsiaTheme="minorEastAsia" w:cstheme="minorEastAsia"/>
          <w:color w:val="auto"/>
          <w:spacing w:val="-12"/>
          <w:sz w:val="24"/>
          <w:szCs w:val="24"/>
        </w:rPr>
        <w:t>50</w:t>
      </w:r>
      <w:r>
        <w:rPr>
          <w:rFonts w:hint="eastAsia" w:asciiTheme="minorEastAsia" w:hAnsiTheme="minorEastAsia" w:eastAsiaTheme="minorEastAsia" w:cstheme="minorEastAsia"/>
          <w:color w:val="auto"/>
          <w:spacing w:val="-6"/>
          <w:sz w:val="24"/>
          <w:szCs w:val="24"/>
        </w:rPr>
        <w:t>%。</w:t>
      </w:r>
    </w:p>
    <w:p>
      <w:pPr>
        <w:pStyle w:val="10"/>
        <w:spacing w:line="500" w:lineRule="exact"/>
        <w:ind w:firstLine="440" w:firstLineChars="200"/>
        <w:jc w:val="both"/>
        <w:rPr>
          <w:rFonts w:asciiTheme="minorEastAsia" w:hAnsiTheme="minorEastAsia" w:eastAsiaTheme="minorEastAsia" w:cstheme="minorEastAsia"/>
          <w:color w:val="auto"/>
          <w:spacing w:val="-10"/>
          <w:sz w:val="24"/>
          <w:szCs w:val="24"/>
        </w:rPr>
      </w:pPr>
      <w:r>
        <w:rPr>
          <w:rFonts w:hint="eastAsia" w:asciiTheme="minorEastAsia" w:hAnsiTheme="minorEastAsia" w:eastAsiaTheme="minorEastAsia" w:cstheme="minorEastAsia"/>
          <w:color w:val="auto"/>
          <w:spacing w:val="-10"/>
          <w:sz w:val="24"/>
          <w:szCs w:val="24"/>
        </w:rPr>
        <w:t>远期2030年城镇化率达 60%。</w:t>
      </w:r>
    </w:p>
    <w:p>
      <w:pPr>
        <w:pStyle w:val="10"/>
        <w:spacing w:line="500" w:lineRule="exact"/>
        <w:ind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(5）污水工程规划</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全面推进污水处理设施的建设。中心城区加快推进罗定市第三污水处理厂的建设；已有污水处理设施的镇街，结合城镇发展需求</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适当进行扩建；尚无污水处理设施的镇街在2018年底前全面建成，实现全市镇一级污水处理设施全面覆盖。</w:t>
      </w:r>
    </w:p>
    <w:p>
      <w:pPr>
        <w:pStyle w:val="32"/>
        <w:numPr>
          <w:ilvl w:val="2"/>
          <w:numId w:val="8"/>
        </w:numPr>
        <w:tabs>
          <w:tab w:val="left" w:pos="1728"/>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《罗定市围底镇总体规划（2014～2035年</w:t>
      </w:r>
      <w:r>
        <w:rPr>
          <w:rFonts w:hint="eastAsia" w:asciiTheme="minorEastAsia" w:hAnsiTheme="minorEastAsia" w:eastAsiaTheme="minorEastAsia" w:cstheme="minorEastAsia"/>
          <w:b/>
          <w:color w:val="auto"/>
          <w:spacing w:val="-142"/>
          <w:sz w:val="24"/>
          <w:szCs w:val="24"/>
        </w:rPr>
        <w:t>）</w:t>
      </w:r>
      <w:r>
        <w:rPr>
          <w:rFonts w:hint="eastAsia" w:asciiTheme="minorEastAsia" w:hAnsiTheme="minorEastAsia" w:eastAsiaTheme="minorEastAsia" w:cstheme="minorEastAsia"/>
          <w:b/>
          <w:color w:val="auto"/>
          <w:sz w:val="24"/>
          <w:szCs w:val="24"/>
        </w:rPr>
        <w:t>》</w:t>
      </w:r>
    </w:p>
    <w:p>
      <w:pPr>
        <w:pStyle w:val="32"/>
        <w:numPr>
          <w:ilvl w:val="0"/>
          <w:numId w:val="10"/>
        </w:numPr>
        <w:tabs>
          <w:tab w:val="left" w:pos="2002"/>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规划期限</w:t>
      </w:r>
    </w:p>
    <w:p>
      <w:pPr>
        <w:pStyle w:val="10"/>
        <w:spacing w:line="500" w:lineRule="exact"/>
        <w:ind w:firstLine="428" w:firstLineChars="200"/>
        <w:jc w:val="both"/>
        <w:rPr>
          <w:rFonts w:asciiTheme="minorEastAsia" w:hAnsiTheme="minorEastAsia" w:eastAsiaTheme="minorEastAsia" w:cstheme="minorEastAsia"/>
          <w:color w:val="auto"/>
          <w:spacing w:val="-22"/>
          <w:sz w:val="24"/>
          <w:szCs w:val="24"/>
        </w:rPr>
      </w:pPr>
      <w:r>
        <w:rPr>
          <w:rFonts w:hint="eastAsia" w:asciiTheme="minorEastAsia" w:hAnsiTheme="minorEastAsia" w:eastAsiaTheme="minorEastAsia" w:cstheme="minorEastAsia"/>
          <w:color w:val="auto"/>
          <w:spacing w:val="-13"/>
          <w:sz w:val="24"/>
          <w:szCs w:val="24"/>
        </w:rPr>
        <w:t>近期：</w:t>
      </w:r>
      <w:r>
        <w:rPr>
          <w:rFonts w:hint="eastAsia" w:asciiTheme="minorEastAsia" w:hAnsiTheme="minorEastAsia" w:eastAsiaTheme="minorEastAsia" w:cstheme="minorEastAsia"/>
          <w:color w:val="auto"/>
          <w:spacing w:val="-10"/>
          <w:sz w:val="24"/>
          <w:szCs w:val="24"/>
        </w:rPr>
        <w:t>2014-2020</w:t>
      </w:r>
      <w:r>
        <w:rPr>
          <w:rFonts w:hint="eastAsia" w:asciiTheme="minorEastAsia" w:hAnsiTheme="minorEastAsia" w:eastAsiaTheme="minorEastAsia" w:cstheme="minorEastAsia"/>
          <w:color w:val="auto"/>
          <w:spacing w:val="-15"/>
          <w:sz w:val="24"/>
          <w:szCs w:val="24"/>
        </w:rPr>
        <w:t>年；远期：</w:t>
      </w:r>
      <w:r>
        <w:rPr>
          <w:rFonts w:hint="eastAsia" w:asciiTheme="minorEastAsia" w:hAnsiTheme="minorEastAsia" w:eastAsiaTheme="minorEastAsia" w:cstheme="minorEastAsia"/>
          <w:color w:val="auto"/>
          <w:spacing w:val="-10"/>
          <w:sz w:val="24"/>
          <w:szCs w:val="24"/>
        </w:rPr>
        <w:t>2021-2035</w:t>
      </w:r>
      <w:r>
        <w:rPr>
          <w:rFonts w:hint="eastAsia" w:asciiTheme="minorEastAsia" w:hAnsiTheme="minorEastAsia" w:eastAsiaTheme="minorEastAsia" w:cstheme="minorEastAsia"/>
          <w:color w:val="auto"/>
          <w:spacing w:val="-22"/>
          <w:sz w:val="24"/>
          <w:szCs w:val="24"/>
        </w:rPr>
        <w:t>年。</w:t>
      </w:r>
    </w:p>
    <w:p>
      <w:pPr>
        <w:pStyle w:val="10"/>
        <w:numPr>
          <w:ilvl w:val="0"/>
          <w:numId w:val="10"/>
        </w:numPr>
        <w:spacing w:line="500" w:lineRule="exact"/>
        <w:ind w:left="0"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规划范围</w:t>
      </w:r>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东至五华村、西至围底河、南至围底二河、北至罗阳高</w:t>
      </w:r>
      <w:r>
        <w:rPr>
          <w:rFonts w:hint="eastAsia" w:asciiTheme="minorEastAsia" w:hAnsiTheme="minorEastAsia" w:eastAsiaTheme="minorEastAsia" w:cstheme="minorEastAsia"/>
          <w:color w:val="auto"/>
          <w:spacing w:val="-21"/>
          <w:sz w:val="24"/>
          <w:szCs w:val="24"/>
        </w:rPr>
        <w:t xml:space="preserve">速，规划面积约 </w:t>
      </w:r>
      <w:r>
        <w:rPr>
          <w:rFonts w:hint="eastAsia" w:asciiTheme="minorEastAsia" w:hAnsiTheme="minorEastAsia" w:eastAsiaTheme="minorEastAsia" w:cstheme="minorEastAsia"/>
          <w:color w:val="auto"/>
          <w:spacing w:val="-12"/>
          <w:sz w:val="24"/>
          <w:szCs w:val="24"/>
        </w:rPr>
        <w:t>3.95km²</w:t>
      </w:r>
      <w:r>
        <w:rPr>
          <w:rFonts w:hint="eastAsia" w:asciiTheme="minorEastAsia" w:hAnsiTheme="minorEastAsia" w:eastAsiaTheme="minorEastAsia" w:cstheme="minorEastAsia"/>
          <w:color w:val="auto"/>
          <w:sz w:val="24"/>
          <w:szCs w:val="24"/>
        </w:rPr>
        <w:t>。</w:t>
      </w:r>
    </w:p>
    <w:p>
      <w:pPr>
        <w:pStyle w:val="32"/>
        <w:numPr>
          <w:ilvl w:val="0"/>
          <w:numId w:val="10"/>
        </w:numPr>
        <w:tabs>
          <w:tab w:val="left" w:pos="2100"/>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规划人口</w:t>
      </w:r>
    </w:p>
    <w:p>
      <w:pPr>
        <w:pStyle w:val="10"/>
        <w:spacing w:line="500" w:lineRule="exact"/>
        <w:ind w:firstLine="42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4"/>
          <w:sz w:val="24"/>
          <w:szCs w:val="24"/>
        </w:rPr>
        <w:t>近期</w:t>
      </w:r>
      <w:r>
        <w:rPr>
          <w:rFonts w:hint="eastAsia" w:asciiTheme="minorEastAsia" w:hAnsiTheme="minorEastAsia" w:eastAsiaTheme="minorEastAsia" w:cstheme="minorEastAsia"/>
          <w:color w:val="auto"/>
          <w:spacing w:val="-8"/>
          <w:sz w:val="24"/>
          <w:szCs w:val="24"/>
        </w:rPr>
        <w:t>（2020</w:t>
      </w:r>
      <w:r>
        <w:rPr>
          <w:rFonts w:hint="eastAsia" w:asciiTheme="minorEastAsia" w:hAnsiTheme="minorEastAsia" w:eastAsiaTheme="minorEastAsia" w:cstheme="minorEastAsia"/>
          <w:color w:val="auto"/>
          <w:spacing w:val="-46"/>
          <w:sz w:val="24"/>
          <w:szCs w:val="24"/>
        </w:rPr>
        <w:t xml:space="preserve"> 年</w:t>
      </w:r>
      <w:r>
        <w:rPr>
          <w:rFonts w:hint="eastAsia" w:asciiTheme="minorEastAsia" w:hAnsiTheme="minorEastAsia" w:eastAsiaTheme="minorEastAsia" w:cstheme="minorEastAsia"/>
          <w:color w:val="auto"/>
          <w:spacing w:val="-8"/>
          <w:sz w:val="24"/>
          <w:szCs w:val="24"/>
        </w:rPr>
        <w:t>）：1.43</w:t>
      </w:r>
      <w:r>
        <w:rPr>
          <w:rFonts w:hint="eastAsia" w:asciiTheme="minorEastAsia" w:hAnsiTheme="minorEastAsia" w:eastAsiaTheme="minorEastAsia" w:cstheme="minorEastAsia"/>
          <w:color w:val="auto"/>
          <w:spacing w:val="-36"/>
          <w:sz w:val="24"/>
          <w:szCs w:val="24"/>
        </w:rPr>
        <w:t xml:space="preserve"> 万人</w:t>
      </w:r>
      <w:r>
        <w:rPr>
          <w:rFonts w:hint="eastAsia" w:asciiTheme="minorEastAsia" w:hAnsiTheme="minorEastAsia" w:eastAsiaTheme="minorEastAsia" w:cstheme="minorEastAsia"/>
          <w:color w:val="auto"/>
          <w:spacing w:val="-13"/>
          <w:sz w:val="24"/>
          <w:szCs w:val="24"/>
        </w:rPr>
        <w:t>（</w:t>
      </w:r>
      <w:r>
        <w:rPr>
          <w:rFonts w:hint="eastAsia" w:asciiTheme="minorEastAsia" w:hAnsiTheme="minorEastAsia" w:eastAsiaTheme="minorEastAsia" w:cstheme="minorEastAsia"/>
          <w:color w:val="auto"/>
          <w:spacing w:val="-14"/>
          <w:sz w:val="24"/>
          <w:szCs w:val="24"/>
        </w:rPr>
        <w:t>其中：原镇区户籍常住人</w:t>
      </w:r>
      <w:r>
        <w:rPr>
          <w:rFonts w:hint="eastAsia" w:asciiTheme="minorEastAsia" w:hAnsiTheme="minorEastAsia" w:eastAsiaTheme="minorEastAsia" w:cstheme="minorEastAsia"/>
          <w:color w:val="auto"/>
          <w:spacing w:val="-25"/>
          <w:sz w:val="24"/>
          <w:szCs w:val="24"/>
        </w:rPr>
        <w:t xml:space="preserve">口 </w:t>
      </w:r>
      <w:r>
        <w:rPr>
          <w:rFonts w:hint="eastAsia" w:asciiTheme="minorEastAsia" w:hAnsiTheme="minorEastAsia" w:eastAsiaTheme="minorEastAsia" w:cstheme="minorEastAsia"/>
          <w:color w:val="auto"/>
          <w:spacing w:val="-7"/>
          <w:sz w:val="24"/>
          <w:szCs w:val="24"/>
        </w:rPr>
        <w:t>8300</w:t>
      </w:r>
      <w:r>
        <w:rPr>
          <w:rFonts w:hint="eastAsia" w:asciiTheme="minorEastAsia" w:hAnsiTheme="minorEastAsia" w:eastAsiaTheme="minorEastAsia" w:cstheme="minorEastAsia"/>
          <w:color w:val="auto"/>
          <w:spacing w:val="-25"/>
          <w:sz w:val="24"/>
          <w:szCs w:val="24"/>
        </w:rPr>
        <w:t xml:space="preserve">人，机械增长人口 </w:t>
      </w:r>
      <w:r>
        <w:rPr>
          <w:rFonts w:hint="eastAsia" w:asciiTheme="minorEastAsia" w:hAnsiTheme="minorEastAsia" w:eastAsiaTheme="minorEastAsia" w:cstheme="minorEastAsia"/>
          <w:color w:val="auto"/>
          <w:spacing w:val="-7"/>
          <w:sz w:val="24"/>
          <w:szCs w:val="24"/>
        </w:rPr>
        <w:t>6000</w:t>
      </w:r>
      <w:r>
        <w:rPr>
          <w:rFonts w:hint="eastAsia" w:asciiTheme="minorEastAsia" w:hAnsiTheme="minorEastAsia" w:eastAsiaTheme="minorEastAsia" w:cstheme="minorEastAsia"/>
          <w:color w:val="auto"/>
          <w:spacing w:val="-25"/>
          <w:sz w:val="24"/>
          <w:szCs w:val="24"/>
        </w:rPr>
        <w:t>人</w:t>
      </w:r>
      <w:r>
        <w:rPr>
          <w:rFonts w:hint="eastAsia" w:asciiTheme="minorEastAsia" w:hAnsiTheme="minorEastAsia" w:eastAsiaTheme="minorEastAsia" w:cstheme="minorEastAsia"/>
          <w:color w:val="auto"/>
          <w:spacing w:val="-3"/>
          <w:sz w:val="24"/>
          <w:szCs w:val="24"/>
        </w:rPr>
        <w:t>）；</w:t>
      </w:r>
    </w:p>
    <w:p>
      <w:pPr>
        <w:pStyle w:val="10"/>
        <w:spacing w:line="500" w:lineRule="exact"/>
        <w:ind w:firstLine="42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4"/>
          <w:sz w:val="24"/>
          <w:szCs w:val="24"/>
        </w:rPr>
        <w:t>远期</w:t>
      </w:r>
      <w:r>
        <w:rPr>
          <w:rFonts w:hint="eastAsia" w:asciiTheme="minorEastAsia" w:hAnsiTheme="minorEastAsia" w:eastAsiaTheme="minorEastAsia" w:cstheme="minorEastAsia"/>
          <w:color w:val="auto"/>
          <w:spacing w:val="-8"/>
          <w:sz w:val="24"/>
          <w:szCs w:val="24"/>
        </w:rPr>
        <w:t>（2035</w:t>
      </w:r>
      <w:r>
        <w:rPr>
          <w:rFonts w:hint="eastAsia" w:asciiTheme="minorEastAsia" w:hAnsiTheme="minorEastAsia" w:eastAsiaTheme="minorEastAsia" w:cstheme="minorEastAsia"/>
          <w:color w:val="auto"/>
          <w:spacing w:val="-50"/>
          <w:sz w:val="24"/>
          <w:szCs w:val="24"/>
        </w:rPr>
        <w:t xml:space="preserve"> 年</w:t>
      </w:r>
      <w:r>
        <w:rPr>
          <w:rFonts w:hint="eastAsia" w:asciiTheme="minorEastAsia" w:hAnsiTheme="minorEastAsia" w:eastAsiaTheme="minorEastAsia" w:cstheme="minorEastAsia"/>
          <w:color w:val="auto"/>
          <w:spacing w:val="-8"/>
          <w:sz w:val="24"/>
          <w:szCs w:val="24"/>
        </w:rPr>
        <w:t>）：2.44</w:t>
      </w:r>
      <w:r>
        <w:rPr>
          <w:rFonts w:hint="eastAsia" w:asciiTheme="minorEastAsia" w:hAnsiTheme="minorEastAsia" w:eastAsiaTheme="minorEastAsia" w:cstheme="minorEastAsia"/>
          <w:color w:val="auto"/>
          <w:spacing w:val="-13"/>
          <w:sz w:val="24"/>
          <w:szCs w:val="24"/>
        </w:rPr>
        <w:t xml:space="preserve"> 万人</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pacing w:val="-10"/>
          <w:sz w:val="24"/>
          <w:szCs w:val="24"/>
        </w:rPr>
        <w:t>其中：原镇区户籍常住人</w:t>
      </w:r>
      <w:r>
        <w:rPr>
          <w:rFonts w:hint="eastAsia" w:asciiTheme="minorEastAsia" w:hAnsiTheme="minorEastAsia" w:eastAsiaTheme="minorEastAsia" w:cstheme="minorEastAsia"/>
          <w:color w:val="auto"/>
          <w:spacing w:val="-22"/>
          <w:sz w:val="24"/>
          <w:szCs w:val="24"/>
        </w:rPr>
        <w:t xml:space="preserve">口 </w:t>
      </w:r>
      <w:r>
        <w:rPr>
          <w:rFonts w:hint="eastAsia" w:asciiTheme="minorEastAsia" w:hAnsiTheme="minorEastAsia" w:eastAsiaTheme="minorEastAsia" w:cstheme="minorEastAsia"/>
          <w:color w:val="auto"/>
          <w:spacing w:val="-7"/>
          <w:sz w:val="24"/>
          <w:szCs w:val="24"/>
        </w:rPr>
        <w:t>1.24</w:t>
      </w:r>
      <w:r>
        <w:rPr>
          <w:rFonts w:hint="eastAsia" w:asciiTheme="minorEastAsia" w:hAnsiTheme="minorEastAsia" w:eastAsiaTheme="minorEastAsia" w:cstheme="minorEastAsia"/>
          <w:color w:val="auto"/>
          <w:spacing w:val="-20"/>
          <w:sz w:val="24"/>
          <w:szCs w:val="24"/>
        </w:rPr>
        <w:t xml:space="preserve"> 万人，机械增长人口 </w:t>
      </w:r>
      <w:r>
        <w:rPr>
          <w:rFonts w:hint="eastAsia" w:asciiTheme="minorEastAsia" w:hAnsiTheme="minorEastAsia" w:eastAsiaTheme="minorEastAsia" w:cstheme="minorEastAsia"/>
          <w:color w:val="auto"/>
          <w:spacing w:val="-4"/>
          <w:sz w:val="24"/>
          <w:szCs w:val="24"/>
        </w:rPr>
        <w:t>1.2</w:t>
      </w:r>
      <w:r>
        <w:rPr>
          <w:rFonts w:hint="eastAsia" w:asciiTheme="minorEastAsia" w:hAnsiTheme="minorEastAsia" w:eastAsiaTheme="minorEastAsia" w:cstheme="minorEastAsia"/>
          <w:color w:val="auto"/>
          <w:spacing w:val="-19"/>
          <w:sz w:val="24"/>
          <w:szCs w:val="24"/>
        </w:rPr>
        <w:t xml:space="preserve"> 万人</w:t>
      </w:r>
      <w:r>
        <w:rPr>
          <w:rFonts w:hint="eastAsia" w:asciiTheme="minorEastAsia" w:hAnsiTheme="minorEastAsia" w:eastAsiaTheme="minorEastAsia" w:cstheme="minorEastAsia"/>
          <w:color w:val="auto"/>
          <w:spacing w:val="-15"/>
          <w:sz w:val="24"/>
          <w:szCs w:val="24"/>
        </w:rPr>
        <w:t>）</w:t>
      </w:r>
      <w:r>
        <w:rPr>
          <w:rFonts w:hint="eastAsia" w:asciiTheme="minorEastAsia" w:hAnsiTheme="minorEastAsia" w:eastAsiaTheme="minorEastAsia" w:cstheme="minorEastAsia"/>
          <w:color w:val="auto"/>
          <w:sz w:val="24"/>
          <w:szCs w:val="24"/>
        </w:rPr>
        <w:t>。</w:t>
      </w:r>
    </w:p>
    <w:p>
      <w:pPr>
        <w:pStyle w:val="32"/>
        <w:numPr>
          <w:ilvl w:val="0"/>
          <w:numId w:val="10"/>
        </w:numPr>
        <w:tabs>
          <w:tab w:val="left" w:pos="2000"/>
        </w:tabs>
        <w:spacing w:line="500" w:lineRule="exact"/>
        <w:ind w:left="0" w:firstLine="46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4"/>
          <w:sz w:val="24"/>
          <w:szCs w:val="24"/>
        </w:rPr>
        <w:t>城镇化水平</w:t>
      </w:r>
    </w:p>
    <w:p>
      <w:pPr>
        <w:pStyle w:val="10"/>
        <w:spacing w:line="500" w:lineRule="exact"/>
        <w:ind w:firstLine="42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4"/>
          <w:sz w:val="24"/>
          <w:szCs w:val="24"/>
        </w:rPr>
        <w:t>近期</w:t>
      </w:r>
      <w:r>
        <w:rPr>
          <w:rFonts w:hint="eastAsia" w:asciiTheme="minorEastAsia" w:hAnsiTheme="minorEastAsia" w:eastAsiaTheme="minorEastAsia" w:cstheme="minorEastAsia"/>
          <w:color w:val="auto"/>
          <w:spacing w:val="-8"/>
          <w:sz w:val="24"/>
          <w:szCs w:val="24"/>
        </w:rPr>
        <w:t>（2020</w:t>
      </w:r>
      <w:r>
        <w:rPr>
          <w:rFonts w:hint="eastAsia" w:asciiTheme="minorEastAsia" w:hAnsiTheme="minorEastAsia" w:eastAsiaTheme="minorEastAsia" w:cstheme="minorEastAsia"/>
          <w:color w:val="auto"/>
          <w:spacing w:val="-13"/>
          <w:sz w:val="24"/>
          <w:szCs w:val="24"/>
        </w:rPr>
        <w:t>年</w:t>
      </w:r>
      <w:r>
        <w:rPr>
          <w:rFonts w:hint="eastAsia" w:asciiTheme="minorEastAsia" w:hAnsiTheme="minorEastAsia" w:eastAsiaTheme="minorEastAsia" w:cstheme="minorEastAsia"/>
          <w:color w:val="auto"/>
          <w:spacing w:val="-14"/>
          <w:sz w:val="24"/>
          <w:szCs w:val="24"/>
        </w:rPr>
        <w:t>）</w:t>
      </w:r>
      <w:r>
        <w:rPr>
          <w:rFonts w:hint="eastAsia" w:asciiTheme="minorEastAsia" w:hAnsiTheme="minorEastAsia" w:eastAsiaTheme="minorEastAsia" w:cstheme="minorEastAsia"/>
          <w:color w:val="auto"/>
          <w:spacing w:val="-13"/>
          <w:sz w:val="24"/>
          <w:szCs w:val="24"/>
        </w:rPr>
        <w:t xml:space="preserve">：城镇化水平达 </w:t>
      </w:r>
      <w:r>
        <w:rPr>
          <w:rFonts w:hint="eastAsia" w:asciiTheme="minorEastAsia" w:hAnsiTheme="minorEastAsia" w:eastAsiaTheme="minorEastAsia" w:cstheme="minorEastAsia"/>
          <w:color w:val="auto"/>
          <w:spacing w:val="-14"/>
          <w:sz w:val="24"/>
          <w:szCs w:val="24"/>
        </w:rPr>
        <w:t>60</w:t>
      </w:r>
      <w:r>
        <w:rPr>
          <w:rFonts w:hint="eastAsia" w:asciiTheme="minorEastAsia" w:hAnsiTheme="minorEastAsia" w:eastAsiaTheme="minorEastAsia" w:cstheme="minorEastAsia"/>
          <w:color w:val="auto"/>
          <w:spacing w:val="-15"/>
          <w:sz w:val="24"/>
          <w:szCs w:val="24"/>
        </w:rPr>
        <w:t>%，远期</w:t>
      </w:r>
      <w:r>
        <w:rPr>
          <w:rFonts w:hint="eastAsia" w:asciiTheme="minorEastAsia" w:hAnsiTheme="minorEastAsia" w:eastAsiaTheme="minorEastAsia" w:cstheme="minorEastAsia"/>
          <w:color w:val="auto"/>
          <w:spacing w:val="-8"/>
          <w:sz w:val="24"/>
          <w:szCs w:val="24"/>
        </w:rPr>
        <w:t>（2035</w:t>
      </w:r>
      <w:r>
        <w:rPr>
          <w:rFonts w:hint="eastAsia" w:asciiTheme="minorEastAsia" w:hAnsiTheme="minorEastAsia" w:eastAsiaTheme="minorEastAsia" w:cstheme="minorEastAsia"/>
          <w:color w:val="auto"/>
          <w:spacing w:val="-15"/>
          <w:sz w:val="24"/>
          <w:szCs w:val="24"/>
        </w:rPr>
        <w:t>年</w:t>
      </w:r>
      <w:r>
        <w:rPr>
          <w:rFonts w:hint="eastAsia" w:asciiTheme="minorEastAsia" w:hAnsiTheme="minorEastAsia" w:eastAsiaTheme="minorEastAsia" w:cstheme="minorEastAsia"/>
          <w:color w:val="auto"/>
          <w:spacing w:val="-14"/>
          <w:sz w:val="24"/>
          <w:szCs w:val="24"/>
        </w:rPr>
        <w:t>）</w:t>
      </w:r>
      <w:r>
        <w:rPr>
          <w:rFonts w:hint="eastAsia" w:asciiTheme="minorEastAsia" w:hAnsiTheme="minorEastAsia" w:eastAsiaTheme="minorEastAsia" w:cstheme="minorEastAsia"/>
          <w:color w:val="auto"/>
          <w:spacing w:val="-16"/>
          <w:sz w:val="24"/>
          <w:szCs w:val="24"/>
        </w:rPr>
        <w:t xml:space="preserve">：城镇化水平达 </w:t>
      </w:r>
      <w:r>
        <w:rPr>
          <w:rFonts w:hint="eastAsia" w:asciiTheme="minorEastAsia" w:hAnsiTheme="minorEastAsia" w:eastAsiaTheme="minorEastAsia" w:cstheme="minorEastAsia"/>
          <w:color w:val="auto"/>
          <w:spacing w:val="-11"/>
          <w:sz w:val="24"/>
          <w:szCs w:val="24"/>
        </w:rPr>
        <w:t>70</w:t>
      </w:r>
      <w:r>
        <w:rPr>
          <w:rFonts w:hint="eastAsia" w:asciiTheme="minorEastAsia" w:hAnsiTheme="minorEastAsia" w:eastAsiaTheme="minorEastAsia" w:cstheme="minorEastAsia"/>
          <w:color w:val="auto"/>
          <w:spacing w:val="-6"/>
          <w:sz w:val="24"/>
          <w:szCs w:val="24"/>
        </w:rPr>
        <w:t>%。</w:t>
      </w:r>
    </w:p>
    <w:p>
      <w:pPr>
        <w:pStyle w:val="32"/>
        <w:numPr>
          <w:ilvl w:val="0"/>
          <w:numId w:val="10"/>
        </w:numPr>
        <w:tabs>
          <w:tab w:val="left" w:pos="2000"/>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污水工程规划</w:t>
      </w:r>
    </w:p>
    <w:p>
      <w:pPr>
        <w:pStyle w:val="32"/>
        <w:numPr>
          <w:ilvl w:val="0"/>
          <w:numId w:val="11"/>
        </w:numPr>
        <w:tabs>
          <w:tab w:val="left" w:pos="1856"/>
        </w:tabs>
        <w:spacing w:line="500" w:lineRule="exact"/>
        <w:ind w:left="0"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根据《城市排水工程规划规范》</w:t>
      </w:r>
      <w:r>
        <w:rPr>
          <w:rFonts w:hint="eastAsia" w:asciiTheme="minorEastAsia" w:hAnsiTheme="minorEastAsia" w:eastAsiaTheme="minorEastAsia" w:cstheme="minorEastAsia"/>
          <w:color w:val="auto"/>
          <w:spacing w:val="-12"/>
          <w:sz w:val="24"/>
          <w:szCs w:val="24"/>
        </w:rPr>
        <w:t>（GB-50282）</w:t>
      </w:r>
      <w:r>
        <w:rPr>
          <w:rFonts w:hint="eastAsia" w:asciiTheme="minorEastAsia" w:hAnsiTheme="minorEastAsia" w:eastAsiaTheme="minorEastAsia" w:cstheme="minorEastAsia"/>
          <w:color w:val="auto"/>
          <w:spacing w:val="-9"/>
          <w:sz w:val="24"/>
          <w:szCs w:val="24"/>
        </w:rPr>
        <w:t>，结合本</w:t>
      </w:r>
      <w:r>
        <w:rPr>
          <w:rFonts w:hint="eastAsia" w:asciiTheme="minorEastAsia" w:hAnsiTheme="minorEastAsia" w:eastAsiaTheme="minorEastAsia" w:cstheme="minorEastAsia"/>
          <w:color w:val="auto"/>
          <w:spacing w:val="-10"/>
          <w:sz w:val="24"/>
          <w:szCs w:val="24"/>
        </w:rPr>
        <w:t>区实际状况，污水排放系数取</w:t>
      </w:r>
      <w:r>
        <w:rPr>
          <w:rFonts w:hint="eastAsia" w:asciiTheme="minorEastAsia" w:hAnsiTheme="minorEastAsia" w:eastAsiaTheme="minorEastAsia" w:cstheme="minorEastAsia"/>
          <w:color w:val="auto"/>
          <w:spacing w:val="-13"/>
          <w:sz w:val="24"/>
          <w:szCs w:val="24"/>
        </w:rPr>
        <w:t>0.85</w:t>
      </w:r>
      <w:r>
        <w:rPr>
          <w:rFonts w:hint="eastAsia" w:asciiTheme="minorEastAsia" w:hAnsiTheme="minorEastAsia" w:eastAsiaTheme="minorEastAsia" w:cstheme="minorEastAsia"/>
          <w:color w:val="auto"/>
          <w:spacing w:val="-15"/>
          <w:sz w:val="24"/>
          <w:szCs w:val="24"/>
        </w:rPr>
        <w:t>，给水日变化系数取</w:t>
      </w:r>
      <w:r>
        <w:rPr>
          <w:rFonts w:hint="eastAsia" w:asciiTheme="minorEastAsia" w:hAnsiTheme="minorEastAsia" w:eastAsiaTheme="minorEastAsia" w:cstheme="minorEastAsia"/>
          <w:color w:val="auto"/>
          <w:spacing w:val="-10"/>
          <w:sz w:val="24"/>
          <w:szCs w:val="24"/>
        </w:rPr>
        <w:t xml:space="preserve">1.6， </w:t>
      </w:r>
      <w:r>
        <w:rPr>
          <w:rFonts w:hint="eastAsia" w:asciiTheme="minorEastAsia" w:hAnsiTheme="minorEastAsia" w:eastAsiaTheme="minorEastAsia" w:cstheme="minorEastAsia"/>
          <w:color w:val="auto"/>
          <w:spacing w:val="-15"/>
          <w:sz w:val="24"/>
          <w:szCs w:val="24"/>
        </w:rPr>
        <w:t>则规划区日污水量，规划末期</w:t>
      </w:r>
      <w:r>
        <w:rPr>
          <w:rFonts w:hint="eastAsia" w:asciiTheme="minorEastAsia" w:hAnsiTheme="minorEastAsia" w:eastAsiaTheme="minorEastAsia" w:cstheme="minorEastAsia"/>
          <w:color w:val="auto"/>
          <w:spacing w:val="-7"/>
          <w:sz w:val="24"/>
          <w:szCs w:val="24"/>
        </w:rPr>
        <w:t>2030</w:t>
      </w:r>
      <w:r>
        <w:rPr>
          <w:rFonts w:hint="eastAsia" w:asciiTheme="minorEastAsia" w:hAnsiTheme="minorEastAsia" w:eastAsiaTheme="minorEastAsia" w:cstheme="minorEastAsia"/>
          <w:color w:val="auto"/>
          <w:spacing w:val="-17"/>
          <w:sz w:val="24"/>
          <w:szCs w:val="24"/>
        </w:rPr>
        <w:t>年为</w:t>
      </w:r>
      <w:r>
        <w:rPr>
          <w:rFonts w:hint="eastAsia" w:asciiTheme="minorEastAsia" w:hAnsiTheme="minorEastAsia" w:eastAsiaTheme="minorEastAsia" w:cstheme="minorEastAsia"/>
          <w:color w:val="auto"/>
          <w:spacing w:val="-12"/>
          <w:sz w:val="24"/>
          <w:szCs w:val="24"/>
        </w:rPr>
        <w:t>4300m³/d</w:t>
      </w:r>
      <w:r>
        <w:rPr>
          <w:rFonts w:hint="eastAsia" w:asciiTheme="minorEastAsia" w:hAnsiTheme="minorEastAsia" w:eastAsiaTheme="minorEastAsia" w:cstheme="minorEastAsia"/>
          <w:color w:val="auto"/>
          <w:sz w:val="24"/>
          <w:szCs w:val="24"/>
        </w:rPr>
        <w:t>。</w:t>
      </w:r>
    </w:p>
    <w:p>
      <w:pPr>
        <w:pStyle w:val="32"/>
        <w:numPr>
          <w:ilvl w:val="0"/>
          <w:numId w:val="11"/>
        </w:numPr>
        <w:tabs>
          <w:tab w:val="left" w:pos="1856"/>
        </w:tabs>
        <w:spacing w:line="500" w:lineRule="exact"/>
        <w:ind w:left="0"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规划在镇区东侧建设污水处理厂，处理规模为4500m³/d</w:t>
      </w:r>
      <w:r>
        <w:rPr>
          <w:rFonts w:hint="eastAsia" w:asciiTheme="minorEastAsia" w:hAnsiTheme="minorEastAsia" w:eastAsiaTheme="minorEastAsia" w:cstheme="minorEastAsia"/>
          <w:color w:val="auto"/>
          <w:spacing w:val="-6"/>
          <w:sz w:val="24"/>
          <w:szCs w:val="24"/>
        </w:rPr>
        <w:t>，占地</w:t>
      </w:r>
      <w:r>
        <w:rPr>
          <w:rFonts w:hint="eastAsia" w:asciiTheme="minorEastAsia" w:hAnsiTheme="minorEastAsia" w:eastAsiaTheme="minorEastAsia" w:cstheme="minorEastAsia"/>
          <w:color w:val="auto"/>
          <w:sz w:val="24"/>
          <w:szCs w:val="24"/>
        </w:rPr>
        <w:t>2680m²</w:t>
      </w:r>
      <w:r>
        <w:rPr>
          <w:rFonts w:hint="eastAsia" w:asciiTheme="minorEastAsia" w:hAnsiTheme="minorEastAsia" w:eastAsiaTheme="minorEastAsia" w:cstheme="minorEastAsia"/>
          <w:color w:val="auto"/>
          <w:spacing w:val="-3"/>
          <w:sz w:val="24"/>
          <w:szCs w:val="24"/>
        </w:rPr>
        <w:t>，规划区污水由市政管网收集进入污</w:t>
      </w:r>
      <w:r>
        <w:rPr>
          <w:rFonts w:hint="eastAsia" w:asciiTheme="minorEastAsia" w:hAnsiTheme="minorEastAsia" w:eastAsiaTheme="minorEastAsia" w:cstheme="minorEastAsia"/>
          <w:color w:val="auto"/>
          <w:spacing w:val="-15"/>
          <w:sz w:val="24"/>
          <w:szCs w:val="24"/>
        </w:rPr>
        <w:t>水处理厂统一处理。</w:t>
      </w:r>
    </w:p>
    <w:p>
      <w:pPr>
        <w:pStyle w:val="32"/>
        <w:numPr>
          <w:ilvl w:val="0"/>
          <w:numId w:val="11"/>
        </w:numPr>
        <w:tabs>
          <w:tab w:val="left" w:pos="1856"/>
        </w:tabs>
        <w:spacing w:line="500" w:lineRule="exact"/>
        <w:ind w:left="0"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根据镇区地形，沿规划主干道埋设污水主干管。污水主</w:t>
      </w:r>
      <w:r>
        <w:rPr>
          <w:rFonts w:hint="eastAsia" w:asciiTheme="minorEastAsia" w:hAnsiTheme="minorEastAsia" w:eastAsiaTheme="minorEastAsia" w:cstheme="minorEastAsia"/>
          <w:color w:val="auto"/>
          <w:spacing w:val="-14"/>
          <w:sz w:val="24"/>
          <w:szCs w:val="24"/>
        </w:rPr>
        <w:t>干管管径不小于300mm</w:t>
      </w:r>
      <w:r>
        <w:rPr>
          <w:rFonts w:hint="eastAsia" w:asciiTheme="minorEastAsia" w:hAnsiTheme="minorEastAsia" w:eastAsiaTheme="minorEastAsia" w:cstheme="minorEastAsia"/>
          <w:color w:val="auto"/>
          <w:spacing w:val="-15"/>
          <w:sz w:val="24"/>
          <w:szCs w:val="24"/>
        </w:rPr>
        <w:t>，起点控制点管底标高不小于</w:t>
      </w:r>
      <w:r>
        <w:rPr>
          <w:rFonts w:hint="eastAsia" w:asciiTheme="minorEastAsia" w:hAnsiTheme="minorEastAsia" w:eastAsiaTheme="minorEastAsia" w:cstheme="minorEastAsia"/>
          <w:color w:val="auto"/>
          <w:spacing w:val="-8"/>
          <w:sz w:val="24"/>
          <w:szCs w:val="24"/>
        </w:rPr>
        <w:t xml:space="preserve">2.5m， </w:t>
      </w:r>
      <w:r>
        <w:rPr>
          <w:rFonts w:hint="eastAsia" w:asciiTheme="minorEastAsia" w:hAnsiTheme="minorEastAsia" w:eastAsiaTheme="minorEastAsia" w:cstheme="minorEastAsia"/>
          <w:color w:val="auto"/>
          <w:spacing w:val="-15"/>
          <w:sz w:val="24"/>
          <w:szCs w:val="24"/>
        </w:rPr>
        <w:t>污水管过河相应集中，以减少工程量及造价。</w:t>
      </w:r>
    </w:p>
    <w:p>
      <w:pPr>
        <w:pStyle w:val="32"/>
        <w:numPr>
          <w:ilvl w:val="2"/>
          <w:numId w:val="8"/>
        </w:numPr>
        <w:tabs>
          <w:tab w:val="left" w:pos="1728"/>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《罗定市金鸡镇总体规划（2013～2035年</w:t>
      </w:r>
      <w:r>
        <w:rPr>
          <w:rFonts w:hint="eastAsia" w:asciiTheme="minorEastAsia" w:hAnsiTheme="minorEastAsia" w:eastAsiaTheme="minorEastAsia" w:cstheme="minorEastAsia"/>
          <w:b/>
          <w:color w:val="auto"/>
          <w:spacing w:val="-142"/>
          <w:sz w:val="24"/>
          <w:szCs w:val="24"/>
        </w:rPr>
        <w:t>）</w:t>
      </w:r>
      <w:r>
        <w:rPr>
          <w:rFonts w:hint="eastAsia" w:asciiTheme="minorEastAsia" w:hAnsiTheme="minorEastAsia" w:eastAsiaTheme="minorEastAsia" w:cstheme="minorEastAsia"/>
          <w:b/>
          <w:color w:val="auto"/>
          <w:sz w:val="24"/>
          <w:szCs w:val="24"/>
        </w:rPr>
        <w:t>》</w:t>
      </w:r>
    </w:p>
    <w:p>
      <w:pPr>
        <w:pStyle w:val="32"/>
        <w:numPr>
          <w:ilvl w:val="3"/>
          <w:numId w:val="8"/>
        </w:numPr>
        <w:tabs>
          <w:tab w:val="left" w:pos="2002"/>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规划期限</w:t>
      </w:r>
    </w:p>
    <w:p>
      <w:pPr>
        <w:pStyle w:val="10"/>
        <w:spacing w:line="500" w:lineRule="exact"/>
        <w:ind w:firstLine="47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
          <w:sz w:val="24"/>
          <w:szCs w:val="24"/>
        </w:rPr>
        <w:t>近期</w:t>
      </w:r>
      <w:r>
        <w:rPr>
          <w:rFonts w:hint="eastAsia" w:asciiTheme="minorEastAsia" w:hAnsiTheme="minorEastAsia" w:eastAsiaTheme="minorEastAsia" w:cstheme="minorEastAsia"/>
          <w:color w:val="auto"/>
          <w:sz w:val="24"/>
          <w:szCs w:val="24"/>
        </w:rPr>
        <w:t>2013-2020</w:t>
      </w:r>
      <w:r>
        <w:rPr>
          <w:rFonts w:hint="eastAsia" w:asciiTheme="minorEastAsia" w:hAnsiTheme="minorEastAsia" w:eastAsiaTheme="minorEastAsia" w:cstheme="minorEastAsia"/>
          <w:color w:val="auto"/>
          <w:spacing w:val="-2"/>
          <w:sz w:val="24"/>
          <w:szCs w:val="24"/>
        </w:rPr>
        <w:t>年；</w:t>
      </w:r>
      <w:r>
        <w:rPr>
          <w:rFonts w:hint="eastAsia" w:asciiTheme="minorEastAsia" w:hAnsiTheme="minorEastAsia" w:eastAsiaTheme="minorEastAsia" w:cstheme="minorEastAsia"/>
          <w:color w:val="auto"/>
          <w:spacing w:val="-1"/>
          <w:sz w:val="24"/>
          <w:szCs w:val="24"/>
        </w:rPr>
        <w:t>远期</w:t>
      </w:r>
      <w:r>
        <w:rPr>
          <w:rFonts w:hint="eastAsia" w:asciiTheme="minorEastAsia" w:hAnsiTheme="minorEastAsia" w:eastAsiaTheme="minorEastAsia" w:cstheme="minorEastAsia"/>
          <w:color w:val="auto"/>
          <w:sz w:val="24"/>
          <w:szCs w:val="24"/>
        </w:rPr>
        <w:t>2020-2035</w:t>
      </w:r>
      <w:r>
        <w:rPr>
          <w:rFonts w:hint="eastAsia" w:asciiTheme="minorEastAsia" w:hAnsiTheme="minorEastAsia" w:eastAsiaTheme="minorEastAsia" w:cstheme="minorEastAsia"/>
          <w:color w:val="auto"/>
          <w:spacing w:val="-2"/>
          <w:sz w:val="24"/>
          <w:szCs w:val="24"/>
        </w:rPr>
        <w:t>年。</w:t>
      </w:r>
    </w:p>
    <w:p>
      <w:pPr>
        <w:pStyle w:val="32"/>
        <w:numPr>
          <w:ilvl w:val="3"/>
          <w:numId w:val="8"/>
        </w:numPr>
        <w:tabs>
          <w:tab w:val="left" w:pos="2100"/>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规划范围</w:t>
      </w:r>
    </w:p>
    <w:p>
      <w:pPr>
        <w:pStyle w:val="10"/>
        <w:spacing w:line="500" w:lineRule="exact"/>
        <w:ind w:firstLine="42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3"/>
          <w:sz w:val="24"/>
          <w:szCs w:val="24"/>
        </w:rPr>
        <w:t>金鸡镇中心镇区规划控制区范围与镇区管辖范围一致，总</w:t>
      </w:r>
      <w:r>
        <w:rPr>
          <w:rFonts w:hint="eastAsia" w:asciiTheme="minorEastAsia" w:hAnsiTheme="minorEastAsia" w:eastAsiaTheme="minorEastAsia" w:cstheme="minorEastAsia"/>
          <w:color w:val="auto"/>
          <w:spacing w:val="-24"/>
          <w:sz w:val="24"/>
          <w:szCs w:val="24"/>
        </w:rPr>
        <w:t>用地共</w:t>
      </w:r>
      <w:r>
        <w:rPr>
          <w:rFonts w:hint="eastAsia" w:asciiTheme="minorEastAsia" w:hAnsiTheme="minorEastAsia" w:eastAsiaTheme="minorEastAsia" w:cstheme="minorEastAsia"/>
          <w:color w:val="auto"/>
          <w:spacing w:val="-7"/>
          <w:sz w:val="24"/>
          <w:szCs w:val="24"/>
        </w:rPr>
        <w:t>4.673</w:t>
      </w:r>
      <w:r>
        <w:rPr>
          <w:rFonts w:hint="eastAsia" w:asciiTheme="minorEastAsia" w:hAnsiTheme="minorEastAsia" w:eastAsiaTheme="minorEastAsia" w:cstheme="minorEastAsia"/>
          <w:color w:val="auto"/>
          <w:spacing w:val="-10"/>
          <w:sz w:val="24"/>
          <w:szCs w:val="24"/>
        </w:rPr>
        <w:t>平方公里。西至金钟路直通罗贯村委会，东至罗春</w:t>
      </w:r>
      <w:r>
        <w:rPr>
          <w:rFonts w:hint="eastAsia" w:asciiTheme="minorEastAsia" w:hAnsiTheme="minorEastAsia" w:eastAsiaTheme="minorEastAsia" w:cstheme="minorEastAsia"/>
          <w:color w:val="auto"/>
          <w:spacing w:val="-17"/>
          <w:sz w:val="24"/>
          <w:szCs w:val="24"/>
        </w:rPr>
        <w:t>铁路，南直达庙岗村委会，北至开发新区，中有地处金鸡镇最核心</w:t>
      </w:r>
      <w:r>
        <w:rPr>
          <w:rFonts w:hint="eastAsia" w:asciiTheme="minorEastAsia" w:hAnsiTheme="minorEastAsia" w:eastAsiaTheme="minorEastAsia" w:cstheme="minorEastAsia"/>
          <w:color w:val="auto"/>
          <w:spacing w:val="-15"/>
          <w:sz w:val="24"/>
          <w:szCs w:val="24"/>
        </w:rPr>
        <w:t>地带的金鸡镇人民政府，西北有着金鸡镇三座守护山。</w:t>
      </w:r>
    </w:p>
    <w:p>
      <w:pPr>
        <w:pStyle w:val="32"/>
        <w:numPr>
          <w:ilvl w:val="3"/>
          <w:numId w:val="8"/>
        </w:numPr>
        <w:tabs>
          <w:tab w:val="left" w:pos="2002"/>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规划人口</w:t>
      </w:r>
    </w:p>
    <w:p>
      <w:pPr>
        <w:pStyle w:val="10"/>
        <w:spacing w:line="500" w:lineRule="exact"/>
        <w:ind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规划确定镇区内近期</w:t>
      </w:r>
      <w:r>
        <w:rPr>
          <w:rFonts w:hint="eastAsia" w:asciiTheme="minorEastAsia" w:hAnsiTheme="minorEastAsia" w:eastAsiaTheme="minorEastAsia" w:cstheme="minorEastAsia"/>
          <w:color w:val="auto"/>
          <w:spacing w:val="-6"/>
          <w:sz w:val="24"/>
          <w:szCs w:val="24"/>
        </w:rPr>
        <w:t>（2017</w:t>
      </w:r>
      <w:r>
        <w:rPr>
          <w:rFonts w:hint="eastAsia" w:asciiTheme="minorEastAsia" w:hAnsiTheme="minorEastAsia" w:eastAsiaTheme="minorEastAsia" w:cstheme="minorEastAsia"/>
          <w:color w:val="auto"/>
          <w:spacing w:val="-10"/>
          <w:sz w:val="24"/>
          <w:szCs w:val="24"/>
        </w:rPr>
        <w:t xml:space="preserve"> 年</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pacing w:val="6"/>
          <w:sz w:val="24"/>
          <w:szCs w:val="24"/>
        </w:rPr>
        <w:t>为</w:t>
      </w:r>
      <w:r>
        <w:rPr>
          <w:rFonts w:hint="eastAsia" w:asciiTheme="minorEastAsia" w:hAnsiTheme="minorEastAsia" w:eastAsiaTheme="minorEastAsia" w:cstheme="minorEastAsia"/>
          <w:color w:val="auto"/>
          <w:spacing w:val="-7"/>
          <w:sz w:val="24"/>
          <w:szCs w:val="24"/>
        </w:rPr>
        <w:t>2.07万人，镇域总人口</w:t>
      </w:r>
      <w:r>
        <w:rPr>
          <w:rFonts w:hint="eastAsia" w:asciiTheme="minorEastAsia" w:hAnsiTheme="minorEastAsia" w:eastAsiaTheme="minorEastAsia" w:cstheme="minorEastAsia"/>
          <w:color w:val="auto"/>
          <w:spacing w:val="-10"/>
          <w:sz w:val="24"/>
          <w:szCs w:val="24"/>
        </w:rPr>
        <w:t>为</w:t>
      </w:r>
      <w:r>
        <w:rPr>
          <w:rFonts w:hint="eastAsia" w:asciiTheme="minorEastAsia" w:hAnsiTheme="minorEastAsia" w:eastAsiaTheme="minorEastAsia" w:cstheme="minorEastAsia"/>
          <w:color w:val="auto"/>
          <w:spacing w:val="-7"/>
          <w:sz w:val="24"/>
          <w:szCs w:val="24"/>
        </w:rPr>
        <w:t>4.18</w:t>
      </w:r>
      <w:r>
        <w:rPr>
          <w:rFonts w:hint="eastAsia" w:asciiTheme="minorEastAsia" w:hAnsiTheme="minorEastAsia" w:eastAsiaTheme="minorEastAsia" w:cstheme="minorEastAsia"/>
          <w:color w:val="auto"/>
          <w:spacing w:val="-27"/>
          <w:sz w:val="24"/>
          <w:szCs w:val="24"/>
        </w:rPr>
        <w:t>万人；远期</w:t>
      </w:r>
      <w:r>
        <w:rPr>
          <w:rFonts w:hint="eastAsia" w:asciiTheme="minorEastAsia" w:hAnsiTheme="minorEastAsia" w:eastAsiaTheme="minorEastAsia" w:cstheme="minorEastAsia"/>
          <w:color w:val="auto"/>
          <w:spacing w:val="-7"/>
          <w:sz w:val="24"/>
          <w:szCs w:val="24"/>
        </w:rPr>
        <w:t>（2030</w:t>
      </w:r>
      <w:r>
        <w:rPr>
          <w:rFonts w:hint="eastAsia" w:asciiTheme="minorEastAsia" w:hAnsiTheme="minorEastAsia" w:eastAsiaTheme="minorEastAsia" w:cstheme="minorEastAsia"/>
          <w:color w:val="auto"/>
          <w:spacing w:val="-17"/>
          <w:sz w:val="24"/>
          <w:szCs w:val="24"/>
        </w:rPr>
        <w:t>年</w:t>
      </w:r>
      <w:r>
        <w:rPr>
          <w:rFonts w:hint="eastAsia" w:asciiTheme="minorEastAsia" w:hAnsiTheme="minorEastAsia" w:eastAsiaTheme="minorEastAsia" w:cstheme="minorEastAsia"/>
          <w:color w:val="auto"/>
          <w:spacing w:val="-13"/>
          <w:sz w:val="24"/>
          <w:szCs w:val="24"/>
        </w:rPr>
        <w:t>）</w:t>
      </w:r>
      <w:r>
        <w:rPr>
          <w:rFonts w:hint="eastAsia" w:asciiTheme="minorEastAsia" w:hAnsiTheme="minorEastAsia" w:eastAsiaTheme="minorEastAsia" w:cstheme="minorEastAsia"/>
          <w:color w:val="auto"/>
          <w:spacing w:val="-8"/>
          <w:sz w:val="24"/>
          <w:szCs w:val="24"/>
        </w:rPr>
        <w:t>镇区为</w:t>
      </w:r>
      <w:r>
        <w:rPr>
          <w:rFonts w:hint="eastAsia" w:asciiTheme="minorEastAsia" w:hAnsiTheme="minorEastAsia" w:eastAsiaTheme="minorEastAsia" w:cstheme="minorEastAsia"/>
          <w:color w:val="auto"/>
          <w:spacing w:val="-7"/>
          <w:sz w:val="24"/>
          <w:szCs w:val="24"/>
        </w:rPr>
        <w:t>3.01</w:t>
      </w:r>
      <w:r>
        <w:rPr>
          <w:rFonts w:hint="eastAsia" w:asciiTheme="minorEastAsia" w:hAnsiTheme="minorEastAsia" w:eastAsiaTheme="minorEastAsia" w:cstheme="minorEastAsia"/>
          <w:color w:val="auto"/>
          <w:spacing w:val="-14"/>
          <w:sz w:val="24"/>
          <w:szCs w:val="24"/>
        </w:rPr>
        <w:t>万人，镇域总人</w:t>
      </w:r>
      <w:r>
        <w:rPr>
          <w:rFonts w:hint="eastAsia" w:asciiTheme="minorEastAsia" w:hAnsiTheme="minorEastAsia" w:eastAsiaTheme="minorEastAsia" w:cstheme="minorEastAsia"/>
          <w:color w:val="auto"/>
          <w:sz w:val="24"/>
          <w:szCs w:val="24"/>
        </w:rPr>
        <w:t>口为5.29万人。</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(4) 污水工程规划</w:t>
      </w:r>
    </w:p>
    <w:p>
      <w:pPr>
        <w:pStyle w:val="32"/>
        <w:numPr>
          <w:ilvl w:val="0"/>
          <w:numId w:val="12"/>
        </w:numPr>
        <w:tabs>
          <w:tab w:val="left" w:pos="1856"/>
        </w:tabs>
        <w:spacing w:line="500" w:lineRule="exact"/>
        <w:ind w:left="0" w:firstLine="60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1"/>
          <w:sz w:val="24"/>
          <w:szCs w:val="24"/>
        </w:rPr>
        <w:t>规划在镇区东侧建设污水处理厂，处理规模为</w:t>
      </w:r>
      <w:r>
        <w:rPr>
          <w:rFonts w:hint="eastAsia" w:asciiTheme="minorEastAsia" w:hAnsiTheme="minorEastAsia" w:eastAsiaTheme="minorEastAsia" w:cstheme="minorEastAsia"/>
          <w:color w:val="auto"/>
          <w:spacing w:val="-9"/>
          <w:sz w:val="24"/>
          <w:szCs w:val="24"/>
        </w:rPr>
        <w:t>6000m³/d</w:t>
      </w:r>
      <w:r>
        <w:rPr>
          <w:rFonts w:hint="eastAsia" w:asciiTheme="minorEastAsia" w:hAnsiTheme="minorEastAsia" w:eastAsiaTheme="minorEastAsia" w:cstheme="minorEastAsia"/>
          <w:color w:val="auto"/>
          <w:spacing w:val="4"/>
          <w:sz w:val="24"/>
          <w:szCs w:val="24"/>
        </w:rPr>
        <w:t xml:space="preserve">，占地 </w:t>
      </w:r>
      <w:r>
        <w:rPr>
          <w:rFonts w:hint="eastAsia" w:asciiTheme="minorEastAsia" w:hAnsiTheme="minorEastAsia" w:eastAsiaTheme="minorEastAsia" w:cstheme="minorEastAsia"/>
          <w:color w:val="auto"/>
          <w:spacing w:val="-10"/>
          <w:sz w:val="24"/>
          <w:szCs w:val="24"/>
        </w:rPr>
        <w:t>2680m²</w:t>
      </w:r>
      <w:r>
        <w:rPr>
          <w:rFonts w:hint="eastAsia" w:asciiTheme="minorEastAsia" w:hAnsiTheme="minorEastAsia" w:eastAsiaTheme="minorEastAsia" w:cstheme="minorEastAsia"/>
          <w:color w:val="auto"/>
          <w:sz w:val="24"/>
          <w:szCs w:val="24"/>
        </w:rPr>
        <w:t>。规划区污水由市政管网收集进入污</w:t>
      </w:r>
      <w:r>
        <w:rPr>
          <w:rFonts w:hint="eastAsia" w:asciiTheme="minorEastAsia" w:hAnsiTheme="minorEastAsia" w:eastAsiaTheme="minorEastAsia" w:cstheme="minorEastAsia"/>
          <w:color w:val="auto"/>
          <w:spacing w:val="-14"/>
          <w:sz w:val="24"/>
          <w:szCs w:val="24"/>
        </w:rPr>
        <w:t>水处理厂统一处理。</w:t>
      </w:r>
    </w:p>
    <w:p>
      <w:pPr>
        <w:pStyle w:val="32"/>
        <w:numPr>
          <w:ilvl w:val="0"/>
          <w:numId w:val="12"/>
        </w:numPr>
        <w:tabs>
          <w:tab w:val="left" w:pos="1856"/>
        </w:tabs>
        <w:spacing w:line="500" w:lineRule="exact"/>
        <w:ind w:left="0"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根据《城市排水工程规划规范》（GB-50282），结合本区实际状况，污水排放系数取0.85，给水日变化系数取1.6，则规划区日污水量，规划末期2030年为 5843m³/d。</w:t>
      </w:r>
    </w:p>
    <w:p>
      <w:pPr>
        <w:pStyle w:val="32"/>
        <w:numPr>
          <w:ilvl w:val="0"/>
          <w:numId w:val="12"/>
        </w:numPr>
        <w:tabs>
          <w:tab w:val="left" w:pos="1856"/>
        </w:tabs>
        <w:spacing w:line="500" w:lineRule="exact"/>
        <w:ind w:left="0"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根据镇区地形，沿规划主干道埋设污水主干管。污水主干管管径不小于 400mm，起点控制点管底标高不小于2.5米，污水管过河相应集中，以减少工程量及造价。</w:t>
      </w:r>
    </w:p>
    <w:p>
      <w:pPr>
        <w:pStyle w:val="32"/>
        <w:numPr>
          <w:ilvl w:val="2"/>
          <w:numId w:val="8"/>
        </w:numPr>
        <w:tabs>
          <w:tab w:val="left" w:pos="1728"/>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《罗定市生江镇总体规划（2013～2035年</w:t>
      </w:r>
      <w:r>
        <w:rPr>
          <w:rFonts w:hint="eastAsia" w:asciiTheme="minorEastAsia" w:hAnsiTheme="minorEastAsia" w:eastAsiaTheme="minorEastAsia" w:cstheme="minorEastAsia"/>
          <w:b/>
          <w:color w:val="auto"/>
          <w:spacing w:val="-142"/>
          <w:sz w:val="24"/>
          <w:szCs w:val="24"/>
        </w:rPr>
        <w:t>）</w:t>
      </w:r>
      <w:r>
        <w:rPr>
          <w:rFonts w:hint="eastAsia" w:asciiTheme="minorEastAsia" w:hAnsiTheme="minorEastAsia" w:eastAsiaTheme="minorEastAsia" w:cstheme="minorEastAsia"/>
          <w:b/>
          <w:color w:val="auto"/>
          <w:sz w:val="24"/>
          <w:szCs w:val="24"/>
        </w:rPr>
        <w:t>》</w:t>
      </w:r>
    </w:p>
    <w:p>
      <w:pPr>
        <w:pStyle w:val="32"/>
        <w:numPr>
          <w:ilvl w:val="3"/>
          <w:numId w:val="8"/>
        </w:numPr>
        <w:tabs>
          <w:tab w:val="left" w:pos="2002"/>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规划期限</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近期为2013年-2020年； 远期2020-2035年。</w:t>
      </w:r>
    </w:p>
    <w:p>
      <w:pPr>
        <w:pStyle w:val="32"/>
        <w:numPr>
          <w:ilvl w:val="3"/>
          <w:numId w:val="8"/>
        </w:numPr>
        <w:tabs>
          <w:tab w:val="left" w:pos="2100"/>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规划范围</w:t>
      </w:r>
    </w:p>
    <w:p>
      <w:pPr>
        <w:pStyle w:val="10"/>
        <w:spacing w:line="500" w:lineRule="exact"/>
        <w:ind w:firstLine="44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0"/>
          <w:sz w:val="24"/>
          <w:szCs w:val="24"/>
        </w:rPr>
        <w:t>本次规划分为镇区规划和重点地区城市设计。总体规划规</w:t>
      </w:r>
      <w:r>
        <w:rPr>
          <w:rFonts w:hint="eastAsia" w:asciiTheme="minorEastAsia" w:hAnsiTheme="minorEastAsia" w:eastAsiaTheme="minorEastAsia" w:cstheme="minorEastAsia"/>
          <w:color w:val="auto"/>
          <w:spacing w:val="-11"/>
          <w:sz w:val="24"/>
          <w:szCs w:val="24"/>
        </w:rPr>
        <w:t>划范围为生江镇镇区范围；重点地区城市设计范围为镇区北侧</w:t>
      </w:r>
      <w:r>
        <w:rPr>
          <w:rFonts w:hint="eastAsia" w:asciiTheme="minorEastAsia" w:hAnsiTheme="minorEastAsia" w:eastAsiaTheme="minorEastAsia" w:cstheme="minorEastAsia"/>
          <w:color w:val="auto"/>
          <w:spacing w:val="-13"/>
          <w:sz w:val="24"/>
          <w:szCs w:val="24"/>
        </w:rPr>
        <w:t>沿河一带范围。</w:t>
      </w:r>
    </w:p>
    <w:p>
      <w:pPr>
        <w:pStyle w:val="32"/>
        <w:numPr>
          <w:ilvl w:val="3"/>
          <w:numId w:val="8"/>
        </w:numPr>
        <w:tabs>
          <w:tab w:val="left" w:pos="2100"/>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污水工程规划</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规划新增污水处理设施一处，面积约 0.25公顷，位于生江镇区西侧罗定江下游。</w:t>
      </w:r>
    </w:p>
    <w:p>
      <w:pPr>
        <w:pStyle w:val="32"/>
        <w:numPr>
          <w:ilvl w:val="2"/>
          <w:numId w:val="8"/>
        </w:numPr>
        <w:tabs>
          <w:tab w:val="left" w:pos="1728"/>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《罗定市泗纶镇总体规划（2005～2035年</w:t>
      </w:r>
      <w:r>
        <w:rPr>
          <w:rFonts w:hint="eastAsia" w:asciiTheme="minorEastAsia" w:hAnsiTheme="minorEastAsia" w:eastAsiaTheme="minorEastAsia" w:cstheme="minorEastAsia"/>
          <w:b/>
          <w:color w:val="auto"/>
          <w:spacing w:val="-142"/>
          <w:sz w:val="24"/>
          <w:szCs w:val="24"/>
        </w:rPr>
        <w:t>）</w:t>
      </w:r>
      <w:r>
        <w:rPr>
          <w:rFonts w:hint="eastAsia" w:asciiTheme="minorEastAsia" w:hAnsiTheme="minorEastAsia" w:eastAsiaTheme="minorEastAsia" w:cstheme="minorEastAsia"/>
          <w:b/>
          <w:color w:val="auto"/>
          <w:sz w:val="24"/>
          <w:szCs w:val="24"/>
        </w:rPr>
        <w:t>》</w:t>
      </w:r>
    </w:p>
    <w:p>
      <w:pPr>
        <w:pStyle w:val="32"/>
        <w:numPr>
          <w:ilvl w:val="3"/>
          <w:numId w:val="8"/>
        </w:numPr>
        <w:tabs>
          <w:tab w:val="left" w:pos="2002"/>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规划期限</w:t>
      </w:r>
    </w:p>
    <w:p>
      <w:pPr>
        <w:pStyle w:val="10"/>
        <w:spacing w:line="500" w:lineRule="exact"/>
        <w:ind w:firstLine="532"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3"/>
          <w:sz w:val="24"/>
          <w:szCs w:val="24"/>
        </w:rPr>
        <w:t>根据泗纶镇社会经济发展战略，确定本次规划期限为</w:t>
      </w:r>
      <w:r>
        <w:rPr>
          <w:rFonts w:hint="eastAsia" w:asciiTheme="minorEastAsia" w:hAnsiTheme="minorEastAsia" w:eastAsiaTheme="minorEastAsia" w:cstheme="minorEastAsia"/>
          <w:color w:val="auto"/>
          <w:spacing w:val="-10"/>
          <w:sz w:val="24"/>
          <w:szCs w:val="24"/>
        </w:rPr>
        <w:t>2005</w:t>
      </w: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10"/>
          <w:sz w:val="24"/>
          <w:szCs w:val="24"/>
        </w:rPr>
        <w:t>2035</w:t>
      </w:r>
      <w:r>
        <w:rPr>
          <w:rFonts w:hint="eastAsia" w:asciiTheme="minorEastAsia" w:hAnsiTheme="minorEastAsia" w:eastAsiaTheme="minorEastAsia" w:cstheme="minorEastAsia"/>
          <w:color w:val="auto"/>
          <w:spacing w:val="-9"/>
          <w:sz w:val="24"/>
          <w:szCs w:val="24"/>
        </w:rPr>
        <w:t>年。近期建设期限为</w:t>
      </w:r>
      <w:r>
        <w:rPr>
          <w:rFonts w:hint="eastAsia" w:asciiTheme="minorEastAsia" w:hAnsiTheme="minorEastAsia" w:eastAsiaTheme="minorEastAsia" w:cstheme="minorEastAsia"/>
          <w:color w:val="auto"/>
          <w:spacing w:val="-10"/>
          <w:sz w:val="24"/>
          <w:szCs w:val="24"/>
        </w:rPr>
        <w:t>2005</w:t>
      </w: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10"/>
          <w:sz w:val="24"/>
          <w:szCs w:val="24"/>
        </w:rPr>
        <w:t>2020</w:t>
      </w:r>
      <w:r>
        <w:rPr>
          <w:rFonts w:hint="eastAsia" w:asciiTheme="minorEastAsia" w:hAnsiTheme="minorEastAsia" w:eastAsiaTheme="minorEastAsia" w:cstheme="minorEastAsia"/>
          <w:color w:val="auto"/>
          <w:spacing w:val="-13"/>
          <w:sz w:val="24"/>
          <w:szCs w:val="24"/>
        </w:rPr>
        <w:t>年；远期建设期限</w:t>
      </w:r>
      <w:r>
        <w:rPr>
          <w:rFonts w:hint="eastAsia" w:asciiTheme="minorEastAsia" w:hAnsiTheme="minorEastAsia" w:eastAsiaTheme="minorEastAsia" w:cstheme="minorEastAsia"/>
          <w:color w:val="auto"/>
          <w:spacing w:val="-24"/>
          <w:sz w:val="24"/>
          <w:szCs w:val="24"/>
        </w:rPr>
        <w:t>为</w:t>
      </w:r>
      <w:r>
        <w:rPr>
          <w:rFonts w:hint="eastAsia" w:asciiTheme="minorEastAsia" w:hAnsiTheme="minorEastAsia" w:eastAsiaTheme="minorEastAsia" w:cstheme="minorEastAsia"/>
          <w:color w:val="auto"/>
          <w:spacing w:val="-7"/>
          <w:sz w:val="24"/>
          <w:szCs w:val="24"/>
        </w:rPr>
        <w:t>2020</w:t>
      </w:r>
      <w:r>
        <w:rPr>
          <w:rFonts w:hint="eastAsia" w:asciiTheme="minorEastAsia" w:hAnsiTheme="minorEastAsia" w:eastAsiaTheme="minorEastAsia" w:cstheme="minorEastAsia"/>
          <w:color w:val="auto"/>
          <w:spacing w:val="-24"/>
          <w:sz w:val="24"/>
          <w:szCs w:val="24"/>
        </w:rPr>
        <w:t xml:space="preserve"> 年</w:t>
      </w: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8"/>
          <w:sz w:val="24"/>
          <w:szCs w:val="24"/>
        </w:rPr>
        <w:t>2035</w:t>
      </w:r>
      <w:r>
        <w:rPr>
          <w:rFonts w:hint="eastAsia" w:asciiTheme="minorEastAsia" w:hAnsiTheme="minorEastAsia" w:eastAsiaTheme="minorEastAsia" w:cstheme="minorEastAsia"/>
          <w:color w:val="auto"/>
          <w:spacing w:val="-24"/>
          <w:sz w:val="24"/>
          <w:szCs w:val="24"/>
        </w:rPr>
        <w:t>年；远景规划展望下世纪中叶。</w:t>
      </w:r>
    </w:p>
    <w:p>
      <w:pPr>
        <w:pStyle w:val="32"/>
        <w:numPr>
          <w:ilvl w:val="3"/>
          <w:numId w:val="8"/>
        </w:numPr>
        <w:tabs>
          <w:tab w:val="left" w:pos="2002"/>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规划范围</w:t>
      </w:r>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本次规划的规划范围为泗纶镇行政所辖区域：镇域约</w:t>
      </w:r>
      <w:r>
        <w:rPr>
          <w:rFonts w:hint="eastAsia" w:asciiTheme="minorEastAsia" w:hAnsiTheme="minorEastAsia" w:eastAsiaTheme="minorEastAsia" w:cstheme="minorEastAsia"/>
          <w:color w:val="auto"/>
          <w:spacing w:val="-10"/>
          <w:sz w:val="24"/>
          <w:szCs w:val="24"/>
        </w:rPr>
        <w:t>233.75km²</w:t>
      </w:r>
      <w:r>
        <w:rPr>
          <w:rFonts w:hint="eastAsia" w:asciiTheme="minorEastAsia" w:hAnsiTheme="minorEastAsia" w:eastAsiaTheme="minorEastAsia" w:cstheme="minorEastAsia"/>
          <w:color w:val="auto"/>
          <w:spacing w:val="-18"/>
          <w:sz w:val="24"/>
          <w:szCs w:val="24"/>
        </w:rPr>
        <w:t xml:space="preserve">， 镇区约 </w:t>
      </w:r>
      <w:r>
        <w:rPr>
          <w:rFonts w:hint="eastAsia" w:asciiTheme="minorEastAsia" w:hAnsiTheme="minorEastAsia" w:eastAsiaTheme="minorEastAsia" w:cstheme="minorEastAsia"/>
          <w:color w:val="auto"/>
          <w:spacing w:val="-14"/>
          <w:sz w:val="24"/>
          <w:szCs w:val="24"/>
        </w:rPr>
        <w:t>5km²</w:t>
      </w:r>
      <w:r>
        <w:rPr>
          <w:rFonts w:hint="eastAsia" w:asciiTheme="minorEastAsia" w:hAnsiTheme="minorEastAsia" w:eastAsiaTheme="minorEastAsia" w:cstheme="minorEastAsia"/>
          <w:color w:val="auto"/>
          <w:sz w:val="24"/>
          <w:szCs w:val="24"/>
        </w:rPr>
        <w:t>。</w:t>
      </w:r>
    </w:p>
    <w:p>
      <w:pPr>
        <w:pStyle w:val="32"/>
        <w:numPr>
          <w:ilvl w:val="3"/>
          <w:numId w:val="8"/>
        </w:numPr>
        <w:tabs>
          <w:tab w:val="left" w:pos="2002"/>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规划人口</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镇域人口发展规模预测：</w:t>
      </w:r>
    </w:p>
    <w:p>
      <w:pPr>
        <w:spacing w:line="500" w:lineRule="exact"/>
        <w:ind w:firstLine="422" w:firstLineChars="200"/>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表3.5-1 镇域人口发展规模预测表</w:t>
      </w:r>
    </w:p>
    <w:tbl>
      <w:tblPr>
        <w:tblStyle w:val="27"/>
        <w:tblW w:w="8303" w:type="dxa"/>
        <w:tblInd w:w="42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068"/>
        <w:gridCol w:w="2101"/>
        <w:gridCol w:w="2063"/>
        <w:gridCol w:w="207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661" w:hRule="atLeast"/>
        </w:trPr>
        <w:tc>
          <w:tcPr>
            <w:tcW w:w="2068" w:type="dxa"/>
            <w:tcBorders>
              <w:bottom w:val="single" w:color="000000" w:sz="6" w:space="0"/>
              <w:right w:val="single" w:color="000000" w:sz="6" w:space="0"/>
            </w:tcBorders>
            <w:vAlign w:val="center"/>
          </w:tcPr>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内容</w:t>
            </w:r>
          </w:p>
        </w:tc>
        <w:tc>
          <w:tcPr>
            <w:tcW w:w="2101" w:type="dxa"/>
            <w:tcBorders>
              <w:left w:val="single" w:color="000000" w:sz="6" w:space="0"/>
              <w:bottom w:val="single" w:color="000000" w:sz="6" w:space="0"/>
              <w:right w:val="single" w:color="000000" w:sz="6" w:space="0"/>
            </w:tcBorders>
            <w:vAlign w:val="center"/>
          </w:tcPr>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总人口（万人）</w:t>
            </w:r>
          </w:p>
        </w:tc>
        <w:tc>
          <w:tcPr>
            <w:tcW w:w="2063" w:type="dxa"/>
            <w:tcBorders>
              <w:left w:val="single" w:color="000000" w:sz="6" w:space="0"/>
              <w:bottom w:val="single" w:color="000000" w:sz="6" w:space="0"/>
              <w:right w:val="single" w:color="000000" w:sz="6" w:space="0"/>
            </w:tcBorders>
            <w:vAlign w:val="center"/>
          </w:tcPr>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常住人口（万人）</w:t>
            </w:r>
          </w:p>
        </w:tc>
        <w:tc>
          <w:tcPr>
            <w:tcW w:w="2071" w:type="dxa"/>
            <w:tcBorders>
              <w:left w:val="single" w:color="000000" w:sz="6" w:space="0"/>
              <w:bottom w:val="single" w:color="000000" w:sz="6" w:space="0"/>
            </w:tcBorders>
            <w:vAlign w:val="center"/>
          </w:tcPr>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pacing w:val="1"/>
                <w:w w:val="90"/>
                <w:sz w:val="21"/>
                <w:szCs w:val="21"/>
              </w:rPr>
              <w:t>暂住人口</w:t>
            </w:r>
          </w:p>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w w:val="90"/>
                <w:sz w:val="21"/>
                <w:szCs w:val="21"/>
              </w:rPr>
              <w:t>（</w:t>
            </w:r>
            <w:r>
              <w:rPr>
                <w:rFonts w:hint="eastAsia" w:asciiTheme="minorEastAsia" w:hAnsiTheme="minorEastAsia" w:eastAsiaTheme="minorEastAsia" w:cstheme="minorEastAsia"/>
                <w:b/>
                <w:color w:val="auto"/>
                <w:spacing w:val="4"/>
                <w:w w:val="90"/>
                <w:sz w:val="21"/>
                <w:szCs w:val="21"/>
              </w:rPr>
              <w:t>万人</w:t>
            </w:r>
            <w:r>
              <w:rPr>
                <w:rFonts w:hint="eastAsia" w:asciiTheme="minorEastAsia" w:hAnsiTheme="minorEastAsia" w:eastAsiaTheme="minorEastAsia" w:cstheme="minorEastAsia"/>
                <w:b/>
                <w:color w:val="auto"/>
                <w:w w:val="90"/>
                <w:sz w:val="21"/>
                <w:szCs w:val="21"/>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 w:hRule="atLeast"/>
        </w:trPr>
        <w:tc>
          <w:tcPr>
            <w:tcW w:w="2068" w:type="dxa"/>
            <w:tcBorders>
              <w:top w:val="single" w:color="000000" w:sz="6" w:space="0"/>
              <w:bottom w:val="single" w:color="000000" w:sz="6" w:space="0"/>
              <w:right w:val="single" w:color="000000" w:sz="6" w:space="0"/>
            </w:tcBorders>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近期2020年</w:t>
            </w:r>
          </w:p>
        </w:tc>
        <w:tc>
          <w:tcPr>
            <w:tcW w:w="2101" w:type="dxa"/>
            <w:tcBorders>
              <w:top w:val="single" w:color="000000" w:sz="6" w:space="0"/>
              <w:left w:val="single" w:color="000000" w:sz="6" w:space="0"/>
              <w:bottom w:val="single" w:color="000000" w:sz="6" w:space="0"/>
              <w:right w:val="single" w:color="000000" w:sz="6" w:space="0"/>
            </w:tcBorders>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7.65</w:t>
            </w:r>
          </w:p>
        </w:tc>
        <w:tc>
          <w:tcPr>
            <w:tcW w:w="2063" w:type="dxa"/>
            <w:tcBorders>
              <w:top w:val="single" w:color="000000" w:sz="6" w:space="0"/>
              <w:left w:val="single" w:color="000000" w:sz="6" w:space="0"/>
              <w:bottom w:val="single" w:color="000000" w:sz="6" w:space="0"/>
              <w:right w:val="single" w:color="000000" w:sz="6" w:space="0"/>
            </w:tcBorders>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7.30</w:t>
            </w:r>
          </w:p>
        </w:tc>
        <w:tc>
          <w:tcPr>
            <w:tcW w:w="2071" w:type="dxa"/>
            <w:tcBorders>
              <w:top w:val="single" w:color="000000" w:sz="6" w:space="0"/>
              <w:left w:val="single" w:color="000000" w:sz="6" w:space="0"/>
              <w:bottom w:val="single" w:color="000000" w:sz="6" w:space="0"/>
            </w:tcBorders>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0.35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2068" w:type="dxa"/>
            <w:tcBorders>
              <w:top w:val="single" w:color="000000" w:sz="6" w:space="0"/>
              <w:right w:val="single" w:color="000000" w:sz="6" w:space="0"/>
            </w:tcBorders>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远期2035年</w:t>
            </w:r>
          </w:p>
        </w:tc>
        <w:tc>
          <w:tcPr>
            <w:tcW w:w="2101" w:type="dxa"/>
            <w:tcBorders>
              <w:top w:val="single" w:color="000000" w:sz="6" w:space="0"/>
              <w:left w:val="single" w:color="000000" w:sz="6" w:space="0"/>
              <w:right w:val="single" w:color="000000" w:sz="6" w:space="0"/>
            </w:tcBorders>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8.25</w:t>
            </w:r>
          </w:p>
        </w:tc>
        <w:tc>
          <w:tcPr>
            <w:tcW w:w="2063" w:type="dxa"/>
            <w:tcBorders>
              <w:top w:val="single" w:color="000000" w:sz="6" w:space="0"/>
              <w:left w:val="single" w:color="000000" w:sz="6" w:space="0"/>
              <w:right w:val="single" w:color="000000" w:sz="6" w:space="0"/>
            </w:tcBorders>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7.60</w:t>
            </w:r>
          </w:p>
        </w:tc>
        <w:tc>
          <w:tcPr>
            <w:tcW w:w="2071" w:type="dxa"/>
            <w:tcBorders>
              <w:top w:val="single" w:color="000000" w:sz="6" w:space="0"/>
              <w:left w:val="single" w:color="000000" w:sz="6" w:space="0"/>
            </w:tcBorders>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0.62</w:t>
            </w:r>
          </w:p>
        </w:tc>
      </w:tr>
    </w:tbl>
    <w:p>
      <w:pPr>
        <w:pStyle w:val="32"/>
        <w:numPr>
          <w:ilvl w:val="3"/>
          <w:numId w:val="8"/>
        </w:numPr>
        <w:tabs>
          <w:tab w:val="left" w:pos="2100"/>
        </w:tabs>
        <w:spacing w:line="500" w:lineRule="exact"/>
        <w:ind w:left="0" w:firstLine="46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4"/>
          <w:sz w:val="24"/>
          <w:szCs w:val="24"/>
        </w:rPr>
        <w:t>城镇化水平</w:t>
      </w:r>
    </w:p>
    <w:p>
      <w:pPr>
        <w:pStyle w:val="10"/>
        <w:spacing w:line="500" w:lineRule="exact"/>
        <w:ind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 xml:space="preserve">考虑到泗纶镇原有城镇化水平较低，且合并了原都门 </w:t>
      </w:r>
      <w:r>
        <w:rPr>
          <w:rFonts w:hint="eastAsia" w:asciiTheme="minorEastAsia" w:hAnsiTheme="minorEastAsia" w:eastAsiaTheme="minorEastAsia" w:cstheme="minorEastAsia"/>
          <w:color w:val="auto"/>
          <w:spacing w:val="-6"/>
          <w:sz w:val="24"/>
          <w:szCs w:val="24"/>
        </w:rPr>
        <w:t>镇，增大了镇域人口规模，综合评价其今后发展中的优势所</w:t>
      </w:r>
      <w:r>
        <w:rPr>
          <w:rFonts w:hint="eastAsia" w:asciiTheme="minorEastAsia" w:hAnsiTheme="minorEastAsia" w:eastAsiaTheme="minorEastAsia" w:cstheme="minorEastAsia"/>
          <w:color w:val="auto"/>
          <w:spacing w:val="-4"/>
          <w:sz w:val="24"/>
          <w:szCs w:val="24"/>
        </w:rPr>
        <w:t>在，规划到</w:t>
      </w:r>
      <w:r>
        <w:rPr>
          <w:rFonts w:hint="eastAsia" w:asciiTheme="minorEastAsia" w:hAnsiTheme="minorEastAsia" w:eastAsiaTheme="minorEastAsia" w:cstheme="minorEastAsia"/>
          <w:color w:val="auto"/>
          <w:sz w:val="24"/>
          <w:szCs w:val="24"/>
        </w:rPr>
        <w:t>2020</w:t>
      </w:r>
      <w:r>
        <w:rPr>
          <w:rFonts w:hint="eastAsia" w:asciiTheme="minorEastAsia" w:hAnsiTheme="minorEastAsia" w:eastAsiaTheme="minorEastAsia" w:cstheme="minorEastAsia"/>
          <w:color w:val="auto"/>
          <w:spacing w:val="-6"/>
          <w:sz w:val="24"/>
          <w:szCs w:val="24"/>
        </w:rPr>
        <w:t>年城镇化水平达到</w:t>
      </w:r>
      <w:r>
        <w:rPr>
          <w:rFonts w:hint="eastAsia" w:asciiTheme="minorEastAsia" w:hAnsiTheme="minorEastAsia" w:eastAsiaTheme="minorEastAsia" w:cstheme="minorEastAsia"/>
          <w:color w:val="auto"/>
          <w:sz w:val="24"/>
          <w:szCs w:val="24"/>
        </w:rPr>
        <w:t>39.87%，到 2035</w:t>
      </w:r>
      <w:r>
        <w:rPr>
          <w:rFonts w:hint="eastAsia" w:asciiTheme="minorEastAsia" w:hAnsiTheme="minorEastAsia" w:eastAsiaTheme="minorEastAsia" w:cstheme="minorEastAsia"/>
          <w:color w:val="auto"/>
          <w:spacing w:val="-17"/>
          <w:sz w:val="24"/>
          <w:szCs w:val="24"/>
        </w:rPr>
        <w:t>年</w:t>
      </w:r>
      <w:r>
        <w:rPr>
          <w:rFonts w:hint="eastAsia" w:asciiTheme="minorEastAsia" w:hAnsiTheme="minorEastAsia" w:eastAsiaTheme="minorEastAsia" w:cstheme="minorEastAsia"/>
          <w:color w:val="auto"/>
          <w:spacing w:val="-11"/>
          <w:sz w:val="24"/>
          <w:szCs w:val="24"/>
        </w:rPr>
        <w:t>城镇化水平达到</w:t>
      </w:r>
      <w:r>
        <w:rPr>
          <w:rFonts w:hint="eastAsia" w:asciiTheme="minorEastAsia" w:hAnsiTheme="minorEastAsia" w:eastAsiaTheme="minorEastAsia" w:cstheme="minorEastAsia"/>
          <w:color w:val="auto"/>
          <w:sz w:val="24"/>
          <w:szCs w:val="24"/>
        </w:rPr>
        <w:t>60.61%</w:t>
      </w:r>
      <w:r>
        <w:rPr>
          <w:rFonts w:hint="eastAsia" w:asciiTheme="minorEastAsia" w:hAnsiTheme="minorEastAsia" w:eastAsiaTheme="minorEastAsia" w:cstheme="minorEastAsia"/>
          <w:color w:val="auto"/>
          <w:spacing w:val="-2"/>
          <w:sz w:val="24"/>
          <w:szCs w:val="24"/>
        </w:rPr>
        <w:t>左右。</w:t>
      </w:r>
    </w:p>
    <w:p>
      <w:pPr>
        <w:pStyle w:val="32"/>
        <w:numPr>
          <w:ilvl w:val="3"/>
          <w:numId w:val="8"/>
        </w:numPr>
        <w:tabs>
          <w:tab w:val="left" w:pos="2069"/>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污水工程规划</w:t>
      </w:r>
    </w:p>
    <w:p>
      <w:pPr>
        <w:pStyle w:val="32"/>
        <w:numPr>
          <w:ilvl w:val="0"/>
          <w:numId w:val="13"/>
        </w:numPr>
        <w:tabs>
          <w:tab w:val="left" w:pos="1863"/>
        </w:tabs>
        <w:spacing w:line="500" w:lineRule="exact"/>
        <w:ind w:left="0"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排水体制：采用雨污分流制，旧镇区可结合城镇的改</w:t>
      </w:r>
      <w:r>
        <w:rPr>
          <w:rFonts w:hint="eastAsia" w:asciiTheme="minorEastAsia" w:hAnsiTheme="minorEastAsia" w:eastAsiaTheme="minorEastAsia" w:cstheme="minorEastAsia"/>
          <w:color w:val="auto"/>
          <w:spacing w:val="-5"/>
          <w:sz w:val="24"/>
          <w:szCs w:val="24"/>
        </w:rPr>
        <w:t>造和建设逐步实行雨污分流制。</w:t>
      </w:r>
    </w:p>
    <w:p>
      <w:pPr>
        <w:pStyle w:val="32"/>
        <w:numPr>
          <w:ilvl w:val="0"/>
          <w:numId w:val="13"/>
        </w:numPr>
        <w:tabs>
          <w:tab w:val="left" w:pos="1863"/>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污水量预测：预测规划期内综合生活污水量为</w:t>
      </w:r>
      <w:r>
        <w:rPr>
          <w:rFonts w:hint="eastAsia" w:asciiTheme="minorEastAsia" w:hAnsiTheme="minorEastAsia" w:eastAsiaTheme="minorEastAsia" w:cstheme="minorEastAsia"/>
          <w:color w:val="auto"/>
          <w:spacing w:val="-4"/>
          <w:sz w:val="24"/>
          <w:szCs w:val="24"/>
        </w:rPr>
        <w:t>0.65</w:t>
      </w:r>
      <w:r>
        <w:rPr>
          <w:rFonts w:hint="eastAsia" w:asciiTheme="minorEastAsia" w:hAnsiTheme="minorEastAsia" w:eastAsiaTheme="minorEastAsia" w:cstheme="minorEastAsia"/>
          <w:color w:val="auto"/>
          <w:spacing w:val="-3"/>
          <w:sz w:val="24"/>
          <w:szCs w:val="24"/>
        </w:rPr>
        <w:t>万</w:t>
      </w:r>
      <w:r>
        <w:rPr>
          <w:rFonts w:hint="eastAsia" w:asciiTheme="minorEastAsia" w:hAnsiTheme="minorEastAsia" w:eastAsiaTheme="minorEastAsia" w:cstheme="minorEastAsia"/>
          <w:color w:val="auto"/>
          <w:sz w:val="24"/>
          <w:szCs w:val="24"/>
        </w:rPr>
        <w:t>m³/d。</w:t>
      </w:r>
    </w:p>
    <w:p>
      <w:pPr>
        <w:pStyle w:val="32"/>
        <w:numPr>
          <w:ilvl w:val="0"/>
          <w:numId w:val="13"/>
        </w:numPr>
        <w:tabs>
          <w:tab w:val="left" w:pos="1863"/>
        </w:tabs>
        <w:spacing w:line="500" w:lineRule="exact"/>
        <w:ind w:left="0"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污水处理厂：规划近期在泗纶河下游栗场村附近建设</w:t>
      </w:r>
      <w:r>
        <w:rPr>
          <w:rFonts w:hint="eastAsia" w:asciiTheme="minorEastAsia" w:hAnsiTheme="minorEastAsia" w:eastAsiaTheme="minorEastAsia" w:cstheme="minorEastAsia"/>
          <w:color w:val="auto"/>
          <w:spacing w:val="-5"/>
          <w:sz w:val="24"/>
          <w:szCs w:val="24"/>
        </w:rPr>
        <w:t xml:space="preserve">污水处理厂，主要服务镇区，规模为近期 </w:t>
      </w:r>
      <w:r>
        <w:rPr>
          <w:rFonts w:hint="eastAsia" w:asciiTheme="minorEastAsia" w:hAnsiTheme="minorEastAsia" w:eastAsiaTheme="minorEastAsia" w:cstheme="minorEastAsia"/>
          <w:color w:val="auto"/>
          <w:sz w:val="24"/>
          <w:szCs w:val="24"/>
        </w:rPr>
        <w:t>0.35</w:t>
      </w:r>
      <w:r>
        <w:rPr>
          <w:rFonts w:hint="eastAsia" w:asciiTheme="minorEastAsia" w:hAnsiTheme="minorEastAsia" w:eastAsiaTheme="minorEastAsia" w:cstheme="minorEastAsia"/>
          <w:color w:val="auto"/>
          <w:spacing w:val="2"/>
          <w:sz w:val="24"/>
          <w:szCs w:val="24"/>
        </w:rPr>
        <w:t xml:space="preserve"> </w:t>
      </w:r>
      <w:r>
        <w:rPr>
          <w:rFonts w:hint="eastAsia" w:asciiTheme="minorEastAsia" w:hAnsiTheme="minorEastAsia" w:eastAsiaTheme="minorEastAsia" w:cstheme="minorEastAsia"/>
          <w:color w:val="auto"/>
          <w:sz w:val="24"/>
          <w:szCs w:val="24"/>
        </w:rPr>
        <w:t xml:space="preserve">m³/d， </w:t>
      </w:r>
      <w:r>
        <w:rPr>
          <w:rFonts w:hint="eastAsia" w:asciiTheme="minorEastAsia" w:hAnsiTheme="minorEastAsia" w:eastAsiaTheme="minorEastAsia" w:cstheme="minorEastAsia"/>
          <w:color w:val="auto"/>
          <w:spacing w:val="-3"/>
          <w:sz w:val="24"/>
          <w:szCs w:val="24"/>
        </w:rPr>
        <w:t xml:space="preserve">远期 </w:t>
      </w:r>
      <w:r>
        <w:rPr>
          <w:rFonts w:hint="eastAsia" w:asciiTheme="minorEastAsia" w:hAnsiTheme="minorEastAsia" w:eastAsiaTheme="minorEastAsia" w:cstheme="minorEastAsia"/>
          <w:color w:val="auto"/>
          <w:sz w:val="24"/>
          <w:szCs w:val="24"/>
        </w:rPr>
        <w:t>0.65</w:t>
      </w:r>
      <w:r>
        <w:rPr>
          <w:rFonts w:hint="eastAsia" w:asciiTheme="minorEastAsia" w:hAnsiTheme="minorEastAsia" w:eastAsiaTheme="minorEastAsia" w:cstheme="minorEastAsia"/>
          <w:color w:val="auto"/>
          <w:spacing w:val="-3"/>
          <w:sz w:val="24"/>
          <w:szCs w:val="24"/>
        </w:rPr>
        <w:t>万</w:t>
      </w:r>
      <w:r>
        <w:rPr>
          <w:rFonts w:hint="eastAsia" w:asciiTheme="minorEastAsia" w:hAnsiTheme="minorEastAsia" w:eastAsiaTheme="minorEastAsia" w:cstheme="minorEastAsia"/>
          <w:color w:val="auto"/>
          <w:sz w:val="24"/>
          <w:szCs w:val="24"/>
        </w:rPr>
        <w:t>m³/d。</w:t>
      </w:r>
    </w:p>
    <w:p>
      <w:pPr>
        <w:pStyle w:val="32"/>
        <w:numPr>
          <w:ilvl w:val="0"/>
          <w:numId w:val="13"/>
        </w:numPr>
        <w:tabs>
          <w:tab w:val="left" w:pos="1863"/>
        </w:tabs>
        <w:spacing w:line="500" w:lineRule="exact"/>
        <w:ind w:left="0" w:firstLine="464" w:firstLineChars="200"/>
        <w:jc w:val="both"/>
        <w:rPr>
          <w:rFonts w:asciiTheme="minorEastAsia" w:hAnsiTheme="minorEastAsia" w:eastAsiaTheme="minorEastAsia" w:cstheme="minorEastAsia"/>
          <w:color w:val="auto"/>
          <w:spacing w:val="-4"/>
          <w:sz w:val="24"/>
          <w:szCs w:val="24"/>
        </w:rPr>
      </w:pPr>
      <w:r>
        <w:rPr>
          <w:rFonts w:hint="eastAsia" w:asciiTheme="minorEastAsia" w:hAnsiTheme="minorEastAsia" w:eastAsiaTheme="minorEastAsia" w:cstheme="minorEastAsia"/>
          <w:color w:val="auto"/>
          <w:spacing w:val="-4"/>
          <w:sz w:val="24"/>
          <w:szCs w:val="24"/>
        </w:rPr>
        <w:t>污水管网：以东西向发展轴（国庆路）为界，北部污水由北向南、由西向东沿道路顺污水管进入污水处理厂，南部污水由南向北、由西向东沿道路顺污水管进入污水处理厂，污水管管径 DN300~DN500。</w:t>
      </w:r>
    </w:p>
    <w:p>
      <w:pPr>
        <w:pStyle w:val="32"/>
        <w:numPr>
          <w:ilvl w:val="2"/>
          <w:numId w:val="8"/>
        </w:numPr>
        <w:tabs>
          <w:tab w:val="left" w:pos="1728"/>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《罗定市罗镜镇总体规划（2003～2035年</w:t>
      </w:r>
      <w:r>
        <w:rPr>
          <w:rFonts w:hint="eastAsia" w:asciiTheme="minorEastAsia" w:hAnsiTheme="minorEastAsia" w:eastAsiaTheme="minorEastAsia" w:cstheme="minorEastAsia"/>
          <w:b/>
          <w:color w:val="auto"/>
          <w:spacing w:val="-142"/>
          <w:sz w:val="24"/>
          <w:szCs w:val="24"/>
        </w:rPr>
        <w:t>）</w:t>
      </w:r>
      <w:r>
        <w:rPr>
          <w:rFonts w:hint="eastAsia" w:asciiTheme="minorEastAsia" w:hAnsiTheme="minorEastAsia" w:eastAsiaTheme="minorEastAsia" w:cstheme="minorEastAsia"/>
          <w:b/>
          <w:color w:val="auto"/>
          <w:sz w:val="24"/>
          <w:szCs w:val="24"/>
        </w:rPr>
        <w:t>》</w:t>
      </w:r>
    </w:p>
    <w:p>
      <w:pPr>
        <w:pStyle w:val="32"/>
        <w:numPr>
          <w:ilvl w:val="3"/>
          <w:numId w:val="8"/>
        </w:numPr>
        <w:tabs>
          <w:tab w:val="left" w:pos="2002"/>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规划期限</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近期建设期限：2003—2020； 远期建设期限：2020—2035。</w:t>
      </w:r>
    </w:p>
    <w:p>
      <w:pPr>
        <w:pStyle w:val="32"/>
        <w:numPr>
          <w:ilvl w:val="3"/>
          <w:numId w:val="8"/>
        </w:numPr>
        <w:tabs>
          <w:tab w:val="left" w:pos="2002"/>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规划范围</w:t>
      </w:r>
    </w:p>
    <w:p>
      <w:pPr>
        <w:pStyle w:val="10"/>
        <w:spacing w:line="500" w:lineRule="exact"/>
        <w:ind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近期建设的规划范围：东起东山公园，西至罗镜三中，南起40米主干道（城中路），北至旧过境公路（泷水路）。</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(3) 规划人口</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人口发展规模预测：</w:t>
      </w:r>
    </w:p>
    <w:p>
      <w:pPr>
        <w:spacing w:line="500" w:lineRule="exact"/>
        <w:ind w:firstLine="422" w:firstLineChars="200"/>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表3.5-2  镇域人口发展规模预测表</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02"/>
        <w:gridCol w:w="1487"/>
        <w:gridCol w:w="3198"/>
        <w:gridCol w:w="30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08" w:hRule="atLeast"/>
          <w:jc w:val="center"/>
        </w:trPr>
        <w:tc>
          <w:tcPr>
            <w:tcW w:w="1471" w:type="pct"/>
            <w:gridSpan w:val="2"/>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内容</w:t>
            </w:r>
          </w:p>
        </w:tc>
        <w:tc>
          <w:tcPr>
            <w:tcW w:w="1817"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总人口（万人）</w:t>
            </w:r>
          </w:p>
        </w:tc>
        <w:tc>
          <w:tcPr>
            <w:tcW w:w="1712"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pacing w:val="-3"/>
                <w:sz w:val="21"/>
                <w:szCs w:val="21"/>
              </w:rPr>
              <w:t>镇区人口（万人</w:t>
            </w:r>
            <w:r>
              <w:rPr>
                <w:rFonts w:hint="eastAsia" w:asciiTheme="minorEastAsia" w:hAnsiTheme="minorEastAsia" w:eastAsiaTheme="minorEastAsia" w:cstheme="minorEastAsia"/>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6" w:hRule="atLeast"/>
          <w:jc w:val="center"/>
        </w:trPr>
        <w:tc>
          <w:tcPr>
            <w:tcW w:w="626"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近期</w:t>
            </w:r>
          </w:p>
        </w:tc>
        <w:tc>
          <w:tcPr>
            <w:tcW w:w="845"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2020年</w:t>
            </w:r>
          </w:p>
        </w:tc>
        <w:tc>
          <w:tcPr>
            <w:tcW w:w="1817"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8.92</w:t>
            </w:r>
          </w:p>
        </w:tc>
        <w:tc>
          <w:tcPr>
            <w:tcW w:w="1712"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7" w:hRule="atLeast"/>
          <w:jc w:val="center"/>
        </w:trPr>
        <w:tc>
          <w:tcPr>
            <w:tcW w:w="626"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远期</w:t>
            </w:r>
          </w:p>
        </w:tc>
        <w:tc>
          <w:tcPr>
            <w:tcW w:w="845"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2035年</w:t>
            </w:r>
          </w:p>
        </w:tc>
        <w:tc>
          <w:tcPr>
            <w:tcW w:w="1817"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10.07</w:t>
            </w:r>
          </w:p>
        </w:tc>
        <w:tc>
          <w:tcPr>
            <w:tcW w:w="1712"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5.00</w:t>
            </w:r>
          </w:p>
        </w:tc>
      </w:tr>
    </w:tbl>
    <w:p>
      <w:pPr>
        <w:pStyle w:val="32"/>
        <w:numPr>
          <w:ilvl w:val="0"/>
          <w:numId w:val="14"/>
        </w:numPr>
        <w:tabs>
          <w:tab w:val="left" w:pos="2000"/>
        </w:tabs>
        <w:spacing w:line="500" w:lineRule="exact"/>
        <w:ind w:left="0" w:firstLine="46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4"/>
          <w:sz w:val="24"/>
          <w:szCs w:val="24"/>
        </w:rPr>
        <w:t>城镇化水平</w:t>
      </w:r>
    </w:p>
    <w:p>
      <w:pPr>
        <w:pStyle w:val="10"/>
        <w:spacing w:line="500" w:lineRule="exact"/>
        <w:ind w:firstLine="432"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2"/>
          <w:sz w:val="24"/>
          <w:szCs w:val="24"/>
        </w:rPr>
        <w:t>城镇化水平预测：考虑罗镜镇原有城镇化水平较低，和综</w:t>
      </w:r>
      <w:r>
        <w:rPr>
          <w:rFonts w:hint="eastAsia" w:asciiTheme="minorEastAsia" w:hAnsiTheme="minorEastAsia" w:eastAsiaTheme="minorEastAsia" w:cstheme="minorEastAsia"/>
          <w:color w:val="auto"/>
          <w:spacing w:val="-4"/>
          <w:sz w:val="24"/>
          <w:szCs w:val="24"/>
        </w:rPr>
        <w:t>合评价其今后发展中的优势所在，规划近期取</w:t>
      </w:r>
      <w:r>
        <w:rPr>
          <w:rFonts w:hint="eastAsia" w:asciiTheme="minorEastAsia" w:hAnsiTheme="minorEastAsia" w:eastAsiaTheme="minorEastAsia" w:cstheme="minorEastAsia"/>
          <w:color w:val="auto"/>
          <w:spacing w:val="-6"/>
          <w:sz w:val="24"/>
          <w:szCs w:val="24"/>
        </w:rPr>
        <w:t>32</w:t>
      </w:r>
      <w:r>
        <w:rPr>
          <w:rFonts w:hint="eastAsia" w:asciiTheme="minorEastAsia" w:hAnsiTheme="minorEastAsia" w:eastAsiaTheme="minorEastAsia" w:cstheme="minorEastAsia"/>
          <w:color w:val="auto"/>
          <w:spacing w:val="-5"/>
          <w:sz w:val="24"/>
          <w:szCs w:val="24"/>
        </w:rPr>
        <w:t>％，中期取</w:t>
      </w:r>
      <w:r>
        <w:rPr>
          <w:rFonts w:hint="eastAsia" w:asciiTheme="minorEastAsia" w:hAnsiTheme="minorEastAsia" w:eastAsiaTheme="minorEastAsia" w:cstheme="minorEastAsia"/>
          <w:color w:val="auto"/>
          <w:spacing w:val="-20"/>
          <w:sz w:val="24"/>
          <w:szCs w:val="24"/>
        </w:rPr>
        <w:t>37</w:t>
      </w:r>
      <w:r>
        <w:rPr>
          <w:rFonts w:hint="eastAsia" w:asciiTheme="minorEastAsia" w:hAnsiTheme="minorEastAsia" w:eastAsiaTheme="minorEastAsia" w:cstheme="minorEastAsia"/>
          <w:color w:val="auto"/>
          <w:spacing w:val="-25"/>
          <w:sz w:val="24"/>
          <w:szCs w:val="24"/>
        </w:rPr>
        <w:t>％，远期取</w:t>
      </w:r>
      <w:r>
        <w:rPr>
          <w:rFonts w:hint="eastAsia" w:asciiTheme="minorEastAsia" w:hAnsiTheme="minorEastAsia" w:eastAsiaTheme="minorEastAsia" w:cstheme="minorEastAsia"/>
          <w:color w:val="auto"/>
          <w:spacing w:val="-12"/>
          <w:sz w:val="24"/>
          <w:szCs w:val="24"/>
        </w:rPr>
        <w:t>50</w:t>
      </w:r>
      <w:r>
        <w:rPr>
          <w:rFonts w:hint="eastAsia" w:asciiTheme="minorEastAsia" w:hAnsiTheme="minorEastAsia" w:eastAsiaTheme="minorEastAsia" w:cstheme="minorEastAsia"/>
          <w:color w:val="auto"/>
          <w:spacing w:val="-6"/>
          <w:sz w:val="24"/>
          <w:szCs w:val="24"/>
        </w:rPr>
        <w:t>％。</w:t>
      </w:r>
    </w:p>
    <w:p>
      <w:pPr>
        <w:pStyle w:val="32"/>
        <w:numPr>
          <w:ilvl w:val="0"/>
          <w:numId w:val="14"/>
        </w:numPr>
        <w:tabs>
          <w:tab w:val="left" w:pos="2000"/>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污水工程规划</w:t>
      </w:r>
    </w:p>
    <w:p>
      <w:pPr>
        <w:pStyle w:val="32"/>
        <w:numPr>
          <w:ilvl w:val="0"/>
          <w:numId w:val="15"/>
        </w:numPr>
        <w:tabs>
          <w:tab w:val="left" w:pos="1853"/>
        </w:tabs>
        <w:spacing w:line="500" w:lineRule="exact"/>
        <w:ind w:left="0" w:firstLine="420" w:firstLineChars="20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污水处理厂：在镇区的东南角，靠近罗镜河设置一污水</w:t>
      </w:r>
      <w:r>
        <w:rPr>
          <w:rFonts w:hint="eastAsia" w:asciiTheme="minorEastAsia" w:hAnsiTheme="minorEastAsia" w:eastAsiaTheme="minorEastAsia" w:cstheme="minorEastAsia"/>
          <w:color w:val="auto"/>
          <w:spacing w:val="-10"/>
          <w:sz w:val="24"/>
          <w:szCs w:val="24"/>
        </w:rPr>
        <w:t>处理 厂，用</w:t>
      </w:r>
      <w:r>
        <w:rPr>
          <w:rFonts w:hint="eastAsia" w:asciiTheme="minorEastAsia" w:hAnsiTheme="minorEastAsia" w:eastAsiaTheme="minorEastAsia" w:cstheme="minorEastAsia"/>
          <w:color w:val="auto"/>
          <w:spacing w:val="-15"/>
          <w:sz w:val="24"/>
          <w:szCs w:val="24"/>
        </w:rPr>
        <w:t>地规模 2.1 公顷。处理级别为二级处理工艺流程（大体为泵房、沉砂、初次沉淀、曝气、二次沉淀、消毒及污泥 提升浓缩、消化、脱水及沼气利用等），污水处理达标后排入 罗镜河。污水处理厂周围设置宽度不少于10米的绿化隔离带。</w:t>
      </w:r>
    </w:p>
    <w:p>
      <w:pPr>
        <w:pStyle w:val="32"/>
        <w:numPr>
          <w:ilvl w:val="0"/>
          <w:numId w:val="15"/>
        </w:numPr>
        <w:tabs>
          <w:tab w:val="left" w:pos="1860"/>
        </w:tabs>
        <w:spacing w:line="500" w:lineRule="exact"/>
        <w:ind w:left="0" w:firstLine="420" w:firstLineChars="20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污水系统规划：</w:t>
      </w:r>
    </w:p>
    <w:p>
      <w:pPr>
        <w:pStyle w:val="10"/>
        <w:spacing w:line="500" w:lineRule="exact"/>
        <w:ind w:firstLine="44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8"/>
          <w:sz w:val="24"/>
          <w:szCs w:val="24"/>
        </w:rPr>
        <w:t>① 排水体制，新建设区统一采用雨污分流制，已建成区</w:t>
      </w:r>
      <w:r>
        <w:rPr>
          <w:rFonts w:hint="eastAsia" w:asciiTheme="minorEastAsia" w:hAnsiTheme="minorEastAsia" w:eastAsiaTheme="minorEastAsia" w:cstheme="minorEastAsia"/>
          <w:color w:val="auto"/>
          <w:spacing w:val="-17"/>
          <w:sz w:val="24"/>
          <w:szCs w:val="24"/>
        </w:rPr>
        <w:t xml:space="preserve">逐步改造成截流式合流制，截流倍数 </w:t>
      </w:r>
      <w:r>
        <w:rPr>
          <w:rFonts w:hint="eastAsia" w:asciiTheme="minorEastAsia" w:hAnsiTheme="minorEastAsia" w:eastAsiaTheme="minorEastAsia" w:cstheme="minorEastAsia"/>
          <w:color w:val="auto"/>
          <w:spacing w:val="-13"/>
          <w:sz w:val="24"/>
          <w:szCs w:val="24"/>
        </w:rPr>
        <w:t>n=1</w:t>
      </w:r>
      <w:r>
        <w:rPr>
          <w:rFonts w:hint="eastAsia" w:asciiTheme="minorEastAsia" w:hAnsiTheme="minorEastAsia" w:eastAsiaTheme="minorEastAsia" w:cstheme="minorEastAsia"/>
          <w:color w:val="auto"/>
          <w:sz w:val="24"/>
          <w:szCs w:val="24"/>
        </w:rPr>
        <w:t>。</w:t>
      </w:r>
    </w:p>
    <w:p>
      <w:pPr>
        <w:pStyle w:val="10"/>
        <w:spacing w:line="500" w:lineRule="exact"/>
        <w:ind w:firstLine="44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8"/>
          <w:sz w:val="24"/>
          <w:szCs w:val="24"/>
        </w:rPr>
        <w:t>② 排水管网根据镇区地形采用重力流沿道路就近排入污</w:t>
      </w:r>
      <w:r>
        <w:rPr>
          <w:rFonts w:hint="eastAsia" w:asciiTheme="minorEastAsia" w:hAnsiTheme="minorEastAsia" w:eastAsiaTheme="minorEastAsia" w:cstheme="minorEastAsia"/>
          <w:color w:val="auto"/>
          <w:spacing w:val="-15"/>
          <w:sz w:val="24"/>
          <w:szCs w:val="24"/>
        </w:rPr>
        <w:t>水处理厂，经处理达标后排入罗镜河。</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③ 对现有管渠进行清淤、疏通，保障污水系统畅通动作。</w:t>
      </w:r>
    </w:p>
    <w:p>
      <w:pPr>
        <w:pStyle w:val="32"/>
        <w:numPr>
          <w:ilvl w:val="2"/>
          <w:numId w:val="8"/>
        </w:numPr>
        <w:tabs>
          <w:tab w:val="left" w:pos="210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《罗定市太平镇总体规划（2013~2035</w:t>
      </w:r>
      <w:r>
        <w:rPr>
          <w:rFonts w:hint="eastAsia" w:asciiTheme="minorEastAsia" w:hAnsiTheme="minorEastAsia" w:eastAsiaTheme="minorEastAsia" w:cstheme="minorEastAsia"/>
          <w:b/>
          <w:color w:val="auto"/>
          <w:spacing w:val="-3"/>
          <w:sz w:val="24"/>
          <w:szCs w:val="24"/>
        </w:rPr>
        <w:t>年</w:t>
      </w:r>
      <w:r>
        <w:rPr>
          <w:rFonts w:hint="eastAsia" w:asciiTheme="minorEastAsia" w:hAnsiTheme="minorEastAsia" w:eastAsiaTheme="minorEastAsia" w:cstheme="minorEastAsia"/>
          <w:b/>
          <w:color w:val="auto"/>
          <w:sz w:val="24"/>
          <w:szCs w:val="24"/>
        </w:rPr>
        <w:t>）》</w:t>
      </w:r>
    </w:p>
    <w:p>
      <w:pPr>
        <w:pStyle w:val="32"/>
        <w:numPr>
          <w:ilvl w:val="3"/>
          <w:numId w:val="8"/>
        </w:numPr>
        <w:tabs>
          <w:tab w:val="left" w:pos="2002"/>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规划期限</w:t>
      </w:r>
    </w:p>
    <w:p>
      <w:pPr>
        <w:pStyle w:val="10"/>
        <w:spacing w:line="500" w:lineRule="exact"/>
        <w:ind w:firstLine="42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3"/>
          <w:sz w:val="24"/>
          <w:szCs w:val="24"/>
        </w:rPr>
        <w:t>本次规划的基期年为</w:t>
      </w:r>
      <w:r>
        <w:rPr>
          <w:rFonts w:hint="eastAsia" w:asciiTheme="minorEastAsia" w:hAnsiTheme="minorEastAsia" w:eastAsiaTheme="minorEastAsia" w:cstheme="minorEastAsia"/>
          <w:color w:val="auto"/>
          <w:sz w:val="24"/>
          <w:szCs w:val="24"/>
        </w:rPr>
        <w:t>2013</w:t>
      </w:r>
      <w:r>
        <w:rPr>
          <w:rFonts w:hint="eastAsia" w:asciiTheme="minorEastAsia" w:hAnsiTheme="minorEastAsia" w:eastAsiaTheme="minorEastAsia" w:cstheme="minorEastAsia"/>
          <w:color w:val="auto"/>
          <w:spacing w:val="-14"/>
          <w:sz w:val="24"/>
          <w:szCs w:val="24"/>
        </w:rPr>
        <w:t>年，规划期限为</w:t>
      </w:r>
      <w:r>
        <w:rPr>
          <w:rFonts w:hint="eastAsia" w:asciiTheme="minorEastAsia" w:hAnsiTheme="minorEastAsia" w:eastAsiaTheme="minorEastAsia" w:cstheme="minorEastAsia"/>
          <w:color w:val="auto"/>
          <w:sz w:val="24"/>
          <w:szCs w:val="24"/>
        </w:rPr>
        <w:t>2013~2035</w:t>
      </w:r>
      <w:r>
        <w:rPr>
          <w:rFonts w:hint="eastAsia" w:asciiTheme="minorEastAsia" w:hAnsiTheme="minorEastAsia" w:eastAsiaTheme="minorEastAsia" w:cstheme="minorEastAsia"/>
          <w:color w:val="auto"/>
          <w:spacing w:val="-15"/>
          <w:sz w:val="24"/>
          <w:szCs w:val="24"/>
        </w:rPr>
        <w:t xml:space="preserve">年。其中近期为 </w:t>
      </w:r>
      <w:r>
        <w:rPr>
          <w:rFonts w:hint="eastAsia" w:asciiTheme="minorEastAsia" w:hAnsiTheme="minorEastAsia" w:eastAsiaTheme="minorEastAsia" w:cstheme="minorEastAsia"/>
          <w:color w:val="auto"/>
          <w:sz w:val="24"/>
          <w:szCs w:val="24"/>
        </w:rPr>
        <w:t>2013</w:t>
      </w:r>
      <w:r>
        <w:rPr>
          <w:rFonts w:hint="eastAsia" w:asciiTheme="minorEastAsia" w:hAnsiTheme="minorEastAsia" w:eastAsiaTheme="minorEastAsia" w:cstheme="minorEastAsia"/>
          <w:color w:val="auto"/>
          <w:spacing w:val="-3"/>
          <w:sz w:val="24"/>
          <w:szCs w:val="24"/>
        </w:rPr>
        <w:t>年～</w:t>
      </w:r>
      <w:r>
        <w:rPr>
          <w:rFonts w:hint="eastAsia" w:asciiTheme="minorEastAsia" w:hAnsiTheme="minorEastAsia" w:eastAsiaTheme="minorEastAsia" w:cstheme="minorEastAsia"/>
          <w:color w:val="auto"/>
          <w:sz w:val="24"/>
          <w:szCs w:val="24"/>
        </w:rPr>
        <w:t>2020</w:t>
      </w:r>
      <w:r>
        <w:rPr>
          <w:rFonts w:hint="eastAsia" w:asciiTheme="minorEastAsia" w:hAnsiTheme="minorEastAsia" w:eastAsiaTheme="minorEastAsia" w:cstheme="minorEastAsia"/>
          <w:color w:val="auto"/>
          <w:spacing w:val="-16"/>
          <w:sz w:val="24"/>
          <w:szCs w:val="24"/>
        </w:rPr>
        <w:t>年；远期为</w:t>
      </w:r>
      <w:r>
        <w:rPr>
          <w:rFonts w:hint="eastAsia" w:asciiTheme="minorEastAsia" w:hAnsiTheme="minorEastAsia" w:eastAsiaTheme="minorEastAsia" w:cstheme="minorEastAsia"/>
          <w:color w:val="auto"/>
          <w:sz w:val="24"/>
          <w:szCs w:val="24"/>
        </w:rPr>
        <w:t>2021年～2035年。</w:t>
      </w:r>
    </w:p>
    <w:p>
      <w:pPr>
        <w:pStyle w:val="32"/>
        <w:numPr>
          <w:ilvl w:val="3"/>
          <w:numId w:val="8"/>
        </w:numPr>
        <w:tabs>
          <w:tab w:val="left" w:pos="2002"/>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规划范围</w:t>
      </w:r>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镇域城镇体系规划范围为：东、西、北面与罗平镇、罗镜镇交界，南面与信宜市接壤，下辖双角、潭白、励志、洞</w:t>
      </w:r>
      <w:r>
        <w:rPr>
          <w:rFonts w:hint="eastAsia" w:asciiTheme="minorEastAsia" w:hAnsiTheme="minorEastAsia" w:eastAsiaTheme="minorEastAsia" w:cstheme="minorEastAsia"/>
          <w:color w:val="auto"/>
          <w:spacing w:val="-11"/>
          <w:sz w:val="24"/>
          <w:szCs w:val="24"/>
        </w:rPr>
        <w:t>美等</w:t>
      </w:r>
      <w:r>
        <w:rPr>
          <w:rFonts w:hint="eastAsia" w:asciiTheme="minorEastAsia" w:hAnsiTheme="minorEastAsia" w:eastAsiaTheme="minorEastAsia" w:cstheme="minorEastAsia"/>
          <w:color w:val="auto"/>
          <w:sz w:val="24"/>
          <w:szCs w:val="24"/>
        </w:rPr>
        <w:t>16</w:t>
      </w:r>
      <w:r>
        <w:rPr>
          <w:rFonts w:hint="eastAsia" w:asciiTheme="minorEastAsia" w:hAnsiTheme="minorEastAsia" w:eastAsiaTheme="minorEastAsia" w:cstheme="minorEastAsia"/>
          <w:color w:val="auto"/>
          <w:spacing w:val="-14"/>
          <w:sz w:val="24"/>
          <w:szCs w:val="24"/>
        </w:rPr>
        <w:t>个村委和</w:t>
      </w:r>
      <w:r>
        <w:rPr>
          <w:rFonts w:hint="eastAsia" w:asciiTheme="minorEastAsia" w:hAnsiTheme="minorEastAsia" w:eastAsiaTheme="minorEastAsia" w:cstheme="minorEastAsia"/>
          <w:color w:val="auto"/>
          <w:sz w:val="24"/>
          <w:szCs w:val="24"/>
        </w:rPr>
        <w:t>1</w:t>
      </w:r>
      <w:r>
        <w:rPr>
          <w:rFonts w:hint="eastAsia" w:asciiTheme="minorEastAsia" w:hAnsiTheme="minorEastAsia" w:eastAsiaTheme="minorEastAsia" w:cstheme="minorEastAsia"/>
          <w:color w:val="auto"/>
          <w:spacing w:val="-21"/>
          <w:sz w:val="24"/>
          <w:szCs w:val="24"/>
        </w:rPr>
        <w:t>个镇区居委。全镇总面积为</w:t>
      </w:r>
      <w:r>
        <w:rPr>
          <w:rFonts w:hint="eastAsia" w:asciiTheme="minorEastAsia" w:hAnsiTheme="minorEastAsia" w:eastAsiaTheme="minorEastAsia" w:cstheme="minorEastAsia"/>
          <w:color w:val="auto"/>
          <w:spacing w:val="-5"/>
          <w:sz w:val="24"/>
          <w:szCs w:val="24"/>
        </w:rPr>
        <w:t>93.8</w:t>
      </w:r>
      <w:r>
        <w:rPr>
          <w:rFonts w:hint="eastAsia" w:asciiTheme="minorEastAsia" w:hAnsiTheme="minorEastAsia" w:eastAsiaTheme="minorEastAsia" w:cstheme="minorEastAsia"/>
          <w:color w:val="auto"/>
          <w:spacing w:val="-11"/>
          <w:sz w:val="24"/>
          <w:szCs w:val="24"/>
        </w:rPr>
        <w:t>平方</w:t>
      </w:r>
      <w:r>
        <w:rPr>
          <w:rFonts w:hint="eastAsia" w:asciiTheme="minorEastAsia" w:hAnsiTheme="minorEastAsia" w:eastAsiaTheme="minorEastAsia" w:cstheme="minorEastAsia"/>
          <w:color w:val="auto"/>
          <w:spacing w:val="-7"/>
          <w:sz w:val="24"/>
          <w:szCs w:val="24"/>
        </w:rPr>
        <w:t>公里。</w:t>
      </w:r>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规划区范围为：规划区范围为：东到太东村、南至丽塘</w:t>
      </w:r>
      <w:r>
        <w:rPr>
          <w:rFonts w:hint="eastAsia" w:asciiTheme="minorEastAsia" w:hAnsiTheme="minorEastAsia" w:eastAsiaTheme="minorEastAsia" w:cstheme="minorEastAsia"/>
          <w:color w:val="auto"/>
          <w:spacing w:val="-16"/>
          <w:sz w:val="24"/>
          <w:szCs w:val="24"/>
        </w:rPr>
        <w:t>村、镇安村 、西至东良村、北至太西，总面积约为</w:t>
      </w:r>
      <w:r>
        <w:rPr>
          <w:rFonts w:hint="eastAsia" w:asciiTheme="minorEastAsia" w:hAnsiTheme="minorEastAsia" w:eastAsiaTheme="minorEastAsia" w:cstheme="minorEastAsia"/>
          <w:color w:val="auto"/>
          <w:spacing w:val="-5"/>
          <w:sz w:val="24"/>
          <w:szCs w:val="24"/>
        </w:rPr>
        <w:t>5.05</w:t>
      </w:r>
      <w:r>
        <w:rPr>
          <w:rFonts w:hint="eastAsia" w:asciiTheme="minorEastAsia" w:hAnsiTheme="minorEastAsia" w:eastAsiaTheme="minorEastAsia" w:cstheme="minorEastAsia"/>
          <w:color w:val="auto"/>
          <w:spacing w:val="-6"/>
          <w:sz w:val="24"/>
          <w:szCs w:val="24"/>
        </w:rPr>
        <w:t>平</w:t>
      </w:r>
      <w:r>
        <w:rPr>
          <w:rFonts w:hint="eastAsia" w:asciiTheme="minorEastAsia" w:hAnsiTheme="minorEastAsia" w:eastAsiaTheme="minorEastAsia" w:cstheme="minorEastAsia"/>
          <w:color w:val="auto"/>
          <w:sz w:val="24"/>
          <w:szCs w:val="24"/>
        </w:rPr>
        <w:t>方公里。</w:t>
      </w:r>
    </w:p>
    <w:p>
      <w:pPr>
        <w:pStyle w:val="32"/>
        <w:numPr>
          <w:ilvl w:val="3"/>
          <w:numId w:val="8"/>
        </w:numPr>
        <w:tabs>
          <w:tab w:val="left" w:pos="2002"/>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规划人口</w:t>
      </w:r>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根据镇域户籍总人口和外出劳动力的预测结果，并结合</w:t>
      </w:r>
      <w:r>
        <w:rPr>
          <w:rFonts w:hint="eastAsia" w:asciiTheme="minorEastAsia" w:hAnsiTheme="minorEastAsia" w:eastAsiaTheme="minorEastAsia" w:cstheme="minorEastAsia"/>
          <w:color w:val="auto"/>
          <w:spacing w:val="-10"/>
          <w:sz w:val="24"/>
          <w:szCs w:val="24"/>
        </w:rPr>
        <w:t>镇域外出劳动力带眷数量较少，则全镇常住人口为：</w:t>
      </w:r>
    </w:p>
    <w:p>
      <w:pPr>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表3.5-</w:t>
      </w:r>
      <w:r>
        <w:rPr>
          <w:rFonts w:asciiTheme="minorEastAsia" w:hAnsiTheme="minorEastAsia" w:eastAsiaTheme="minorEastAsia" w:cstheme="minorEastAsia"/>
          <w:b/>
          <w:color w:val="auto"/>
          <w:sz w:val="21"/>
          <w:szCs w:val="21"/>
        </w:rPr>
        <w:t>3</w:t>
      </w:r>
      <w:r>
        <w:rPr>
          <w:rFonts w:hint="eastAsia" w:asciiTheme="minorEastAsia" w:hAnsiTheme="minorEastAsia" w:eastAsiaTheme="minorEastAsia" w:cstheme="minorEastAsia"/>
          <w:b/>
          <w:color w:val="auto"/>
          <w:sz w:val="21"/>
          <w:szCs w:val="21"/>
        </w:rPr>
        <w:t xml:space="preserve">    镇域人口发展规模预测表</w:t>
      </w:r>
    </w:p>
    <w:tbl>
      <w:tblPr>
        <w:tblStyle w:val="27"/>
        <w:tblW w:w="26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979"/>
        <w:gridCol w:w="15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254"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2012年全镇常住人口</w:t>
            </w:r>
          </w:p>
        </w:tc>
        <w:tc>
          <w:tcPr>
            <w:tcW w:w="1746"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68123人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5" w:hRule="atLeast"/>
          <w:jc w:val="center"/>
        </w:trPr>
        <w:tc>
          <w:tcPr>
            <w:tcW w:w="3254"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2020年全镇常住人口</w:t>
            </w:r>
          </w:p>
        </w:tc>
        <w:tc>
          <w:tcPr>
            <w:tcW w:w="1746"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77263人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1" w:hRule="atLeast"/>
          <w:jc w:val="center"/>
        </w:trPr>
        <w:tc>
          <w:tcPr>
            <w:tcW w:w="3254"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2035年全镇常住人口</w:t>
            </w:r>
          </w:p>
        </w:tc>
        <w:tc>
          <w:tcPr>
            <w:tcW w:w="1746" w:type="pct"/>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81034人</w:t>
            </w:r>
          </w:p>
        </w:tc>
      </w:tr>
    </w:tbl>
    <w:p>
      <w:pPr>
        <w:pStyle w:val="32"/>
        <w:numPr>
          <w:ilvl w:val="3"/>
          <w:numId w:val="8"/>
        </w:numPr>
        <w:tabs>
          <w:tab w:val="left" w:pos="2000"/>
        </w:tabs>
        <w:spacing w:line="500" w:lineRule="exact"/>
        <w:ind w:left="0" w:firstLine="46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4"/>
          <w:sz w:val="24"/>
          <w:szCs w:val="24"/>
        </w:rPr>
        <w:t>城镇化水平</w:t>
      </w:r>
    </w:p>
    <w:p>
      <w:pPr>
        <w:pStyle w:val="10"/>
        <w:spacing w:line="500" w:lineRule="exact"/>
        <w:ind w:firstLine="42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4"/>
          <w:sz w:val="24"/>
          <w:szCs w:val="24"/>
        </w:rPr>
        <w:t>太平镇到</w:t>
      </w:r>
      <w:r>
        <w:rPr>
          <w:rFonts w:hint="eastAsia" w:asciiTheme="minorEastAsia" w:hAnsiTheme="minorEastAsia" w:eastAsiaTheme="minorEastAsia" w:cstheme="minorEastAsia"/>
          <w:color w:val="auto"/>
          <w:sz w:val="24"/>
          <w:szCs w:val="24"/>
        </w:rPr>
        <w:t>2020</w:t>
      </w:r>
      <w:r>
        <w:rPr>
          <w:rFonts w:hint="eastAsia" w:asciiTheme="minorEastAsia" w:hAnsiTheme="minorEastAsia" w:eastAsiaTheme="minorEastAsia" w:cstheme="minorEastAsia"/>
          <w:color w:val="auto"/>
          <w:spacing w:val="-13"/>
          <w:sz w:val="24"/>
          <w:szCs w:val="24"/>
        </w:rPr>
        <w:t>年城镇化水平约为</w:t>
      </w:r>
      <w:r>
        <w:rPr>
          <w:rFonts w:hint="eastAsia" w:asciiTheme="minorEastAsia" w:hAnsiTheme="minorEastAsia" w:eastAsiaTheme="minorEastAsia" w:cstheme="minorEastAsia"/>
          <w:color w:val="auto"/>
          <w:spacing w:val="-14"/>
          <w:sz w:val="24"/>
          <w:szCs w:val="24"/>
        </w:rPr>
        <w:t>18.2</w:t>
      </w:r>
      <w:r>
        <w:rPr>
          <w:rFonts w:hint="eastAsia" w:asciiTheme="minorEastAsia" w:hAnsiTheme="minorEastAsia" w:eastAsiaTheme="minorEastAsia" w:cstheme="minorEastAsia"/>
          <w:color w:val="auto"/>
          <w:spacing w:val="-13"/>
          <w:sz w:val="24"/>
          <w:szCs w:val="24"/>
        </w:rPr>
        <w:t>％；进入规划后</w:t>
      </w:r>
      <w:r>
        <w:rPr>
          <w:rFonts w:hint="eastAsia" w:asciiTheme="minorEastAsia" w:hAnsiTheme="minorEastAsia" w:eastAsiaTheme="minorEastAsia" w:cstheme="minorEastAsia"/>
          <w:color w:val="auto"/>
          <w:spacing w:val="-6"/>
          <w:sz w:val="24"/>
          <w:szCs w:val="24"/>
        </w:rPr>
        <w:t>15</w:t>
      </w:r>
      <w:r>
        <w:rPr>
          <w:rFonts w:hint="eastAsia" w:asciiTheme="minorEastAsia" w:hAnsiTheme="minorEastAsia" w:eastAsiaTheme="minorEastAsia" w:cstheme="minorEastAsia"/>
          <w:color w:val="auto"/>
          <w:spacing w:val="-20"/>
          <w:sz w:val="24"/>
          <w:szCs w:val="24"/>
        </w:rPr>
        <w:t>年，在原有的基础上缓慢增长，到</w:t>
      </w:r>
      <w:r>
        <w:rPr>
          <w:rFonts w:hint="eastAsia" w:asciiTheme="minorEastAsia" w:hAnsiTheme="minorEastAsia" w:eastAsiaTheme="minorEastAsia" w:cstheme="minorEastAsia"/>
          <w:color w:val="auto"/>
          <w:sz w:val="24"/>
          <w:szCs w:val="24"/>
        </w:rPr>
        <w:t>2035</w:t>
      </w:r>
      <w:r>
        <w:rPr>
          <w:rFonts w:hint="eastAsia" w:asciiTheme="minorEastAsia" w:hAnsiTheme="minorEastAsia" w:eastAsiaTheme="minorEastAsia" w:cstheme="minorEastAsia"/>
          <w:color w:val="auto"/>
          <w:spacing w:val="-12"/>
          <w:sz w:val="24"/>
          <w:szCs w:val="24"/>
        </w:rPr>
        <w:t>年城镇化水平达</w:t>
      </w:r>
      <w:r>
        <w:rPr>
          <w:rFonts w:hint="eastAsia" w:asciiTheme="minorEastAsia" w:hAnsiTheme="minorEastAsia" w:eastAsiaTheme="minorEastAsia" w:cstheme="minorEastAsia"/>
          <w:color w:val="auto"/>
          <w:sz w:val="24"/>
          <w:szCs w:val="24"/>
        </w:rPr>
        <w:t>47.1％。</w:t>
      </w:r>
    </w:p>
    <w:p>
      <w:pPr>
        <w:pStyle w:val="32"/>
        <w:numPr>
          <w:ilvl w:val="3"/>
          <w:numId w:val="8"/>
        </w:numPr>
        <w:tabs>
          <w:tab w:val="left" w:pos="2136"/>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污水工程规划</w:t>
      </w:r>
    </w:p>
    <w:p>
      <w:pPr>
        <w:pStyle w:val="32"/>
        <w:numPr>
          <w:ilvl w:val="0"/>
          <w:numId w:val="16"/>
        </w:numPr>
        <w:tabs>
          <w:tab w:val="left" w:pos="2000"/>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排水体制</w:t>
      </w:r>
    </w:p>
    <w:p>
      <w:pPr>
        <w:pStyle w:val="10"/>
        <w:spacing w:line="500" w:lineRule="exact"/>
        <w:ind w:firstLine="40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20"/>
          <w:sz w:val="24"/>
          <w:szCs w:val="24"/>
        </w:rPr>
        <w:t>① 规划区排水体制原则上大致采用雨污分流制，污水、雨水分别通过各自的排水系统分流排放，将现状的明渠改造为</w:t>
      </w:r>
      <w:r>
        <w:rPr>
          <w:rFonts w:hint="eastAsia" w:asciiTheme="minorEastAsia" w:hAnsiTheme="minorEastAsia" w:eastAsiaTheme="minorEastAsia" w:cstheme="minorEastAsia"/>
          <w:color w:val="auto"/>
          <w:spacing w:val="-16"/>
          <w:sz w:val="24"/>
          <w:szCs w:val="24"/>
        </w:rPr>
        <w:t>封闭式排水管道，新建污水系统。</w:t>
      </w:r>
    </w:p>
    <w:p>
      <w:pPr>
        <w:pStyle w:val="10"/>
        <w:spacing w:line="500" w:lineRule="exact"/>
        <w:ind w:firstLine="40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20"/>
          <w:sz w:val="24"/>
          <w:szCs w:val="24"/>
        </w:rPr>
        <w:t>② 对于规划新区的排水均采用雨、污分流制，对新建、改建的道路、居住组团一律实行分流制，建设污水、雨水两套</w:t>
      </w:r>
      <w:r>
        <w:rPr>
          <w:rFonts w:hint="eastAsia" w:asciiTheme="minorEastAsia" w:hAnsiTheme="minorEastAsia" w:eastAsiaTheme="minorEastAsia" w:cstheme="minorEastAsia"/>
          <w:color w:val="auto"/>
          <w:spacing w:val="-12"/>
          <w:sz w:val="24"/>
          <w:szCs w:val="24"/>
        </w:rPr>
        <w:t>排水系统。</w:t>
      </w:r>
    </w:p>
    <w:p>
      <w:pPr>
        <w:pStyle w:val="32"/>
        <w:numPr>
          <w:ilvl w:val="0"/>
          <w:numId w:val="16"/>
        </w:numPr>
        <w:tabs>
          <w:tab w:val="left" w:pos="1882"/>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污水系统规划</w:t>
      </w:r>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镇区通过改造现有的排水系统，采用截流式合流制，将污水截流纳入污水处理站进行处理。在靠近太平河下游镇域西部</w:t>
      </w:r>
      <w:r>
        <w:rPr>
          <w:rFonts w:hint="eastAsia" w:asciiTheme="minorEastAsia" w:hAnsiTheme="minorEastAsia" w:eastAsiaTheme="minorEastAsia" w:cstheme="minorEastAsia"/>
          <w:color w:val="auto"/>
          <w:sz w:val="24"/>
          <w:szCs w:val="24"/>
        </w:rPr>
        <w:t>建设一处污水处理站，占地面积4公顷，污水处理规模为8.5万m³/d 。</w:t>
      </w:r>
    </w:p>
    <w:p>
      <w:pPr>
        <w:pStyle w:val="32"/>
        <w:numPr>
          <w:ilvl w:val="2"/>
          <w:numId w:val="8"/>
        </w:numPr>
        <w:tabs>
          <w:tab w:val="left" w:pos="210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罗定市全域农村人居环境整治自然村总体规划（2013~2035</w:t>
      </w:r>
      <w:r>
        <w:rPr>
          <w:rFonts w:hint="eastAsia" w:asciiTheme="minorEastAsia" w:hAnsiTheme="minorEastAsia" w:eastAsiaTheme="minorEastAsia" w:cstheme="minorEastAsia"/>
          <w:b/>
          <w:color w:val="auto"/>
          <w:spacing w:val="-3"/>
          <w:sz w:val="24"/>
          <w:szCs w:val="24"/>
        </w:rPr>
        <w:t>年</w:t>
      </w:r>
      <w:r>
        <w:rPr>
          <w:rFonts w:hint="eastAsia" w:asciiTheme="minorEastAsia" w:hAnsiTheme="minorEastAsia" w:eastAsiaTheme="minorEastAsia" w:cstheme="minorEastAsia"/>
          <w:b/>
          <w:color w:val="auto"/>
          <w:sz w:val="24"/>
          <w:szCs w:val="24"/>
        </w:rPr>
        <w:t>）</w:t>
      </w:r>
    </w:p>
    <w:p>
      <w:pPr>
        <w:pStyle w:val="32"/>
        <w:numPr>
          <w:ilvl w:val="3"/>
          <w:numId w:val="8"/>
        </w:numPr>
        <w:tabs>
          <w:tab w:val="left" w:pos="2000"/>
        </w:tabs>
        <w:spacing w:line="500" w:lineRule="exact"/>
        <w:ind w:left="0" w:firstLine="46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4"/>
          <w:sz w:val="24"/>
          <w:szCs w:val="24"/>
        </w:rPr>
        <w:t>规划期限</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规划基准年：2021年，规划期限为 2021-2025年。</w:t>
      </w:r>
    </w:p>
    <w:p>
      <w:pPr>
        <w:pStyle w:val="32"/>
        <w:numPr>
          <w:ilvl w:val="3"/>
          <w:numId w:val="8"/>
        </w:numPr>
        <w:tabs>
          <w:tab w:val="left" w:pos="2002"/>
        </w:tabs>
        <w:spacing w:line="500" w:lineRule="exact"/>
        <w:ind w:left="0" w:firstLine="46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4"/>
          <w:sz w:val="24"/>
          <w:szCs w:val="24"/>
        </w:rPr>
        <w:t>规划范围：</w:t>
      </w:r>
    </w:p>
    <w:p>
      <w:pPr>
        <w:pStyle w:val="10"/>
        <w:spacing w:line="500" w:lineRule="exact"/>
        <w:ind w:firstLine="432" w:firstLineChars="200"/>
        <w:jc w:val="both"/>
        <w:rPr>
          <w:rFonts w:asciiTheme="minorEastAsia" w:hAnsiTheme="minorEastAsia" w:eastAsiaTheme="minorEastAsia" w:cstheme="minorEastAsia"/>
          <w:color w:val="auto"/>
          <w:spacing w:val="-12"/>
          <w:sz w:val="24"/>
          <w:szCs w:val="24"/>
        </w:rPr>
      </w:pPr>
      <w:r>
        <w:rPr>
          <w:rFonts w:hint="eastAsia" w:asciiTheme="minorEastAsia" w:hAnsiTheme="minorEastAsia" w:eastAsiaTheme="minorEastAsia" w:cstheme="minorEastAsia"/>
          <w:color w:val="auto"/>
          <w:spacing w:val="-12"/>
          <w:sz w:val="24"/>
          <w:szCs w:val="24"/>
        </w:rPr>
        <w:t>规划范围为纳入罗定市全域农村人居环境整治自然村，包括附城街道、双东街道、素龙街道、华石镇、苹塘镇、金鸡镇、围底镇、满 塘镇、船步镇、罗平镇、太平镇、罗镜镇、生江镇、连州镇、分界镇、黎少镇、泗纶镇、加益镇、龙湾镇、榃滨镇20个镇街，共计3748个自然村。</w:t>
      </w:r>
    </w:p>
    <w:p>
      <w:pPr>
        <w:pStyle w:val="32"/>
        <w:numPr>
          <w:ilvl w:val="3"/>
          <w:numId w:val="8"/>
        </w:numPr>
        <w:tabs>
          <w:tab w:val="left" w:pos="2002"/>
        </w:tabs>
        <w:spacing w:line="500" w:lineRule="exact"/>
        <w:ind w:left="0" w:firstLine="46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4"/>
          <w:sz w:val="24"/>
          <w:szCs w:val="24"/>
        </w:rPr>
        <w:t>规划目标：</w:t>
      </w:r>
    </w:p>
    <w:p>
      <w:pPr>
        <w:pStyle w:val="10"/>
        <w:spacing w:line="500" w:lineRule="exact"/>
        <w:ind w:firstLine="432" w:firstLineChars="200"/>
        <w:jc w:val="both"/>
        <w:rPr>
          <w:rFonts w:asciiTheme="minorEastAsia" w:hAnsiTheme="minorEastAsia" w:eastAsiaTheme="minorEastAsia" w:cstheme="minorEastAsia"/>
          <w:color w:val="auto"/>
          <w:spacing w:val="-12"/>
          <w:sz w:val="24"/>
          <w:szCs w:val="24"/>
        </w:rPr>
      </w:pPr>
      <w:r>
        <w:rPr>
          <w:rFonts w:hint="eastAsia" w:asciiTheme="minorEastAsia" w:hAnsiTheme="minorEastAsia" w:eastAsiaTheme="minorEastAsia" w:cstheme="minorEastAsia"/>
          <w:color w:val="auto"/>
          <w:spacing w:val="-12"/>
          <w:sz w:val="24"/>
          <w:szCs w:val="24"/>
        </w:rPr>
        <w:t>—到2022年底前，全市农村生活污水治理率达到52.91%以上。</w:t>
      </w:r>
    </w:p>
    <w:p>
      <w:pPr>
        <w:pStyle w:val="10"/>
        <w:spacing w:line="500" w:lineRule="exact"/>
        <w:ind w:firstLine="432" w:firstLineChars="200"/>
        <w:jc w:val="both"/>
        <w:rPr>
          <w:rFonts w:asciiTheme="minorEastAsia" w:hAnsiTheme="minorEastAsia" w:eastAsiaTheme="minorEastAsia" w:cstheme="minorEastAsia"/>
          <w:color w:val="auto"/>
          <w:spacing w:val="-12"/>
          <w:sz w:val="24"/>
          <w:szCs w:val="24"/>
        </w:rPr>
      </w:pPr>
      <w:r>
        <w:rPr>
          <w:rFonts w:hint="eastAsia" w:asciiTheme="minorEastAsia" w:hAnsiTheme="minorEastAsia" w:eastAsiaTheme="minorEastAsia" w:cstheme="minorEastAsia"/>
          <w:color w:val="auto"/>
          <w:spacing w:val="-12"/>
          <w:sz w:val="24"/>
          <w:szCs w:val="24"/>
        </w:rPr>
        <w:t>—到2023年底前，农村生活污水治理率达到56.06%以上，设施有效运行效率达 70%以上。</w:t>
      </w:r>
    </w:p>
    <w:p>
      <w:pPr>
        <w:pStyle w:val="10"/>
        <w:spacing w:line="500" w:lineRule="exact"/>
        <w:ind w:firstLine="432" w:firstLineChars="200"/>
        <w:jc w:val="both"/>
        <w:rPr>
          <w:rFonts w:asciiTheme="minorEastAsia" w:hAnsiTheme="minorEastAsia" w:eastAsiaTheme="minorEastAsia" w:cstheme="minorEastAsia"/>
          <w:color w:val="auto"/>
          <w:spacing w:val="-12"/>
          <w:sz w:val="24"/>
          <w:szCs w:val="24"/>
        </w:rPr>
      </w:pPr>
      <w:r>
        <w:rPr>
          <w:rFonts w:hint="eastAsia" w:asciiTheme="minorEastAsia" w:hAnsiTheme="minorEastAsia" w:eastAsiaTheme="minorEastAsia" w:cstheme="minorEastAsia"/>
          <w:color w:val="auto"/>
          <w:spacing w:val="-12"/>
          <w:sz w:val="24"/>
          <w:szCs w:val="24"/>
        </w:rPr>
        <w:t>—到2024年底前，农村生活污水治理率力争达到59.53%以上， 基本完成老旧、破损处理设施升级改造工作。</w:t>
      </w:r>
    </w:p>
    <w:p>
      <w:pPr>
        <w:pStyle w:val="10"/>
        <w:spacing w:line="500" w:lineRule="exact"/>
        <w:ind w:firstLine="432" w:firstLineChars="200"/>
        <w:jc w:val="both"/>
        <w:rPr>
          <w:rFonts w:asciiTheme="minorEastAsia" w:hAnsiTheme="minorEastAsia" w:eastAsiaTheme="minorEastAsia" w:cstheme="minorEastAsia"/>
          <w:color w:val="auto"/>
          <w:spacing w:val="-12"/>
          <w:sz w:val="24"/>
          <w:szCs w:val="24"/>
        </w:rPr>
      </w:pPr>
      <w:r>
        <w:rPr>
          <w:rFonts w:hint="eastAsia" w:asciiTheme="minorEastAsia" w:hAnsiTheme="minorEastAsia" w:eastAsiaTheme="minorEastAsia" w:cstheme="minorEastAsia"/>
          <w:color w:val="auto"/>
          <w:spacing w:val="-12"/>
          <w:sz w:val="24"/>
          <w:szCs w:val="24"/>
        </w:rPr>
        <w:t>—到2025年底前，农村生活污水治理率力争达到61.95%以上， 建立有制度、有标准、有队伍、有经费、有监督的长效运维管理体系。</w:t>
      </w:r>
    </w:p>
    <w:p>
      <w:pPr>
        <w:pStyle w:val="32"/>
        <w:numPr>
          <w:ilvl w:val="2"/>
          <w:numId w:val="8"/>
        </w:numPr>
        <w:tabs>
          <w:tab w:val="left" w:pos="210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《罗定市生态环境保护“十四五”规划》</w:t>
      </w:r>
    </w:p>
    <w:p>
      <w:pPr>
        <w:pStyle w:val="10"/>
        <w:spacing w:line="500" w:lineRule="exact"/>
        <w:ind w:firstLine="432"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2"/>
          <w:sz w:val="24"/>
          <w:szCs w:val="24"/>
        </w:rPr>
        <w:t xml:space="preserve"> “十四五”具体目标为：</w:t>
      </w:r>
    </w:p>
    <w:p>
      <w:pPr>
        <w:pStyle w:val="10"/>
        <w:spacing w:line="500" w:lineRule="exact"/>
        <w:ind w:firstLine="432" w:firstLineChars="200"/>
        <w:jc w:val="both"/>
        <w:rPr>
          <w:rFonts w:asciiTheme="minorEastAsia" w:hAnsiTheme="minorEastAsia" w:eastAsiaTheme="minorEastAsia" w:cstheme="minorEastAsia"/>
          <w:color w:val="auto"/>
          <w:spacing w:val="-12"/>
          <w:sz w:val="24"/>
          <w:szCs w:val="24"/>
        </w:rPr>
      </w:pPr>
      <w:r>
        <w:rPr>
          <w:rFonts w:hint="eastAsia" w:asciiTheme="minorEastAsia" w:hAnsiTheme="minorEastAsia" w:eastAsiaTheme="minorEastAsia" w:cstheme="minorEastAsia"/>
          <w:color w:val="auto"/>
          <w:spacing w:val="-12"/>
          <w:sz w:val="24"/>
          <w:szCs w:val="24"/>
        </w:rPr>
        <w:t>展望2035年，人与自然和谐共生格局基本形成，绿色生产生活方式总体形成，碳排放达峰后稳中有降，生态环境根本好转，美丽罗定基本建成。空气质量达到广东省内先进水平，水生态环境全面改善，土壤环境安全得到有效保障，山水林田湖草生态系统服务功能总体良好，基本满足人民对优美生态环境的需要，生态环境保护管理制度逐步健全，生态环境治理体系和治理能力现代化基本实现。</w:t>
      </w:r>
    </w:p>
    <w:p>
      <w:pPr>
        <w:pStyle w:val="10"/>
        <w:spacing w:line="500" w:lineRule="exact"/>
        <w:ind w:firstLine="432" w:firstLineChars="200"/>
        <w:jc w:val="both"/>
        <w:rPr>
          <w:rFonts w:asciiTheme="minorEastAsia" w:hAnsiTheme="minorEastAsia" w:eastAsiaTheme="minorEastAsia" w:cstheme="minorEastAsia"/>
          <w:color w:val="auto"/>
          <w:spacing w:val="-12"/>
          <w:sz w:val="24"/>
          <w:szCs w:val="24"/>
        </w:rPr>
      </w:pPr>
      <w:r>
        <w:rPr>
          <w:rFonts w:hint="eastAsia" w:asciiTheme="minorEastAsia" w:hAnsiTheme="minorEastAsia" w:eastAsiaTheme="minorEastAsia" w:cstheme="minorEastAsia"/>
          <w:color w:val="auto"/>
          <w:spacing w:val="-12"/>
          <w:sz w:val="24"/>
          <w:szCs w:val="24"/>
        </w:rPr>
        <w:t>“十四五”具体目标为：</w:t>
      </w:r>
    </w:p>
    <w:p>
      <w:pPr>
        <w:pStyle w:val="10"/>
        <w:spacing w:line="500" w:lineRule="exact"/>
        <w:ind w:firstLine="432" w:firstLineChars="20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2"/>
          <w:sz w:val="24"/>
          <w:szCs w:val="24"/>
        </w:rPr>
        <w:t>生态环境持续改善。大气环境质量持续提升，Pm².5浓度保持稳定；水环境质量持续提升，省考市考断面水质稳定达标；农村生活污水治理率稳步提升。绿色低碳发展水平明显提升。绿色低碳发展加快推进，主要污染物重点工程减排量完成云浮市下达目标，单位 GDP 二氧化碳排放降低达到云浮市下达的目标。环境风险得到有效防控。土壤安全利用水平稳步提升，全市工业危险废物和医疗废物均得到安全处置。生态系统质量和稳定性持续提升。生态保护红线面积不减少、功能不降低、性质不改变，生态质量指数保持稳定，生态安全格局持续巩固。</w:t>
      </w:r>
      <w:r>
        <w:rPr>
          <w:rFonts w:hint="eastAsia" w:asciiTheme="minorEastAsia" w:hAnsiTheme="minorEastAsia" w:eastAsiaTheme="minorEastAsia" w:cstheme="minorEastAsia"/>
          <w:color w:val="auto"/>
          <w:spacing w:val="-11"/>
          <w:sz w:val="24"/>
          <w:szCs w:val="24"/>
        </w:rPr>
        <w:t xml:space="preserve"> </w:t>
      </w:r>
      <w:r>
        <w:rPr>
          <w:rFonts w:hint="eastAsia" w:asciiTheme="minorEastAsia" w:hAnsiTheme="minorEastAsia" w:eastAsiaTheme="minorEastAsia" w:cstheme="minorEastAsia"/>
          <w:color w:val="auto"/>
          <w:spacing w:val="-15"/>
          <w:sz w:val="24"/>
          <w:szCs w:val="24"/>
        </w:rPr>
        <w:t>基本完成老旧、破损处理设施升级改造工作。</w:t>
      </w:r>
    </w:p>
    <w:p>
      <w:pPr>
        <w:pStyle w:val="32"/>
        <w:numPr>
          <w:ilvl w:val="2"/>
          <w:numId w:val="8"/>
        </w:numPr>
        <w:tabs>
          <w:tab w:val="left" w:pos="210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《罗定市水污染防治“十四五”规划》</w:t>
      </w:r>
    </w:p>
    <w:p>
      <w:pPr>
        <w:pStyle w:val="10"/>
        <w:spacing w:line="500" w:lineRule="exact"/>
        <w:ind w:firstLine="432"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2"/>
          <w:sz w:val="24"/>
          <w:szCs w:val="24"/>
        </w:rPr>
        <w:t xml:space="preserve"> </w:t>
      </w:r>
      <w:r>
        <w:rPr>
          <w:rFonts w:hint="eastAsia" w:asciiTheme="minorEastAsia" w:hAnsiTheme="minorEastAsia" w:eastAsiaTheme="minorEastAsia" w:cstheme="minorEastAsia"/>
          <w:color w:val="auto"/>
          <w:spacing w:val="-12"/>
          <w:sz w:val="24"/>
          <w:szCs w:val="24"/>
          <w:lang w:val="en-US"/>
        </w:rPr>
        <w:t xml:space="preserve">  </w:t>
      </w:r>
      <w:r>
        <w:rPr>
          <w:rFonts w:hint="eastAsia" w:asciiTheme="minorEastAsia" w:hAnsiTheme="minorEastAsia" w:eastAsiaTheme="minorEastAsia" w:cstheme="minorEastAsia"/>
          <w:color w:val="auto"/>
          <w:spacing w:val="-12"/>
          <w:sz w:val="24"/>
          <w:szCs w:val="24"/>
        </w:rPr>
        <w:t>规划范围：</w:t>
      </w:r>
    </w:p>
    <w:p>
      <w:pPr>
        <w:pStyle w:val="10"/>
        <w:spacing w:line="500" w:lineRule="exact"/>
        <w:ind w:firstLine="432" w:firstLineChars="200"/>
        <w:jc w:val="both"/>
        <w:rPr>
          <w:rFonts w:asciiTheme="minorEastAsia" w:hAnsiTheme="minorEastAsia" w:eastAsiaTheme="minorEastAsia" w:cstheme="minorEastAsia"/>
          <w:color w:val="auto"/>
          <w:spacing w:val="-12"/>
          <w:sz w:val="24"/>
          <w:szCs w:val="24"/>
        </w:rPr>
      </w:pPr>
      <w:r>
        <w:rPr>
          <w:rFonts w:hint="eastAsia" w:asciiTheme="minorEastAsia" w:hAnsiTheme="minorEastAsia" w:eastAsiaTheme="minorEastAsia" w:cstheme="minorEastAsia"/>
          <w:color w:val="auto"/>
          <w:spacing w:val="-12"/>
          <w:sz w:val="24"/>
          <w:szCs w:val="24"/>
        </w:rPr>
        <w:t>我市行政区范围，面积为2327.5km²，包括罗镜、太平、分界、罗平、船步、䓣塘、苹塘、金鸡、围底、华石、榃滨、黎少、生江、连州、泗纶、加益、龙湾17个镇，素龙、双东、附城、罗城4个街道和罗平农场。</w:t>
      </w:r>
    </w:p>
    <w:p>
      <w:pPr>
        <w:pStyle w:val="10"/>
        <w:spacing w:line="500" w:lineRule="exact"/>
        <w:ind w:firstLine="432" w:firstLineChars="200"/>
        <w:jc w:val="both"/>
        <w:rPr>
          <w:rFonts w:asciiTheme="minorEastAsia" w:hAnsiTheme="minorEastAsia" w:eastAsiaTheme="minorEastAsia" w:cstheme="minorEastAsia"/>
          <w:color w:val="auto"/>
          <w:spacing w:val="-12"/>
          <w:sz w:val="24"/>
          <w:szCs w:val="24"/>
        </w:rPr>
      </w:pPr>
      <w:r>
        <w:rPr>
          <w:rFonts w:hint="eastAsia" w:asciiTheme="minorEastAsia" w:hAnsiTheme="minorEastAsia" w:eastAsiaTheme="minorEastAsia" w:cstheme="minorEastAsia"/>
          <w:color w:val="auto"/>
          <w:spacing w:val="-12"/>
          <w:sz w:val="24"/>
          <w:szCs w:val="24"/>
        </w:rPr>
        <w:t>主要目标：</w:t>
      </w:r>
    </w:p>
    <w:p>
      <w:pPr>
        <w:pStyle w:val="10"/>
        <w:spacing w:line="500" w:lineRule="exact"/>
        <w:ind w:firstLine="432"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2"/>
          <w:sz w:val="24"/>
          <w:szCs w:val="24"/>
        </w:rPr>
        <w:t>生态环境质量持续改善。至2025年，地表水水质优良（达到或好于Ⅲ类）比例（包括省考、市考断面），县级及以上集中式饮用水源水质达到或优于Ⅲ类比例均达100%，地表水劣Ⅴ类水体比例控制在0%，县级以上城市建成区黑臭水体比例全面消除，完成云浮市下达的化学需氧量、氨氮总量控制指标和省级以上水环境功能区水质达标率指标，农村生活污水治理率进一步提高。</w:t>
      </w:r>
    </w:p>
    <w:p>
      <w:pPr>
        <w:pStyle w:val="32"/>
        <w:numPr>
          <w:ilvl w:val="2"/>
          <w:numId w:val="8"/>
        </w:numPr>
        <w:tabs>
          <w:tab w:val="left" w:pos="1859"/>
          <w:tab w:val="left" w:pos="186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小结</w:t>
      </w:r>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上述各镇规划中普遍存在的问题有：规划污水处理厂的规</w:t>
      </w:r>
      <w:r>
        <w:rPr>
          <w:rFonts w:hint="eastAsia" w:asciiTheme="minorEastAsia" w:hAnsiTheme="minorEastAsia" w:eastAsiaTheme="minorEastAsia" w:cstheme="minorEastAsia"/>
          <w:color w:val="auto"/>
          <w:spacing w:val="-25"/>
          <w:sz w:val="24"/>
          <w:szCs w:val="24"/>
        </w:rPr>
        <w:t>模普遍偏大，配套管网长度偏短，厂网不匹配，且规划的污水厂</w:t>
      </w:r>
      <w:r>
        <w:rPr>
          <w:rFonts w:hint="eastAsia" w:asciiTheme="minorEastAsia" w:hAnsiTheme="minorEastAsia" w:eastAsiaTheme="minorEastAsia" w:cstheme="minorEastAsia"/>
          <w:color w:val="auto"/>
          <w:spacing w:val="-28"/>
          <w:sz w:val="24"/>
          <w:szCs w:val="24"/>
        </w:rPr>
        <w:t>选址离镇区较远，使管网长度增加，埋深增加，导致建设投资和</w:t>
      </w:r>
      <w:r>
        <w:rPr>
          <w:rFonts w:hint="eastAsia" w:asciiTheme="minorEastAsia" w:hAnsiTheme="minorEastAsia" w:eastAsiaTheme="minorEastAsia" w:cstheme="minorEastAsia"/>
          <w:color w:val="auto"/>
          <w:spacing w:val="-15"/>
          <w:sz w:val="24"/>
          <w:szCs w:val="24"/>
        </w:rPr>
        <w:t>运营成本增加，不太符合罗定污水处理的实际需求。</w:t>
      </w:r>
    </w:p>
    <w:p>
      <w:pPr>
        <w:pStyle w:val="10"/>
        <w:spacing w:line="500" w:lineRule="exact"/>
        <w:ind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根据罗定市各乡镇总体规划，本次项目的实施因地制宜，分散连片，符合各规划要求，具有可行性和必要性，对罗定市整市自然村的经济发展具有积极作用。</w:t>
      </w:r>
    </w:p>
    <w:p>
      <w:pPr>
        <w:spacing w:line="500" w:lineRule="exact"/>
        <w:ind w:firstLine="480" w:firstLineChars="200"/>
        <w:jc w:val="both"/>
        <w:rPr>
          <w:rFonts w:asciiTheme="minorEastAsia" w:hAnsiTheme="minorEastAsia" w:eastAsiaTheme="minorEastAsia" w:cstheme="minorEastAsia"/>
          <w:color w:val="auto"/>
          <w:sz w:val="24"/>
          <w:szCs w:val="24"/>
        </w:rPr>
        <w:sectPr>
          <w:footerReference r:id="rId9" w:type="default"/>
          <w:type w:val="nextColumn"/>
          <w:pgSz w:w="11910" w:h="16840"/>
          <w:pgMar w:top="1418" w:right="1418" w:bottom="1418" w:left="1701" w:header="0" w:footer="512" w:gutter="0"/>
          <w:cols w:space="720" w:num="1"/>
        </w:sectPr>
      </w:pPr>
    </w:p>
    <w:p>
      <w:pPr>
        <w:pStyle w:val="2"/>
        <w:ind w:left="0"/>
        <w:jc w:val="center"/>
        <w:rPr>
          <w:color w:val="auto"/>
        </w:rPr>
      </w:pPr>
      <w:bookmarkStart w:id="46" w:name="四_、方案论证"/>
      <w:bookmarkEnd w:id="46"/>
      <w:bookmarkStart w:id="47" w:name="_Toc18523"/>
      <w:bookmarkStart w:id="48" w:name="_Toc3414"/>
      <w:r>
        <w:rPr>
          <w:rFonts w:hint="eastAsia"/>
          <w:color w:val="auto"/>
        </w:rPr>
        <w:t>四 、方案论证</w:t>
      </w:r>
      <w:bookmarkEnd w:id="47"/>
      <w:bookmarkEnd w:id="48"/>
    </w:p>
    <w:p>
      <w:pPr>
        <w:pStyle w:val="3"/>
        <w:numPr>
          <w:ilvl w:val="1"/>
          <w:numId w:val="17"/>
        </w:numPr>
        <w:tabs>
          <w:tab w:val="left" w:pos="1625"/>
        </w:tabs>
        <w:adjustRightInd/>
        <w:snapToGrid/>
        <w:spacing w:line="500" w:lineRule="exact"/>
        <w:ind w:left="0" w:firstLine="0"/>
        <w:jc w:val="both"/>
        <w:rPr>
          <w:rFonts w:asciiTheme="minorEastAsia" w:hAnsiTheme="minorEastAsia" w:eastAsiaTheme="minorEastAsia" w:cstheme="minorEastAsia"/>
          <w:color w:val="auto"/>
          <w:sz w:val="24"/>
          <w:szCs w:val="24"/>
        </w:rPr>
      </w:pPr>
      <w:bookmarkStart w:id="49" w:name="4.1实施范围"/>
      <w:bookmarkEnd w:id="49"/>
      <w:bookmarkStart w:id="50" w:name="_Toc26494"/>
      <w:r>
        <w:rPr>
          <w:rFonts w:hint="eastAsia" w:asciiTheme="minorEastAsia" w:hAnsiTheme="minorEastAsia" w:eastAsiaTheme="minorEastAsia" w:cstheme="minorEastAsia"/>
          <w:color w:val="auto"/>
          <w:sz w:val="24"/>
          <w:szCs w:val="24"/>
          <w:lang w:val="en-US"/>
        </w:rPr>
        <w:t xml:space="preserve"> </w:t>
      </w:r>
      <w:bookmarkStart w:id="51" w:name="_Toc14450"/>
      <w:r>
        <w:rPr>
          <w:rFonts w:hint="eastAsia" w:asciiTheme="minorEastAsia" w:hAnsiTheme="minorEastAsia" w:eastAsiaTheme="minorEastAsia" w:cstheme="minorEastAsia"/>
          <w:color w:val="auto"/>
          <w:sz w:val="24"/>
          <w:szCs w:val="24"/>
        </w:rPr>
        <w:t>实施范围</w:t>
      </w:r>
      <w:bookmarkEnd w:id="50"/>
      <w:bookmarkEnd w:id="51"/>
    </w:p>
    <w:p>
      <w:pPr>
        <w:pStyle w:val="10"/>
        <w:spacing w:line="500" w:lineRule="exact"/>
        <w:ind w:firstLine="432" w:firstLineChars="200"/>
        <w:jc w:val="both"/>
        <w:rPr>
          <w:rFonts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pacing w:val="-12"/>
          <w:sz w:val="24"/>
          <w:szCs w:val="24"/>
        </w:rPr>
        <w:t>根据对罗定市污水处理现状的分析，按照《广东省农村生</w:t>
      </w:r>
      <w:r>
        <w:rPr>
          <w:rFonts w:hint="eastAsia" w:asciiTheme="minorEastAsia" w:hAnsiTheme="minorEastAsia" w:eastAsiaTheme="minorEastAsia" w:cstheme="minorEastAsia"/>
          <w:color w:val="auto"/>
          <w:spacing w:val="35"/>
          <w:sz w:val="24"/>
          <w:szCs w:val="24"/>
        </w:rPr>
        <w:t>活污水治理攻坚实施方案</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pacing w:val="-10"/>
          <w:sz w:val="24"/>
          <w:szCs w:val="24"/>
        </w:rPr>
        <w:t>2019-2022</w:t>
      </w:r>
      <w:r>
        <w:rPr>
          <w:rFonts w:hint="eastAsia" w:asciiTheme="minorEastAsia" w:hAnsiTheme="minorEastAsia" w:eastAsiaTheme="minorEastAsia" w:cstheme="minorEastAsia"/>
          <w:color w:val="auto"/>
          <w:spacing w:val="1"/>
          <w:sz w:val="24"/>
          <w:szCs w:val="24"/>
        </w:rPr>
        <w:t>年</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pacing w:val="-26"/>
          <w:sz w:val="24"/>
          <w:szCs w:val="24"/>
        </w:rPr>
        <w:t>》</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pacing w:val="-4"/>
          <w:sz w:val="24"/>
          <w:szCs w:val="24"/>
        </w:rPr>
        <w:t>粤环函</w:t>
      </w: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11"/>
          <w:sz w:val="24"/>
          <w:szCs w:val="24"/>
        </w:rPr>
        <w:t>2019</w:t>
      </w:r>
      <w:r>
        <w:rPr>
          <w:rFonts w:hint="eastAsia" w:asciiTheme="minorEastAsia" w:hAnsiTheme="minorEastAsia" w:eastAsiaTheme="minorEastAsia" w:cstheme="minorEastAsia"/>
          <w:color w:val="auto"/>
          <w:spacing w:val="-3"/>
          <w:sz w:val="24"/>
          <w:szCs w:val="24"/>
        </w:rPr>
        <w:t>】</w:t>
      </w:r>
      <w:r>
        <w:rPr>
          <w:rFonts w:hint="eastAsia" w:asciiTheme="minorEastAsia" w:hAnsiTheme="minorEastAsia" w:eastAsiaTheme="minorEastAsia" w:cstheme="minorEastAsia"/>
          <w:color w:val="auto"/>
          <w:spacing w:val="-7"/>
          <w:sz w:val="24"/>
          <w:szCs w:val="24"/>
        </w:rPr>
        <w:t>1116</w:t>
      </w:r>
      <w:r>
        <w:rPr>
          <w:rFonts w:hint="eastAsia" w:asciiTheme="minorEastAsia" w:hAnsiTheme="minorEastAsia" w:eastAsiaTheme="minorEastAsia" w:cstheme="minorEastAsia"/>
          <w:color w:val="auto"/>
          <w:spacing w:val="-11"/>
          <w:sz w:val="24"/>
          <w:szCs w:val="24"/>
        </w:rPr>
        <w:t>号文</w:t>
      </w: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z w:val="24"/>
          <w:szCs w:val="24"/>
        </w:rPr>
        <w:t>的目标要求及罗定市政府要求，</w:t>
      </w:r>
      <w:r>
        <w:rPr>
          <w:rFonts w:hint="eastAsia" w:asciiTheme="minorEastAsia" w:hAnsiTheme="minorEastAsia" w:eastAsiaTheme="minorEastAsia" w:cstheme="minorEastAsia"/>
          <w:color w:val="auto"/>
          <w:sz w:val="24"/>
          <w:szCs w:val="24"/>
          <w:lang w:eastAsia="zh-CN"/>
        </w:rPr>
        <w:t>罗定市农村生活污水治理建设项目可行性研究报告（修编）</w:t>
      </w:r>
      <w:r>
        <w:rPr>
          <w:rFonts w:hint="eastAsia" w:asciiTheme="minorEastAsia" w:hAnsiTheme="minorEastAsia" w:eastAsiaTheme="minorEastAsia" w:cstheme="minorEastAsia"/>
          <w:color w:val="auto"/>
          <w:spacing w:val="10"/>
          <w:sz w:val="24"/>
          <w:szCs w:val="24"/>
        </w:rPr>
        <w:t>的实施范围包</w:t>
      </w:r>
      <w:r>
        <w:rPr>
          <w:rFonts w:hint="eastAsia" w:asciiTheme="minorEastAsia" w:hAnsiTheme="minorEastAsia" w:eastAsiaTheme="minorEastAsia" w:cstheme="minorEastAsia"/>
          <w:color w:val="auto"/>
          <w:spacing w:val="-3"/>
          <w:sz w:val="24"/>
          <w:szCs w:val="24"/>
        </w:rPr>
        <w:t>括：</w:t>
      </w:r>
      <w:r>
        <w:rPr>
          <w:rFonts w:hint="eastAsia" w:asciiTheme="minorEastAsia" w:hAnsiTheme="minorEastAsia" w:eastAsiaTheme="minorEastAsia" w:cstheme="minorEastAsia"/>
          <w:color w:val="auto"/>
          <w:spacing w:val="-13"/>
          <w:sz w:val="24"/>
          <w:szCs w:val="24"/>
        </w:rPr>
        <w:t>附城街道、双东街道、素龙街道、满塘镇、围底镇、罗平</w:t>
      </w:r>
      <w:r>
        <w:rPr>
          <w:rFonts w:hint="eastAsia" w:asciiTheme="minorEastAsia" w:hAnsiTheme="minorEastAsia" w:eastAsiaTheme="minorEastAsia" w:cstheme="minorEastAsia"/>
          <w:color w:val="auto"/>
          <w:spacing w:val="-11"/>
          <w:sz w:val="24"/>
          <w:szCs w:val="24"/>
        </w:rPr>
        <w:t>镇、苹塘镇、华石镇、榃滨镇、连州镇、黎少镇、龙湾镇、加益镇、分界镇、太平镇、船步镇、金鸡镇、生江镇、泗纶镇、</w:t>
      </w:r>
      <w:r>
        <w:rPr>
          <w:rFonts w:hint="eastAsia" w:asciiTheme="minorEastAsia" w:hAnsiTheme="minorEastAsia" w:eastAsiaTheme="minorEastAsia" w:cstheme="minorEastAsia"/>
          <w:color w:val="auto"/>
          <w:spacing w:val="-22"/>
          <w:sz w:val="24"/>
          <w:szCs w:val="24"/>
        </w:rPr>
        <w:t>罗镜镇等</w:t>
      </w:r>
      <w:r>
        <w:rPr>
          <w:rFonts w:hint="eastAsia" w:asciiTheme="minorEastAsia" w:hAnsiTheme="minorEastAsia" w:eastAsiaTheme="minorEastAsia" w:cstheme="minorEastAsia"/>
          <w:color w:val="auto"/>
          <w:sz w:val="24"/>
          <w:szCs w:val="24"/>
        </w:rPr>
        <w:t>20</w:t>
      </w:r>
      <w:r>
        <w:rPr>
          <w:rFonts w:hint="eastAsia" w:asciiTheme="minorEastAsia" w:hAnsiTheme="minorEastAsia" w:eastAsiaTheme="minorEastAsia" w:cstheme="minorEastAsia"/>
          <w:color w:val="auto"/>
          <w:spacing w:val="-16"/>
          <w:sz w:val="24"/>
          <w:szCs w:val="24"/>
        </w:rPr>
        <w:t>个镇街镇区范围及全</w:t>
      </w:r>
      <w:r>
        <w:rPr>
          <w:rFonts w:hint="eastAsia" w:asciiTheme="minorEastAsia" w:hAnsiTheme="minorEastAsia" w:eastAsiaTheme="minorEastAsia" w:cstheme="minorEastAsia"/>
          <w:color w:val="auto"/>
          <w:spacing w:val="-16"/>
          <w:sz w:val="24"/>
          <w:szCs w:val="24"/>
          <w:highlight w:val="none"/>
        </w:rPr>
        <w:t>市约</w:t>
      </w:r>
      <w:r>
        <w:rPr>
          <w:rFonts w:hint="eastAsia" w:asciiTheme="minorEastAsia" w:hAnsiTheme="minorEastAsia" w:eastAsiaTheme="minorEastAsia" w:cstheme="minorEastAsia"/>
          <w:color w:val="auto"/>
          <w:spacing w:val="-5"/>
          <w:sz w:val="24"/>
          <w:szCs w:val="24"/>
          <w:highlight w:val="none"/>
          <w:lang w:val="en-US" w:eastAsia="zh-CN"/>
        </w:rPr>
        <w:t>1494</w:t>
      </w:r>
      <w:r>
        <w:rPr>
          <w:rFonts w:hint="eastAsia" w:asciiTheme="minorEastAsia" w:hAnsiTheme="minorEastAsia" w:eastAsiaTheme="minorEastAsia" w:cstheme="minorEastAsia"/>
          <w:color w:val="auto"/>
          <w:spacing w:val="-17"/>
          <w:sz w:val="24"/>
          <w:szCs w:val="24"/>
          <w:highlight w:val="none"/>
        </w:rPr>
        <w:t>个自然村，总服务</w:t>
      </w:r>
      <w:r>
        <w:rPr>
          <w:rFonts w:hint="eastAsia" w:asciiTheme="minorEastAsia" w:hAnsiTheme="minorEastAsia" w:eastAsiaTheme="minorEastAsia" w:cstheme="minorEastAsia"/>
          <w:color w:val="auto"/>
          <w:sz w:val="24"/>
          <w:szCs w:val="24"/>
          <w:highlight w:val="none"/>
        </w:rPr>
        <w:t>人口约</w:t>
      </w:r>
      <w:r>
        <w:rPr>
          <w:rFonts w:hint="eastAsia" w:asciiTheme="minorEastAsia" w:hAnsiTheme="minorEastAsia" w:eastAsiaTheme="minorEastAsia" w:cstheme="minorEastAsia"/>
          <w:color w:val="auto"/>
          <w:sz w:val="24"/>
          <w:szCs w:val="24"/>
          <w:highlight w:val="none"/>
          <w:lang w:eastAsia="zh-CN"/>
        </w:rPr>
        <w:t>24.05万人</w:t>
      </w:r>
      <w:r>
        <w:rPr>
          <w:rFonts w:hint="eastAsia" w:asciiTheme="minorEastAsia" w:hAnsiTheme="minorEastAsia" w:eastAsiaTheme="minorEastAsia" w:cstheme="minorEastAsia"/>
          <w:color w:val="auto"/>
          <w:sz w:val="24"/>
          <w:szCs w:val="24"/>
          <w:highlight w:val="none"/>
        </w:rPr>
        <w:t>。</w:t>
      </w:r>
    </w:p>
    <w:p>
      <w:pPr>
        <w:pStyle w:val="3"/>
        <w:numPr>
          <w:ilvl w:val="1"/>
          <w:numId w:val="17"/>
        </w:numPr>
        <w:tabs>
          <w:tab w:val="left" w:pos="1625"/>
        </w:tabs>
        <w:adjustRightInd/>
        <w:snapToGrid/>
        <w:spacing w:line="500" w:lineRule="exact"/>
        <w:ind w:left="0" w:firstLine="0"/>
        <w:jc w:val="both"/>
        <w:rPr>
          <w:rFonts w:asciiTheme="minorEastAsia" w:hAnsiTheme="minorEastAsia" w:eastAsiaTheme="minorEastAsia" w:cstheme="minorEastAsia"/>
          <w:color w:val="auto"/>
          <w:sz w:val="24"/>
          <w:szCs w:val="24"/>
          <w:highlight w:val="none"/>
          <w:lang w:val="en-US"/>
        </w:rPr>
      </w:pPr>
      <w:bookmarkStart w:id="52" w:name="4.2项目内容"/>
      <w:bookmarkEnd w:id="52"/>
      <w:bookmarkStart w:id="53" w:name="_Toc2788"/>
      <w:r>
        <w:rPr>
          <w:rFonts w:hint="eastAsia" w:asciiTheme="minorEastAsia" w:hAnsiTheme="minorEastAsia" w:eastAsiaTheme="minorEastAsia" w:cstheme="minorEastAsia"/>
          <w:color w:val="auto"/>
          <w:sz w:val="24"/>
          <w:szCs w:val="24"/>
          <w:highlight w:val="none"/>
          <w:lang w:val="en-US"/>
        </w:rPr>
        <w:t xml:space="preserve"> </w:t>
      </w:r>
      <w:bookmarkStart w:id="54" w:name="_Toc19210"/>
      <w:r>
        <w:rPr>
          <w:rFonts w:hint="eastAsia" w:asciiTheme="minorEastAsia" w:hAnsiTheme="minorEastAsia" w:eastAsiaTheme="minorEastAsia" w:cstheme="minorEastAsia"/>
          <w:color w:val="auto"/>
          <w:sz w:val="24"/>
          <w:szCs w:val="24"/>
          <w:highlight w:val="none"/>
          <w:lang w:val="en-US"/>
        </w:rPr>
        <w:t>项目内容</w:t>
      </w:r>
      <w:bookmarkEnd w:id="53"/>
      <w:bookmarkEnd w:id="54"/>
    </w:p>
    <w:p>
      <w:pPr>
        <w:pStyle w:val="10"/>
        <w:spacing w:line="500" w:lineRule="exact"/>
        <w:ind w:firstLine="480" w:firstLineChars="200"/>
        <w:jc w:val="both"/>
        <w:rPr>
          <w:rFonts w:hint="eastAsia" w:asciiTheme="minorEastAsia" w:hAnsiTheme="minorEastAsia" w:eastAsiaTheme="minorEastAsia" w:cstheme="minorEastAsia"/>
          <w:color w:val="auto"/>
          <w:sz w:val="24"/>
          <w:szCs w:val="24"/>
          <w:highlight w:val="none"/>
          <w:lang w:eastAsia="zh-CN"/>
        </w:rPr>
      </w:pPr>
      <w:bookmarkStart w:id="55" w:name="4.3项目产出要求"/>
      <w:bookmarkEnd w:id="55"/>
      <w:bookmarkStart w:id="56" w:name="_Toc30831"/>
      <w:r>
        <w:rPr>
          <w:rFonts w:hint="eastAsia" w:asciiTheme="minorEastAsia" w:hAnsiTheme="minorEastAsia" w:eastAsiaTheme="minorEastAsia" w:cstheme="minorEastAsia"/>
          <w:color w:val="auto"/>
          <w:sz w:val="24"/>
          <w:szCs w:val="24"/>
          <w:highlight w:val="none"/>
          <w:lang w:eastAsia="zh-CN"/>
        </w:rPr>
        <w:t>建设地点：云浮罗定市20个镇街区域范围内。</w:t>
      </w:r>
    </w:p>
    <w:p>
      <w:pPr>
        <w:pStyle w:val="10"/>
        <w:spacing w:line="500" w:lineRule="exact"/>
        <w:ind w:firstLine="480" w:firstLineChars="200"/>
        <w:jc w:val="both"/>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建设内容：本项目拟在罗定市20个镇街区域范围内涉及</w:t>
      </w:r>
      <w:r>
        <w:rPr>
          <w:rFonts w:hint="eastAsia" w:asciiTheme="minorEastAsia" w:hAnsiTheme="minorEastAsia" w:eastAsiaTheme="minorEastAsia" w:cstheme="minorEastAsia"/>
          <w:color w:val="auto"/>
          <w:sz w:val="24"/>
          <w:szCs w:val="24"/>
          <w:highlight w:val="none"/>
          <w:lang w:val="en-US" w:eastAsia="zh-CN"/>
        </w:rPr>
        <w:t>1494</w:t>
      </w:r>
      <w:r>
        <w:rPr>
          <w:rFonts w:hint="eastAsia" w:asciiTheme="minorEastAsia" w:hAnsiTheme="minorEastAsia" w:eastAsiaTheme="minorEastAsia" w:cstheme="minorEastAsia"/>
          <w:color w:val="auto"/>
          <w:sz w:val="24"/>
          <w:szCs w:val="24"/>
          <w:highlight w:val="none"/>
          <w:lang w:eastAsia="zh-CN"/>
        </w:rPr>
        <w:t>个自然村，治理农村生活污水，总体设计处理规模为</w:t>
      </w:r>
      <w:r>
        <w:rPr>
          <w:rFonts w:hint="eastAsia" w:asciiTheme="minorEastAsia" w:hAnsiTheme="minorEastAsia" w:eastAsiaTheme="minorEastAsia" w:cstheme="minorEastAsia"/>
          <w:color w:val="auto"/>
          <w:sz w:val="24"/>
          <w:szCs w:val="24"/>
          <w:highlight w:val="none"/>
        </w:rPr>
        <w:t>12540m³/d</w:t>
      </w:r>
      <w:r>
        <w:rPr>
          <w:rFonts w:hint="eastAsia" w:asciiTheme="minorEastAsia" w:hAnsiTheme="minorEastAsia" w:eastAsiaTheme="minorEastAsia" w:cstheme="minorEastAsia"/>
          <w:color w:val="auto"/>
          <w:sz w:val="24"/>
          <w:szCs w:val="24"/>
          <w:highlight w:val="none"/>
          <w:lang w:eastAsia="zh-CN"/>
        </w:rPr>
        <w:t>，服务人口约</w:t>
      </w:r>
      <w:r>
        <w:rPr>
          <w:rFonts w:hint="eastAsia" w:asciiTheme="minorEastAsia" w:hAnsiTheme="minorEastAsia" w:eastAsiaTheme="minorEastAsia" w:cstheme="minorEastAsia"/>
          <w:color w:val="auto"/>
          <w:sz w:val="24"/>
          <w:szCs w:val="24"/>
          <w:highlight w:val="none"/>
          <w:lang w:val="en-US" w:eastAsia="zh-CN"/>
        </w:rPr>
        <w:t>24.05</w:t>
      </w:r>
      <w:r>
        <w:rPr>
          <w:rFonts w:hint="eastAsia" w:asciiTheme="minorEastAsia" w:hAnsiTheme="minorEastAsia" w:eastAsiaTheme="minorEastAsia" w:cstheme="minorEastAsia"/>
          <w:color w:val="auto"/>
          <w:sz w:val="24"/>
          <w:szCs w:val="24"/>
          <w:highlight w:val="none"/>
          <w:lang w:eastAsia="zh-CN"/>
        </w:rPr>
        <w:t>万人，根据自然村实际情况采用资源化利用、人工湿地、一体化设备之一作为主体工艺处理农村生活污水。</w:t>
      </w:r>
    </w:p>
    <w:p>
      <w:pPr>
        <w:pStyle w:val="3"/>
        <w:numPr>
          <w:ilvl w:val="1"/>
          <w:numId w:val="17"/>
        </w:numPr>
        <w:tabs>
          <w:tab w:val="left" w:pos="1625"/>
        </w:tabs>
        <w:adjustRightInd/>
        <w:snapToGrid/>
        <w:spacing w:line="500" w:lineRule="exact"/>
        <w:ind w:left="0" w:firstLine="0"/>
        <w:jc w:val="both"/>
        <w:rPr>
          <w:rFonts w:asciiTheme="minorEastAsia" w:hAnsiTheme="minorEastAsia" w:eastAsiaTheme="minorEastAsia" w:cstheme="minorEastAsia"/>
          <w:color w:val="auto"/>
          <w:sz w:val="24"/>
          <w:szCs w:val="24"/>
          <w:highlight w:val="none"/>
          <w:lang w:val="en-US"/>
        </w:rPr>
      </w:pPr>
      <w:r>
        <w:rPr>
          <w:rFonts w:hint="eastAsia" w:asciiTheme="minorEastAsia" w:hAnsiTheme="minorEastAsia" w:eastAsiaTheme="minorEastAsia" w:cstheme="minorEastAsia"/>
          <w:color w:val="auto"/>
          <w:sz w:val="24"/>
          <w:szCs w:val="24"/>
          <w:highlight w:val="none"/>
          <w:lang w:val="en-US"/>
        </w:rPr>
        <w:t xml:space="preserve"> </w:t>
      </w:r>
      <w:bookmarkStart w:id="57" w:name="_Toc9963"/>
      <w:r>
        <w:rPr>
          <w:rFonts w:hint="eastAsia" w:asciiTheme="minorEastAsia" w:hAnsiTheme="minorEastAsia" w:eastAsiaTheme="minorEastAsia" w:cstheme="minorEastAsia"/>
          <w:color w:val="auto"/>
          <w:sz w:val="24"/>
          <w:szCs w:val="24"/>
          <w:highlight w:val="none"/>
          <w:lang w:val="en-US"/>
        </w:rPr>
        <w:t>项目产出要求</w:t>
      </w:r>
      <w:bookmarkEnd w:id="56"/>
      <w:bookmarkEnd w:id="57"/>
    </w:p>
    <w:p>
      <w:pPr>
        <w:pStyle w:val="32"/>
        <w:numPr>
          <w:ilvl w:val="2"/>
          <w:numId w:val="17"/>
        </w:numPr>
        <w:tabs>
          <w:tab w:val="left" w:pos="1796"/>
        </w:tabs>
        <w:spacing w:line="500" w:lineRule="exact"/>
        <w:ind w:left="0" w:firstLine="482" w:firstLineChars="200"/>
        <w:jc w:val="both"/>
        <w:rPr>
          <w:rFonts w:asciiTheme="minorEastAsia" w:hAnsiTheme="minorEastAsia" w:eastAsiaTheme="minorEastAsia" w:cstheme="minorEastAsia"/>
          <w:b/>
          <w:color w:val="auto"/>
          <w:sz w:val="24"/>
          <w:szCs w:val="24"/>
          <w:highlight w:val="none"/>
        </w:rPr>
      </w:pPr>
      <w:r>
        <w:rPr>
          <w:rFonts w:hint="eastAsia" w:asciiTheme="minorEastAsia" w:hAnsiTheme="minorEastAsia" w:eastAsiaTheme="minorEastAsia" w:cstheme="minorEastAsia"/>
          <w:b/>
          <w:color w:val="auto"/>
          <w:sz w:val="24"/>
          <w:szCs w:val="24"/>
          <w:highlight w:val="none"/>
        </w:rPr>
        <w:t>总体要求</w:t>
      </w:r>
    </w:p>
    <w:p>
      <w:pPr>
        <w:pStyle w:val="10"/>
        <w:spacing w:line="500" w:lineRule="exact"/>
        <w:ind w:firstLine="420" w:firstLineChars="200"/>
        <w:jc w:val="both"/>
        <w:rPr>
          <w:rFonts w:asciiTheme="minorEastAsia" w:hAnsiTheme="minorEastAsia" w:eastAsiaTheme="minorEastAsia" w:cstheme="minorEastAsia"/>
          <w:color w:val="auto"/>
          <w:spacing w:val="-15"/>
          <w:sz w:val="24"/>
          <w:szCs w:val="24"/>
          <w:highlight w:val="none"/>
        </w:rPr>
      </w:pPr>
      <w:r>
        <w:rPr>
          <w:rFonts w:hint="eastAsia" w:asciiTheme="minorEastAsia" w:hAnsiTheme="minorEastAsia" w:eastAsiaTheme="minorEastAsia" w:cstheme="minorEastAsia"/>
          <w:color w:val="auto"/>
          <w:spacing w:val="-15"/>
          <w:sz w:val="24"/>
          <w:szCs w:val="24"/>
          <w:highlight w:val="none"/>
        </w:rPr>
        <w:t>按照《罗定市农村生活污水治理专项规划2021-2025》的要求，到2025年底，已建农村污水处理设施的自然村80%以上的生活污水得到有效收集处理，旱季无污水外泄入河，地面无污水聚集、横流。</w:t>
      </w:r>
    </w:p>
    <w:p>
      <w:pPr>
        <w:pStyle w:val="32"/>
        <w:numPr>
          <w:ilvl w:val="2"/>
          <w:numId w:val="17"/>
        </w:numPr>
        <w:tabs>
          <w:tab w:val="left" w:pos="1796"/>
        </w:tabs>
        <w:spacing w:line="500" w:lineRule="exact"/>
        <w:ind w:left="0" w:firstLine="482" w:firstLineChars="200"/>
        <w:jc w:val="both"/>
        <w:rPr>
          <w:rFonts w:asciiTheme="minorEastAsia" w:hAnsiTheme="minorEastAsia" w:eastAsiaTheme="minorEastAsia" w:cstheme="minorEastAsia"/>
          <w:b/>
          <w:color w:val="auto"/>
          <w:sz w:val="24"/>
          <w:szCs w:val="24"/>
          <w:highlight w:val="none"/>
        </w:rPr>
      </w:pPr>
      <w:r>
        <w:rPr>
          <w:rFonts w:hint="eastAsia" w:asciiTheme="minorEastAsia" w:hAnsiTheme="minorEastAsia" w:eastAsiaTheme="minorEastAsia" w:cstheme="minorEastAsia"/>
          <w:b/>
          <w:color w:val="auto"/>
          <w:sz w:val="24"/>
          <w:szCs w:val="24"/>
          <w:highlight w:val="none"/>
        </w:rPr>
        <w:t>建设内容</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highlight w:val="none"/>
          <w:lang w:eastAsia="zh-CN"/>
        </w:rPr>
        <w:t>罗定市农村生活污水治理建设项目可行性研究报告（修编）</w:t>
      </w:r>
      <w:r>
        <w:rPr>
          <w:rFonts w:hint="eastAsia" w:asciiTheme="minorEastAsia" w:hAnsiTheme="minorEastAsia" w:eastAsiaTheme="minorEastAsia" w:cstheme="minorEastAsia"/>
          <w:color w:val="auto"/>
          <w:sz w:val="24"/>
          <w:szCs w:val="24"/>
          <w:highlight w:val="none"/>
        </w:rPr>
        <w:t>包含</w:t>
      </w:r>
      <w:r>
        <w:rPr>
          <w:rFonts w:hint="eastAsia" w:asciiTheme="minorEastAsia" w:hAnsiTheme="minorEastAsia" w:eastAsiaTheme="minorEastAsia" w:cstheme="minorEastAsia"/>
          <w:color w:val="auto"/>
          <w:sz w:val="24"/>
          <w:szCs w:val="24"/>
          <w:highlight w:val="none"/>
          <w:lang w:val="en-US" w:eastAsia="zh-CN"/>
        </w:rPr>
        <w:t>罗定市</w:t>
      </w:r>
      <w:r>
        <w:rPr>
          <w:rFonts w:hint="eastAsia" w:asciiTheme="minorEastAsia" w:hAnsiTheme="minorEastAsia" w:eastAsiaTheme="minorEastAsia" w:cstheme="minorEastAsia"/>
          <w:color w:val="auto"/>
          <w:spacing w:val="-5"/>
          <w:sz w:val="24"/>
          <w:szCs w:val="24"/>
          <w:highlight w:val="none"/>
          <w:lang w:val="en-US" w:eastAsia="zh-CN"/>
        </w:rPr>
        <w:t>1494</w:t>
      </w:r>
      <w:r>
        <w:rPr>
          <w:rFonts w:hint="eastAsia" w:asciiTheme="minorEastAsia" w:hAnsiTheme="minorEastAsia" w:eastAsiaTheme="minorEastAsia" w:cstheme="minorEastAsia"/>
          <w:color w:val="auto"/>
          <w:sz w:val="24"/>
          <w:szCs w:val="24"/>
          <w:highlight w:val="none"/>
          <w:lang w:val="en-US" w:eastAsia="zh-CN"/>
        </w:rPr>
        <w:t>个</w:t>
      </w:r>
      <w:r>
        <w:rPr>
          <w:rFonts w:hint="eastAsia" w:asciiTheme="minorEastAsia" w:hAnsiTheme="minorEastAsia" w:eastAsiaTheme="minorEastAsia" w:cstheme="minorEastAsia"/>
          <w:color w:val="auto"/>
          <w:sz w:val="24"/>
          <w:szCs w:val="24"/>
          <w:lang w:val="en-US" w:eastAsia="zh-CN"/>
        </w:rPr>
        <w:t>自然村的</w:t>
      </w:r>
      <w:r>
        <w:rPr>
          <w:rFonts w:hint="eastAsia" w:asciiTheme="minorEastAsia" w:hAnsiTheme="minorEastAsia" w:eastAsiaTheme="minorEastAsia" w:cstheme="minorEastAsia"/>
          <w:color w:val="auto"/>
          <w:sz w:val="24"/>
          <w:szCs w:val="24"/>
        </w:rPr>
        <w:t>农村</w:t>
      </w:r>
      <w:r>
        <w:rPr>
          <w:rFonts w:hint="eastAsia" w:asciiTheme="minorEastAsia" w:hAnsiTheme="minorEastAsia" w:eastAsiaTheme="minorEastAsia" w:cstheme="minorEastAsia"/>
          <w:color w:val="auto"/>
          <w:sz w:val="24"/>
          <w:szCs w:val="24"/>
          <w:lang w:val="en-US" w:eastAsia="zh-CN"/>
        </w:rPr>
        <w:t>生活</w:t>
      </w:r>
      <w:r>
        <w:rPr>
          <w:rFonts w:hint="eastAsia" w:asciiTheme="minorEastAsia" w:hAnsiTheme="minorEastAsia" w:eastAsiaTheme="minorEastAsia" w:cstheme="minorEastAsia"/>
          <w:color w:val="auto"/>
          <w:sz w:val="24"/>
          <w:szCs w:val="24"/>
        </w:rPr>
        <w:t>污水</w:t>
      </w:r>
      <w:r>
        <w:rPr>
          <w:rFonts w:hint="eastAsia" w:asciiTheme="minorEastAsia" w:hAnsiTheme="minorEastAsia" w:eastAsiaTheme="minorEastAsia" w:cstheme="minorEastAsia"/>
          <w:color w:val="auto"/>
          <w:sz w:val="24"/>
          <w:szCs w:val="24"/>
          <w:lang w:val="en-US" w:eastAsia="zh-CN"/>
        </w:rPr>
        <w:t>治理</w:t>
      </w:r>
      <w:r>
        <w:rPr>
          <w:rFonts w:hint="eastAsia" w:asciiTheme="minorEastAsia" w:hAnsiTheme="minorEastAsia" w:eastAsiaTheme="minorEastAsia" w:cstheme="minorEastAsia"/>
          <w:color w:val="auto"/>
          <w:sz w:val="24"/>
          <w:szCs w:val="24"/>
        </w:rPr>
        <w:t>。</w:t>
      </w:r>
    </w:p>
    <w:p>
      <w:pPr>
        <w:pStyle w:val="10"/>
        <w:spacing w:line="500" w:lineRule="exact"/>
        <w:ind w:firstLine="480" w:firstLineChars="200"/>
        <w:jc w:val="both"/>
        <w:rPr>
          <w:rFonts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rPr>
        <w:t>建设、设计、运营及维护内容：</w:t>
      </w:r>
    </w:p>
    <w:p>
      <w:pPr>
        <w:pStyle w:val="10"/>
        <w:spacing w:line="500" w:lineRule="exact"/>
        <w:ind w:firstLine="480" w:firstLineChars="200"/>
        <w:jc w:val="both"/>
        <w:rPr>
          <w:rFonts w:asciiTheme="minorEastAsia" w:hAnsiTheme="minorEastAsia" w:eastAsiaTheme="minorEastAsia" w:cstheme="minorEastAsia"/>
          <w:color w:val="auto"/>
          <w:sz w:val="24"/>
          <w:szCs w:val="24"/>
          <w:highlight w:val="none"/>
          <w:lang w:val="en-US"/>
        </w:rPr>
      </w:pPr>
      <w:r>
        <w:rPr>
          <w:rFonts w:hint="eastAsia" w:asciiTheme="minorEastAsia" w:hAnsiTheme="minorEastAsia" w:eastAsiaTheme="minorEastAsia" w:cstheme="minorEastAsia"/>
          <w:color w:val="auto"/>
          <w:sz w:val="24"/>
          <w:szCs w:val="24"/>
          <w:highlight w:val="none"/>
        </w:rPr>
        <w:t>（1）农村部分：本项目总设计处理规模为1</w:t>
      </w:r>
      <w:r>
        <w:rPr>
          <w:rFonts w:asciiTheme="minorEastAsia" w:hAnsiTheme="minorEastAsia" w:eastAsiaTheme="minorEastAsia" w:cstheme="minorEastAsia"/>
          <w:color w:val="auto"/>
          <w:sz w:val="24"/>
          <w:szCs w:val="24"/>
          <w:highlight w:val="none"/>
        </w:rPr>
        <w:t>2</w:t>
      </w:r>
      <w:r>
        <w:rPr>
          <w:rFonts w:hint="eastAsia" w:asciiTheme="minorEastAsia" w:hAnsiTheme="minorEastAsia" w:eastAsiaTheme="minorEastAsia" w:cstheme="minorEastAsia"/>
          <w:color w:val="auto"/>
          <w:sz w:val="24"/>
          <w:szCs w:val="24"/>
          <w:highlight w:val="none"/>
        </w:rPr>
        <w:t>540m³/d，覆盖</w:t>
      </w:r>
      <w:r>
        <w:rPr>
          <w:rFonts w:hint="eastAsia" w:asciiTheme="minorEastAsia" w:hAnsiTheme="minorEastAsia" w:eastAsiaTheme="minorEastAsia" w:cstheme="minorEastAsia"/>
          <w:color w:val="auto"/>
          <w:spacing w:val="-5"/>
          <w:sz w:val="24"/>
          <w:szCs w:val="24"/>
          <w:highlight w:val="none"/>
          <w:lang w:val="en-US" w:eastAsia="zh-CN"/>
        </w:rPr>
        <w:t>1494</w:t>
      </w:r>
      <w:r>
        <w:rPr>
          <w:rFonts w:hint="eastAsia" w:asciiTheme="minorEastAsia" w:hAnsiTheme="minorEastAsia" w:eastAsiaTheme="minorEastAsia" w:cstheme="minorEastAsia"/>
          <w:color w:val="auto"/>
          <w:sz w:val="24"/>
          <w:szCs w:val="24"/>
          <w:highlight w:val="none"/>
        </w:rPr>
        <w:t>个自然村，总服务人口约为</w:t>
      </w:r>
      <w:r>
        <w:rPr>
          <w:rFonts w:hint="eastAsia" w:asciiTheme="minorEastAsia" w:hAnsiTheme="minorEastAsia" w:eastAsiaTheme="minorEastAsia" w:cstheme="minorEastAsia"/>
          <w:color w:val="auto"/>
          <w:sz w:val="24"/>
          <w:szCs w:val="24"/>
          <w:highlight w:val="none"/>
          <w:lang w:eastAsia="zh-CN"/>
        </w:rPr>
        <w:t>24.05万人</w:t>
      </w:r>
      <w:r>
        <w:rPr>
          <w:rFonts w:hint="eastAsia" w:asciiTheme="minorEastAsia" w:hAnsiTheme="minorEastAsia" w:eastAsiaTheme="minorEastAsia" w:cstheme="minorEastAsia"/>
          <w:color w:val="auto"/>
          <w:sz w:val="24"/>
          <w:szCs w:val="24"/>
          <w:highlight w:val="none"/>
        </w:rPr>
        <w:t>。</w:t>
      </w:r>
    </w:p>
    <w:p>
      <w:pPr>
        <w:pStyle w:val="32"/>
        <w:numPr>
          <w:ilvl w:val="2"/>
          <w:numId w:val="17"/>
        </w:numPr>
        <w:tabs>
          <w:tab w:val="left" w:pos="1796"/>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排放标准</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新建农村污水处理设施出水水质执行以下标准：</w:t>
      </w:r>
    </w:p>
    <w:p>
      <w:pPr>
        <w:tabs>
          <w:tab w:val="left" w:pos="1961"/>
          <w:tab w:val="left" w:pos="8054"/>
        </w:tabs>
        <w:spacing w:line="500" w:lineRule="exact"/>
        <w:ind w:firstLine="468" w:firstLineChars="200"/>
        <w:jc w:val="both"/>
        <w:rPr>
          <w:rFonts w:asciiTheme="minorEastAsia" w:hAnsiTheme="minorEastAsia" w:eastAsiaTheme="minorEastAsia" w:cstheme="minorEastAsia"/>
          <w:color w:val="auto"/>
          <w:spacing w:val="-3"/>
          <w:sz w:val="24"/>
          <w:szCs w:val="24"/>
        </w:rPr>
      </w:pPr>
      <w:r>
        <w:rPr>
          <w:rFonts w:hint="eastAsia" w:asciiTheme="minorEastAsia" w:hAnsiTheme="minorEastAsia" w:eastAsiaTheme="minorEastAsia" w:cstheme="minorEastAsia"/>
          <w:color w:val="auto"/>
          <w:spacing w:val="-3"/>
          <w:sz w:val="24"/>
          <w:szCs w:val="24"/>
        </w:rPr>
        <w:t>（1）处理后出水就近纳入城镇污水管网的，执行《污水排入城镇下水道水质标准》GB/T31962-2015；</w:t>
      </w:r>
    </w:p>
    <w:p>
      <w:pPr>
        <w:tabs>
          <w:tab w:val="left" w:pos="1961"/>
          <w:tab w:val="left" w:pos="8054"/>
        </w:tabs>
        <w:spacing w:line="500" w:lineRule="exact"/>
        <w:ind w:firstLine="468" w:firstLineChars="200"/>
        <w:jc w:val="both"/>
        <w:rPr>
          <w:rFonts w:asciiTheme="minorEastAsia" w:hAnsiTheme="minorEastAsia" w:eastAsiaTheme="minorEastAsia" w:cstheme="minorEastAsia"/>
          <w:color w:val="auto"/>
          <w:spacing w:val="-3"/>
          <w:sz w:val="24"/>
          <w:szCs w:val="24"/>
        </w:rPr>
      </w:pPr>
      <w:r>
        <w:rPr>
          <w:rFonts w:hint="eastAsia" w:asciiTheme="minorEastAsia" w:hAnsiTheme="minorEastAsia" w:eastAsiaTheme="minorEastAsia" w:cstheme="minorEastAsia"/>
          <w:color w:val="auto"/>
          <w:spacing w:val="-3"/>
          <w:sz w:val="24"/>
          <w:szCs w:val="24"/>
        </w:rPr>
        <w:t>（2）处理后出水直接排入自然水体时，需根据水功能区划确定排放标准，执行广东省《农村生活污水处理排放标准》DB63/T1777-2020（DB44/2208-2019）；</w:t>
      </w:r>
    </w:p>
    <w:p>
      <w:pPr>
        <w:tabs>
          <w:tab w:val="left" w:pos="1961"/>
          <w:tab w:val="left" w:pos="8054"/>
        </w:tabs>
        <w:spacing w:line="500" w:lineRule="exact"/>
        <w:ind w:firstLine="468" w:firstLineChars="200"/>
        <w:jc w:val="both"/>
        <w:rPr>
          <w:rFonts w:asciiTheme="minorEastAsia" w:hAnsiTheme="minorEastAsia" w:eastAsiaTheme="minorEastAsia" w:cstheme="minorEastAsia"/>
          <w:color w:val="auto"/>
          <w:spacing w:val="-3"/>
          <w:sz w:val="24"/>
          <w:szCs w:val="24"/>
        </w:rPr>
      </w:pPr>
      <w:r>
        <w:rPr>
          <w:rFonts w:hint="eastAsia" w:asciiTheme="minorEastAsia" w:hAnsiTheme="minorEastAsia" w:eastAsiaTheme="minorEastAsia" w:cstheme="minorEastAsia"/>
          <w:color w:val="auto"/>
          <w:spacing w:val="-3"/>
          <w:sz w:val="24"/>
          <w:szCs w:val="24"/>
        </w:rPr>
        <w:t>（3）不在前述（1）及（2）要求涵盖范围，以村组为单位采取集中处理方式的，至少执行《城镇污水处理厂污染物排放标准》（GB18918-2002）一级B标准。</w:t>
      </w:r>
    </w:p>
    <w:p>
      <w:pPr>
        <w:pStyle w:val="32"/>
        <w:numPr>
          <w:ilvl w:val="2"/>
          <w:numId w:val="17"/>
        </w:numPr>
        <w:tabs>
          <w:tab w:val="left" w:pos="1796"/>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排水体制</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1）为避免大量雨水和山泉水接入污水管网，保证污水处理设施进水浓度，本项目建议农村全部实行雨污分流制，从每户化粪池接出污管道，未建设化粪池的需与污水支管同步建设化粪池，鼓励将已有的排水明渠改造成与污水管叠层设计。</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lang w:val="en-US"/>
        </w:rPr>
        <w:t>（2）</w:t>
      </w:r>
      <w:r>
        <w:rPr>
          <w:rFonts w:hint="eastAsia" w:asciiTheme="minorEastAsia" w:hAnsiTheme="minorEastAsia" w:eastAsiaTheme="minorEastAsia" w:cstheme="minorEastAsia"/>
          <w:color w:val="auto"/>
          <w:sz w:val="24"/>
          <w:szCs w:val="24"/>
        </w:rPr>
        <w:t>旱季污水全收集。</w:t>
      </w:r>
    </w:p>
    <w:p>
      <w:pPr>
        <w:pStyle w:val="32"/>
        <w:numPr>
          <w:ilvl w:val="2"/>
          <w:numId w:val="17"/>
        </w:numPr>
        <w:tabs>
          <w:tab w:val="left" w:pos="1796"/>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管道设计要求</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 xml:space="preserve">（1）污水管管径的确定应考虑远期规划和现状污水收集情况； </w:t>
      </w:r>
    </w:p>
    <w:p>
      <w:pPr>
        <w:pStyle w:val="10"/>
        <w:spacing w:line="500" w:lineRule="exact"/>
        <w:ind w:left="48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lang w:val="en-US"/>
        </w:rPr>
        <w:t>（2）</w:t>
      </w:r>
      <w:r>
        <w:rPr>
          <w:rFonts w:hint="eastAsia" w:asciiTheme="minorEastAsia" w:hAnsiTheme="minorEastAsia" w:eastAsiaTheme="minorEastAsia" w:cstheme="minorEastAsia"/>
          <w:color w:val="auto"/>
          <w:sz w:val="24"/>
          <w:szCs w:val="24"/>
        </w:rPr>
        <w:t>地下干管结构设计使用年限不低于50年，安全等级不低于二级。</w:t>
      </w:r>
    </w:p>
    <w:p>
      <w:pPr>
        <w:pStyle w:val="32"/>
        <w:numPr>
          <w:ilvl w:val="2"/>
          <w:numId w:val="17"/>
        </w:numPr>
        <w:tabs>
          <w:tab w:val="left" w:pos="186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工艺设计要求</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（1）污水处理设施建设成后，美观大方，与周边环相协调，不见污水，无臭味，必要时仅允许用电器及数据仪表的电表仪器间外露设计；</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（2）根据设计进水水质和出水水质要求，所选污水处理工艺力求处理效果好、运行稳定可靠、高效节能、经济合理，确保污水处理效果，减少工程投资及日常运行费用；</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3）污水处理设施总平面布置力求在便于施工、便于安装和便于维修的前提下，使各处理构筑物尽量集中，节约用地，扩大绿化面积，并留有发展余地，原则上农村污水处理设施占地以不超过2.0m²/(m³/d）标准设计。</w:t>
      </w:r>
    </w:p>
    <w:p>
      <w:pPr>
        <w:pStyle w:val="32"/>
        <w:numPr>
          <w:ilvl w:val="2"/>
          <w:numId w:val="17"/>
        </w:numPr>
        <w:tabs>
          <w:tab w:val="left" w:pos="1796"/>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设备及材料要求</w:t>
      </w:r>
    </w:p>
    <w:p>
      <w:pPr>
        <w:pStyle w:val="32"/>
        <w:numPr>
          <w:ilvl w:val="3"/>
          <w:numId w:val="17"/>
        </w:numPr>
        <w:tabs>
          <w:tab w:val="left" w:pos="1664"/>
        </w:tabs>
        <w:spacing w:line="500" w:lineRule="exact"/>
        <w:ind w:left="0"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相关设备和器材宜采用合资企业或国内名牌产品，确定</w:t>
      </w:r>
      <w:r>
        <w:rPr>
          <w:rFonts w:hint="eastAsia" w:asciiTheme="minorEastAsia" w:hAnsiTheme="minorEastAsia" w:eastAsiaTheme="minorEastAsia" w:cstheme="minorEastAsia"/>
          <w:color w:val="auto"/>
          <w:spacing w:val="-8"/>
          <w:sz w:val="24"/>
          <w:szCs w:val="24"/>
        </w:rPr>
        <w:t>设备可靠性及有效性，减少日常维护检修工作量；</w:t>
      </w:r>
    </w:p>
    <w:p>
      <w:pPr>
        <w:pStyle w:val="32"/>
        <w:numPr>
          <w:ilvl w:val="3"/>
          <w:numId w:val="17"/>
        </w:numPr>
        <w:tabs>
          <w:tab w:val="left" w:pos="1664"/>
        </w:tabs>
        <w:spacing w:line="500" w:lineRule="exact"/>
        <w:ind w:left="0"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排水管渠的材料必须满足国家相应质量标准要求，以保</w:t>
      </w:r>
      <w:r>
        <w:rPr>
          <w:rFonts w:hint="eastAsia" w:asciiTheme="minorEastAsia" w:hAnsiTheme="minorEastAsia" w:eastAsiaTheme="minorEastAsia" w:cstheme="minorEastAsia"/>
          <w:color w:val="auto"/>
          <w:spacing w:val="-8"/>
          <w:sz w:val="24"/>
          <w:szCs w:val="24"/>
        </w:rPr>
        <w:t>证正常的排水功能。</w:t>
      </w:r>
    </w:p>
    <w:p>
      <w:pPr>
        <w:pStyle w:val="32"/>
        <w:numPr>
          <w:ilvl w:val="2"/>
          <w:numId w:val="17"/>
        </w:numPr>
        <w:tabs>
          <w:tab w:val="left" w:pos="1796"/>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污水进水浓度要求</w:t>
      </w:r>
    </w:p>
    <w:p>
      <w:pPr>
        <w:pStyle w:val="10"/>
        <w:spacing w:line="500" w:lineRule="exact"/>
        <w:ind w:firstLine="40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8"/>
          <w:sz w:val="24"/>
          <w:szCs w:val="24"/>
        </w:rPr>
        <w:t xml:space="preserve">农村污水处理设施旱季污水收集浓度不低 </w:t>
      </w:r>
      <w:r>
        <w:rPr>
          <w:rFonts w:hint="eastAsia" w:asciiTheme="minorEastAsia" w:hAnsiTheme="minorEastAsia" w:eastAsiaTheme="minorEastAsia" w:cstheme="minorEastAsia"/>
          <w:color w:val="auto"/>
          <w:sz w:val="24"/>
          <w:szCs w:val="24"/>
        </w:rPr>
        <w:t>120mg/L ，</w:t>
      </w:r>
      <w:r>
        <w:rPr>
          <w:rFonts w:hint="eastAsia" w:asciiTheme="minorEastAsia" w:hAnsiTheme="minorEastAsia" w:eastAsiaTheme="minorEastAsia" w:cstheme="minorEastAsia"/>
          <w:color w:val="auto"/>
          <w:spacing w:val="-15"/>
          <w:sz w:val="24"/>
          <w:szCs w:val="24"/>
        </w:rPr>
        <w:t xml:space="preserve">年平均污水收集浓度不低于 </w:t>
      </w:r>
      <w:r>
        <w:rPr>
          <w:rFonts w:hint="eastAsia" w:asciiTheme="minorEastAsia" w:hAnsiTheme="minorEastAsia" w:eastAsiaTheme="minorEastAsia" w:cstheme="minorEastAsia"/>
          <w:color w:val="auto"/>
          <w:sz w:val="24"/>
          <w:szCs w:val="24"/>
        </w:rPr>
        <w:t xml:space="preserve">90 </w:t>
      </w:r>
      <w:r>
        <w:rPr>
          <w:rFonts w:hint="eastAsia" w:asciiTheme="minorEastAsia" w:hAnsiTheme="minorEastAsia" w:eastAsiaTheme="minorEastAsia" w:cstheme="minorEastAsia"/>
          <w:color w:val="auto"/>
          <w:spacing w:val="-6"/>
          <w:sz w:val="24"/>
          <w:szCs w:val="24"/>
        </w:rPr>
        <w:t>mg/L</w:t>
      </w:r>
      <w:r>
        <w:rPr>
          <w:rFonts w:hint="eastAsia" w:asciiTheme="minorEastAsia" w:hAnsiTheme="minorEastAsia" w:eastAsiaTheme="minorEastAsia" w:cstheme="minorEastAsia"/>
          <w:color w:val="auto"/>
          <w:sz w:val="24"/>
          <w:szCs w:val="24"/>
        </w:rPr>
        <w:t>。</w:t>
      </w:r>
    </w:p>
    <w:p>
      <w:pPr>
        <w:spacing w:line="500" w:lineRule="exact"/>
        <w:ind w:firstLine="482" w:firstLineChars="200"/>
        <w:jc w:val="both"/>
        <w:rPr>
          <w:rFonts w:asciiTheme="minorEastAsia" w:hAnsiTheme="minorEastAsia" w:eastAsiaTheme="minorEastAsia" w:cstheme="minorEastAsia"/>
          <w:b/>
          <w:color w:val="auto"/>
          <w:sz w:val="24"/>
          <w:szCs w:val="24"/>
        </w:rPr>
      </w:pPr>
      <w:r>
        <w:rPr>
          <w:rFonts w:hint="eastAsia" w:ascii="黑体" w:hAnsi="黑体" w:eastAsia="黑体" w:cs="黑体"/>
          <w:b/>
          <w:color w:val="auto"/>
          <w:sz w:val="24"/>
          <w:szCs w:val="24"/>
        </w:rPr>
        <w:t>4.3.8.1</w:t>
      </w:r>
      <w:r>
        <w:rPr>
          <w:rFonts w:hint="eastAsia" w:asciiTheme="minorEastAsia" w:hAnsiTheme="minorEastAsia" w:eastAsiaTheme="minorEastAsia" w:cstheme="minorEastAsia"/>
          <w:b/>
          <w:color w:val="auto"/>
          <w:sz w:val="24"/>
          <w:szCs w:val="24"/>
        </w:rPr>
        <w:t xml:space="preserve"> 运行管理</w:t>
      </w:r>
    </w:p>
    <w:p>
      <w:pPr>
        <w:pStyle w:val="32"/>
        <w:numPr>
          <w:ilvl w:val="0"/>
          <w:numId w:val="18"/>
        </w:numPr>
        <w:tabs>
          <w:tab w:val="left" w:pos="1949"/>
        </w:tabs>
        <w:spacing w:line="500" w:lineRule="exact"/>
        <w:ind w:left="0" w:firstLine="42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3"/>
          <w:sz w:val="24"/>
          <w:szCs w:val="24"/>
        </w:rPr>
        <w:t>采用现代化手段，实现城镇和农村污水处理设施自动化监控和管理，实现农村污水处理设施无人值守；</w:t>
      </w:r>
    </w:p>
    <w:p>
      <w:pPr>
        <w:pStyle w:val="32"/>
        <w:numPr>
          <w:ilvl w:val="0"/>
          <w:numId w:val="18"/>
        </w:numPr>
        <w:tabs>
          <w:tab w:val="left" w:pos="1949"/>
        </w:tabs>
        <w:spacing w:line="500" w:lineRule="exact"/>
        <w:ind w:left="0" w:firstLine="428" w:firstLineChars="200"/>
        <w:jc w:val="both"/>
        <w:rPr>
          <w:rFonts w:asciiTheme="minorEastAsia" w:hAnsiTheme="minorEastAsia" w:eastAsiaTheme="minorEastAsia" w:cstheme="minorEastAsia"/>
          <w:color w:val="auto"/>
          <w:spacing w:val="-13"/>
          <w:sz w:val="24"/>
          <w:szCs w:val="24"/>
        </w:rPr>
      </w:pPr>
      <w:r>
        <w:rPr>
          <w:rFonts w:hint="eastAsia" w:asciiTheme="minorEastAsia" w:hAnsiTheme="minorEastAsia" w:eastAsiaTheme="minorEastAsia" w:cstheme="minorEastAsia"/>
          <w:color w:val="auto"/>
          <w:spacing w:val="-13"/>
          <w:sz w:val="24"/>
          <w:szCs w:val="24"/>
        </w:rPr>
        <w:t>定期检查污水收集管道及各类污水检查井，清理淤积物，及时修补已损坏和疏通已堵塞的管道，保证过流通畅；</w:t>
      </w:r>
    </w:p>
    <w:p>
      <w:pPr>
        <w:pStyle w:val="32"/>
        <w:numPr>
          <w:ilvl w:val="0"/>
          <w:numId w:val="18"/>
        </w:numPr>
        <w:tabs>
          <w:tab w:val="left" w:pos="1949"/>
        </w:tabs>
        <w:spacing w:line="500" w:lineRule="exact"/>
        <w:ind w:left="0" w:firstLine="428" w:firstLineChars="200"/>
        <w:jc w:val="both"/>
        <w:rPr>
          <w:rFonts w:asciiTheme="minorEastAsia" w:hAnsiTheme="minorEastAsia" w:eastAsiaTheme="minorEastAsia" w:cstheme="minorEastAsia"/>
          <w:color w:val="auto"/>
          <w:spacing w:val="-13"/>
          <w:sz w:val="24"/>
          <w:szCs w:val="24"/>
        </w:rPr>
      </w:pPr>
      <w:r>
        <w:rPr>
          <w:rFonts w:hint="eastAsia" w:asciiTheme="minorEastAsia" w:hAnsiTheme="minorEastAsia" w:eastAsiaTheme="minorEastAsia" w:cstheme="minorEastAsia"/>
          <w:color w:val="auto"/>
          <w:spacing w:val="-13"/>
          <w:sz w:val="24"/>
          <w:szCs w:val="24"/>
        </w:rPr>
        <w:t>定期对设施设备进行保养维护，保证设施和设备正常运转，出现事故应及时处理；</w:t>
      </w:r>
    </w:p>
    <w:p>
      <w:pPr>
        <w:pStyle w:val="32"/>
        <w:numPr>
          <w:ilvl w:val="0"/>
          <w:numId w:val="18"/>
        </w:numPr>
        <w:tabs>
          <w:tab w:val="left" w:pos="1908"/>
        </w:tabs>
        <w:spacing w:line="500" w:lineRule="exact"/>
        <w:ind w:left="0" w:firstLine="42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3"/>
          <w:sz w:val="24"/>
          <w:szCs w:val="24"/>
        </w:rPr>
        <w:t>出现污水外溢或污水横流现象应及时处理。</w:t>
      </w:r>
    </w:p>
    <w:p>
      <w:pPr>
        <w:pStyle w:val="3"/>
        <w:numPr>
          <w:ilvl w:val="1"/>
          <w:numId w:val="17"/>
        </w:numPr>
        <w:tabs>
          <w:tab w:val="left" w:pos="1625"/>
        </w:tabs>
        <w:adjustRightInd/>
        <w:snapToGrid/>
        <w:spacing w:line="500" w:lineRule="exact"/>
        <w:ind w:left="0" w:firstLine="0"/>
        <w:jc w:val="both"/>
        <w:rPr>
          <w:rFonts w:asciiTheme="minorEastAsia" w:hAnsiTheme="minorEastAsia" w:eastAsiaTheme="minorEastAsia" w:cstheme="minorEastAsia"/>
          <w:color w:val="auto"/>
          <w:sz w:val="24"/>
          <w:szCs w:val="24"/>
          <w:lang w:val="en-US"/>
        </w:rPr>
      </w:pPr>
      <w:bookmarkStart w:id="58" w:name="4.4排水体制论证"/>
      <w:bookmarkEnd w:id="58"/>
      <w:bookmarkStart w:id="59" w:name="_Toc23046"/>
      <w:r>
        <w:rPr>
          <w:rFonts w:hint="eastAsia" w:asciiTheme="minorEastAsia" w:hAnsiTheme="minorEastAsia" w:eastAsiaTheme="minorEastAsia" w:cstheme="minorEastAsia"/>
          <w:color w:val="auto"/>
          <w:sz w:val="24"/>
          <w:szCs w:val="24"/>
          <w:lang w:val="en-US"/>
        </w:rPr>
        <w:t xml:space="preserve"> </w:t>
      </w:r>
      <w:bookmarkStart w:id="60" w:name="_Toc10748"/>
      <w:r>
        <w:rPr>
          <w:rFonts w:hint="eastAsia" w:asciiTheme="minorEastAsia" w:hAnsiTheme="minorEastAsia" w:eastAsiaTheme="minorEastAsia" w:cstheme="minorEastAsia"/>
          <w:color w:val="auto"/>
          <w:sz w:val="24"/>
          <w:szCs w:val="24"/>
          <w:lang w:val="en-US"/>
        </w:rPr>
        <w:t>排水体制论证</w:t>
      </w:r>
      <w:bookmarkEnd w:id="59"/>
      <w:bookmarkEnd w:id="60"/>
    </w:p>
    <w:p>
      <w:pPr>
        <w:pStyle w:val="10"/>
        <w:spacing w:line="500" w:lineRule="exact"/>
        <w:ind w:firstLine="42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3"/>
          <w:sz w:val="24"/>
          <w:szCs w:val="24"/>
        </w:rPr>
        <w:t>排水体制的选择是排水系统规划和设计中的首要问题。它影响排水系统的设计、施工、维护和管理，对城市规划和环境保护也影响深远，同时也影响排水系统工程的总投资、初期投资和运行管理费用。</w:t>
      </w:r>
    </w:p>
    <w:p>
      <w:pPr>
        <w:pStyle w:val="10"/>
        <w:spacing w:line="500" w:lineRule="exact"/>
        <w:ind w:firstLine="42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3"/>
          <w:sz w:val="24"/>
          <w:szCs w:val="24"/>
        </w:rPr>
        <w:t>排水体制应根据城市总体规划、 环境保护要求、污水利用处理情况、原有排水设施、 水环境容量、地形及气候等条件，从全局出发，通过技术经济比较，综合考虑确定。</w:t>
      </w:r>
    </w:p>
    <w:p>
      <w:pPr>
        <w:pStyle w:val="10"/>
        <w:spacing w:line="500" w:lineRule="exact"/>
        <w:ind w:firstLine="44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8"/>
          <w:sz w:val="24"/>
          <w:szCs w:val="24"/>
        </w:rPr>
        <w:t>一个城市，通常采用混合制的排水系统，即既有分流制，也有合流制， 这是与城市发展的不同时期相联系的。城市中由于各区域自然条件及建设境况的不同， 因地制宜地在各区域采用不同的排水体制都</w:t>
      </w:r>
      <w:r>
        <w:rPr>
          <w:rFonts w:hint="eastAsia" w:asciiTheme="minorEastAsia" w:hAnsiTheme="minorEastAsia" w:eastAsiaTheme="minorEastAsia" w:cstheme="minorEastAsia"/>
          <w:color w:val="auto"/>
          <w:spacing w:val="-7"/>
          <w:sz w:val="24"/>
          <w:szCs w:val="24"/>
        </w:rPr>
        <w:t>合理的。</w:t>
      </w:r>
    </w:p>
    <w:p>
      <w:pPr>
        <w:pStyle w:val="10"/>
        <w:spacing w:line="500" w:lineRule="exact"/>
        <w:ind w:firstLine="44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8"/>
          <w:sz w:val="24"/>
          <w:szCs w:val="24"/>
        </w:rPr>
        <w:t>农村排水体制的选择应因地制宜，结合当地自然地理条件、居民</w:t>
      </w:r>
      <w:r>
        <w:rPr>
          <w:rFonts w:hint="eastAsia" w:asciiTheme="minorEastAsia" w:hAnsiTheme="minorEastAsia" w:eastAsiaTheme="minorEastAsia" w:cstheme="minorEastAsia"/>
          <w:color w:val="auto"/>
          <w:spacing w:val="-13"/>
          <w:sz w:val="24"/>
          <w:szCs w:val="24"/>
        </w:rPr>
        <w:t>生活习惯、原有排水设施以及污水处理和利用等因素综合考虑确定。</w:t>
      </w:r>
    </w:p>
    <w:p>
      <w:pPr>
        <w:pStyle w:val="32"/>
        <w:numPr>
          <w:ilvl w:val="0"/>
          <w:numId w:val="19"/>
        </w:numPr>
        <w:tabs>
          <w:tab w:val="left" w:pos="1642"/>
        </w:tabs>
        <w:spacing w:line="500" w:lineRule="exact"/>
        <w:ind w:left="0" w:firstLine="42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3"/>
          <w:sz w:val="24"/>
          <w:szCs w:val="24"/>
        </w:rPr>
        <w:t>对于农村新建区应采取分流制。污水经污水管道进入污处理设施进行处理， 雨水通过沟渠或地表径流排放。</w:t>
      </w:r>
    </w:p>
    <w:p>
      <w:pPr>
        <w:pStyle w:val="32"/>
        <w:numPr>
          <w:ilvl w:val="0"/>
          <w:numId w:val="19"/>
        </w:numPr>
        <w:tabs>
          <w:tab w:val="left" w:pos="1642"/>
        </w:tabs>
        <w:spacing w:line="500" w:lineRule="exact"/>
        <w:ind w:left="0" w:firstLine="428" w:firstLineChars="200"/>
        <w:jc w:val="both"/>
        <w:rPr>
          <w:rFonts w:asciiTheme="minorEastAsia" w:hAnsiTheme="minorEastAsia" w:eastAsiaTheme="minorEastAsia" w:cstheme="minorEastAsia"/>
          <w:color w:val="auto"/>
          <w:spacing w:val="-13"/>
          <w:sz w:val="24"/>
          <w:szCs w:val="24"/>
        </w:rPr>
      </w:pPr>
      <w:r>
        <w:rPr>
          <w:rFonts w:hint="eastAsia" w:asciiTheme="minorEastAsia" w:hAnsiTheme="minorEastAsia" w:eastAsiaTheme="minorEastAsia" w:cstheme="minorEastAsia"/>
          <w:color w:val="auto"/>
          <w:spacing w:val="-13"/>
          <w:sz w:val="24"/>
          <w:szCs w:val="24"/>
        </w:rPr>
        <w:t>对于建筑密集分流改造困难的建成村庄宜采用截流式合流制。有条件的村庄应逐步改造为分流制。</w:t>
      </w:r>
    </w:p>
    <w:p>
      <w:pPr>
        <w:pStyle w:val="32"/>
        <w:numPr>
          <w:ilvl w:val="0"/>
          <w:numId w:val="19"/>
        </w:numPr>
        <w:tabs>
          <w:tab w:val="left" w:pos="1642"/>
        </w:tabs>
        <w:spacing w:line="500" w:lineRule="exact"/>
        <w:ind w:left="0" w:firstLine="428" w:firstLineChars="200"/>
        <w:jc w:val="both"/>
        <w:rPr>
          <w:rFonts w:asciiTheme="minorEastAsia" w:hAnsiTheme="minorEastAsia" w:eastAsiaTheme="minorEastAsia" w:cstheme="minorEastAsia"/>
          <w:color w:val="auto"/>
          <w:spacing w:val="-13"/>
          <w:sz w:val="24"/>
          <w:szCs w:val="24"/>
        </w:rPr>
      </w:pPr>
      <w:r>
        <w:rPr>
          <w:rFonts w:hint="eastAsia" w:asciiTheme="minorEastAsia" w:hAnsiTheme="minorEastAsia" w:eastAsiaTheme="minorEastAsia" w:cstheme="minorEastAsia"/>
          <w:color w:val="auto"/>
          <w:spacing w:val="-13"/>
          <w:sz w:val="24"/>
          <w:szCs w:val="24"/>
        </w:rPr>
        <w:t>对于人口相对分散地区，可利用现有雨污排水边沟或自然沟渠，采取合流制或截流式合流制。</w:t>
      </w:r>
    </w:p>
    <w:p>
      <w:pPr>
        <w:pStyle w:val="32"/>
        <w:numPr>
          <w:ilvl w:val="0"/>
          <w:numId w:val="19"/>
        </w:numPr>
        <w:tabs>
          <w:tab w:val="left" w:pos="1642"/>
        </w:tabs>
        <w:spacing w:line="500" w:lineRule="exact"/>
        <w:ind w:left="0" w:firstLine="428" w:firstLineChars="200"/>
        <w:jc w:val="both"/>
        <w:rPr>
          <w:rFonts w:asciiTheme="minorEastAsia" w:hAnsiTheme="minorEastAsia" w:eastAsiaTheme="minorEastAsia" w:cstheme="minorEastAsia"/>
          <w:color w:val="auto"/>
          <w:spacing w:val="-13"/>
          <w:sz w:val="24"/>
          <w:szCs w:val="24"/>
        </w:rPr>
      </w:pPr>
      <w:r>
        <w:rPr>
          <w:rFonts w:hint="eastAsia" w:asciiTheme="minorEastAsia" w:hAnsiTheme="minorEastAsia" w:eastAsiaTheme="minorEastAsia" w:cstheme="minorEastAsia"/>
          <w:color w:val="auto"/>
          <w:spacing w:val="-13"/>
          <w:sz w:val="24"/>
          <w:szCs w:val="24"/>
        </w:rPr>
        <w:t>罗定市农村排水条件基本分为两种情况，即完成新农村建设的自然村和未完成新农村建设的自然村。完成新农村建设的自然村有较为确定的排水设施，有明确的排水方向。但基本为合流制边沟和管道，未完成新农村建设的自然村则为散排模式，无明确排水方向.</w:t>
      </w:r>
    </w:p>
    <w:p>
      <w:pPr>
        <w:pStyle w:val="10"/>
        <w:spacing w:line="500" w:lineRule="exact"/>
        <w:ind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本工程为农村生活污水处理工程，因此在工程实施过程中，建议</w:t>
      </w:r>
      <w:r>
        <w:rPr>
          <w:rFonts w:hint="eastAsia" w:asciiTheme="minorEastAsia" w:hAnsiTheme="minorEastAsia" w:eastAsiaTheme="minorEastAsia" w:cstheme="minorEastAsia"/>
          <w:color w:val="auto"/>
          <w:spacing w:val="-3"/>
          <w:sz w:val="24"/>
          <w:szCs w:val="24"/>
        </w:rPr>
        <w:t>农村全部实行雨污分流制，从每户化粪池接出污管道，未建设化粪池的需与污水支管同步建设化粪池，鼓励将已有的排水明渠改造成</w:t>
      </w:r>
      <w:r>
        <w:rPr>
          <w:rFonts w:hint="eastAsia" w:asciiTheme="minorEastAsia" w:hAnsiTheme="minorEastAsia" w:eastAsiaTheme="minorEastAsia" w:cstheme="minorEastAsia"/>
          <w:color w:val="auto"/>
          <w:spacing w:val="-5"/>
          <w:sz w:val="24"/>
          <w:szCs w:val="24"/>
        </w:rPr>
        <w:t>与污水管叠层设计。</w:t>
      </w:r>
    </w:p>
    <w:p>
      <w:pPr>
        <w:pStyle w:val="3"/>
        <w:numPr>
          <w:ilvl w:val="1"/>
          <w:numId w:val="17"/>
        </w:numPr>
        <w:tabs>
          <w:tab w:val="left" w:pos="1625"/>
        </w:tabs>
        <w:adjustRightInd/>
        <w:snapToGrid/>
        <w:spacing w:line="500" w:lineRule="exact"/>
        <w:ind w:left="0" w:firstLine="0"/>
        <w:jc w:val="both"/>
        <w:rPr>
          <w:rFonts w:asciiTheme="minorEastAsia" w:hAnsiTheme="minorEastAsia" w:eastAsiaTheme="minorEastAsia" w:cstheme="minorEastAsia"/>
          <w:color w:val="auto"/>
          <w:sz w:val="24"/>
          <w:szCs w:val="24"/>
          <w:lang w:val="en-US"/>
        </w:rPr>
      </w:pPr>
      <w:bookmarkStart w:id="61" w:name="_Toc25165"/>
      <w:r>
        <w:rPr>
          <w:rFonts w:hint="eastAsia" w:asciiTheme="minorEastAsia" w:hAnsiTheme="minorEastAsia" w:eastAsiaTheme="minorEastAsia" w:cstheme="minorEastAsia"/>
          <w:color w:val="auto"/>
          <w:sz w:val="24"/>
          <w:szCs w:val="24"/>
          <w:lang w:val="en-US"/>
        </w:rPr>
        <w:t xml:space="preserve"> </w:t>
      </w:r>
      <w:bookmarkStart w:id="62" w:name="_Toc10137"/>
      <w:r>
        <w:rPr>
          <w:rFonts w:hint="eastAsia" w:asciiTheme="minorEastAsia" w:hAnsiTheme="minorEastAsia" w:eastAsiaTheme="minorEastAsia" w:cstheme="minorEastAsia"/>
          <w:color w:val="auto"/>
          <w:sz w:val="24"/>
          <w:szCs w:val="24"/>
          <w:lang w:val="en-US"/>
        </w:rPr>
        <w:t>污水量预测及建设规模确定</w:t>
      </w:r>
      <w:bookmarkEnd w:id="61"/>
      <w:bookmarkEnd w:id="62"/>
    </w:p>
    <w:p>
      <w:pPr>
        <w:pStyle w:val="32"/>
        <w:numPr>
          <w:ilvl w:val="2"/>
          <w:numId w:val="17"/>
        </w:numPr>
        <w:tabs>
          <w:tab w:val="left" w:pos="1796"/>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 xml:space="preserve">污水量预测依据 </w:t>
      </w:r>
    </w:p>
    <w:p>
      <w:pPr>
        <w:pStyle w:val="32"/>
        <w:numPr>
          <w:ilvl w:val="0"/>
          <w:numId w:val="20"/>
        </w:numPr>
        <w:tabs>
          <w:tab w:val="left" w:pos="1683"/>
        </w:tabs>
        <w:spacing w:line="500" w:lineRule="exact"/>
        <w:jc w:val="both"/>
        <w:rPr>
          <w:rFonts w:asciiTheme="minorEastAsia" w:hAnsiTheme="minorEastAsia" w:eastAsiaTheme="minorEastAsia" w:cstheme="minorEastAsia"/>
          <w:color w:val="auto"/>
          <w:spacing w:val="-6"/>
          <w:sz w:val="24"/>
          <w:szCs w:val="24"/>
        </w:rPr>
      </w:pPr>
      <w:r>
        <w:rPr>
          <w:rFonts w:hint="eastAsia" w:asciiTheme="minorEastAsia" w:hAnsiTheme="minorEastAsia" w:eastAsiaTheme="minorEastAsia" w:cstheme="minorEastAsia"/>
          <w:color w:val="auto"/>
          <w:spacing w:val="-6"/>
          <w:sz w:val="24"/>
          <w:szCs w:val="24"/>
        </w:rPr>
        <w:t xml:space="preserve">镇区提供的供水数据； </w:t>
      </w:r>
    </w:p>
    <w:p>
      <w:pPr>
        <w:pStyle w:val="32"/>
        <w:numPr>
          <w:ilvl w:val="0"/>
          <w:numId w:val="20"/>
        </w:numPr>
        <w:tabs>
          <w:tab w:val="left" w:pos="1683"/>
        </w:tabs>
        <w:spacing w:line="500" w:lineRule="exact"/>
        <w:jc w:val="both"/>
        <w:rPr>
          <w:rFonts w:asciiTheme="minorEastAsia" w:hAnsiTheme="minorEastAsia" w:eastAsiaTheme="minorEastAsia" w:cstheme="minorEastAsia"/>
          <w:color w:val="auto"/>
          <w:spacing w:val="-6"/>
          <w:sz w:val="24"/>
          <w:szCs w:val="24"/>
        </w:rPr>
      </w:pPr>
      <w:r>
        <w:rPr>
          <w:rFonts w:hint="eastAsia" w:asciiTheme="minorEastAsia" w:hAnsiTheme="minorEastAsia" w:eastAsiaTheme="minorEastAsia" w:cstheme="minorEastAsia"/>
          <w:color w:val="auto"/>
          <w:spacing w:val="-6"/>
          <w:sz w:val="24"/>
          <w:szCs w:val="24"/>
        </w:rPr>
        <w:t>自然村常住人口数据；</w:t>
      </w:r>
    </w:p>
    <w:p>
      <w:pPr>
        <w:pStyle w:val="32"/>
        <w:numPr>
          <w:ilvl w:val="0"/>
          <w:numId w:val="20"/>
        </w:numPr>
        <w:tabs>
          <w:tab w:val="left" w:pos="1364"/>
        </w:tabs>
        <w:spacing w:line="500" w:lineRule="exact"/>
        <w:jc w:val="both"/>
        <w:rPr>
          <w:rFonts w:asciiTheme="minorEastAsia" w:hAnsiTheme="minorEastAsia" w:eastAsiaTheme="minorEastAsia" w:cstheme="minorEastAsia"/>
          <w:color w:val="auto"/>
          <w:spacing w:val="-6"/>
          <w:sz w:val="24"/>
          <w:szCs w:val="24"/>
        </w:rPr>
      </w:pPr>
      <w:r>
        <w:rPr>
          <w:rFonts w:hint="eastAsia" w:asciiTheme="minorEastAsia" w:hAnsiTheme="minorEastAsia" w:eastAsiaTheme="minorEastAsia" w:cstheme="minorEastAsia"/>
          <w:color w:val="auto"/>
          <w:spacing w:val="-6"/>
          <w:sz w:val="24"/>
          <w:szCs w:val="24"/>
        </w:rPr>
        <w:t>污水处理设施服务范围；</w:t>
      </w:r>
    </w:p>
    <w:p>
      <w:pPr>
        <w:pStyle w:val="32"/>
        <w:numPr>
          <w:ilvl w:val="0"/>
          <w:numId w:val="20"/>
        </w:numPr>
        <w:tabs>
          <w:tab w:val="left" w:pos="1364"/>
        </w:tabs>
        <w:spacing w:line="500" w:lineRule="exact"/>
        <w:jc w:val="both"/>
        <w:rPr>
          <w:rFonts w:asciiTheme="minorEastAsia" w:hAnsiTheme="minorEastAsia" w:eastAsiaTheme="minorEastAsia" w:cstheme="minorEastAsia"/>
          <w:color w:val="auto"/>
          <w:spacing w:val="-6"/>
          <w:sz w:val="24"/>
          <w:szCs w:val="24"/>
        </w:rPr>
      </w:pPr>
      <w:r>
        <w:rPr>
          <w:rFonts w:hint="eastAsia" w:asciiTheme="minorEastAsia" w:hAnsiTheme="minorEastAsia" w:eastAsiaTheme="minorEastAsia" w:cstheme="minorEastAsia"/>
          <w:color w:val="auto"/>
          <w:spacing w:val="-6"/>
          <w:sz w:val="24"/>
          <w:szCs w:val="24"/>
        </w:rPr>
        <w:t xml:space="preserve">镇（乡）村给水工程规划规范（CJJ/T246-2016）； </w:t>
      </w:r>
    </w:p>
    <w:p>
      <w:pPr>
        <w:pStyle w:val="32"/>
        <w:numPr>
          <w:ilvl w:val="0"/>
          <w:numId w:val="20"/>
        </w:numPr>
        <w:tabs>
          <w:tab w:val="left" w:pos="1364"/>
        </w:tabs>
        <w:spacing w:line="500" w:lineRule="exact"/>
        <w:jc w:val="both"/>
        <w:rPr>
          <w:rFonts w:asciiTheme="minorEastAsia" w:hAnsiTheme="minorEastAsia" w:eastAsiaTheme="minorEastAsia" w:cstheme="minorEastAsia"/>
          <w:color w:val="auto"/>
          <w:spacing w:val="-6"/>
          <w:sz w:val="24"/>
          <w:szCs w:val="24"/>
        </w:rPr>
      </w:pPr>
      <w:r>
        <w:rPr>
          <w:rFonts w:hint="eastAsia" w:asciiTheme="minorEastAsia" w:hAnsiTheme="minorEastAsia" w:eastAsiaTheme="minorEastAsia" w:cstheme="minorEastAsia"/>
          <w:color w:val="auto"/>
          <w:spacing w:val="-6"/>
          <w:sz w:val="24"/>
          <w:szCs w:val="24"/>
        </w:rPr>
        <w:t>《城市给水工程规划规范》（GB50282-2016）；</w:t>
      </w:r>
    </w:p>
    <w:p>
      <w:pPr>
        <w:pStyle w:val="32"/>
        <w:numPr>
          <w:ilvl w:val="0"/>
          <w:numId w:val="20"/>
        </w:numPr>
        <w:tabs>
          <w:tab w:val="left" w:pos="1484"/>
        </w:tabs>
        <w:spacing w:line="500" w:lineRule="exact"/>
        <w:jc w:val="both"/>
        <w:rPr>
          <w:rFonts w:asciiTheme="minorEastAsia" w:hAnsiTheme="minorEastAsia" w:eastAsiaTheme="minorEastAsia" w:cstheme="minorEastAsia"/>
          <w:color w:val="auto"/>
          <w:spacing w:val="-6"/>
          <w:sz w:val="24"/>
          <w:szCs w:val="24"/>
        </w:rPr>
      </w:pPr>
      <w:r>
        <w:rPr>
          <w:rFonts w:hint="eastAsia" w:asciiTheme="minorEastAsia" w:hAnsiTheme="minorEastAsia" w:eastAsiaTheme="minorEastAsia" w:cstheme="minorEastAsia"/>
          <w:color w:val="auto"/>
          <w:spacing w:val="-6"/>
          <w:sz w:val="24"/>
          <w:szCs w:val="24"/>
        </w:rPr>
        <w:t xml:space="preserve">《广东省用水定额》（DB44/T1461-2014）； </w:t>
      </w:r>
    </w:p>
    <w:p>
      <w:pPr>
        <w:pStyle w:val="32"/>
        <w:numPr>
          <w:ilvl w:val="0"/>
          <w:numId w:val="20"/>
        </w:numPr>
        <w:tabs>
          <w:tab w:val="left" w:pos="1484"/>
        </w:tabs>
        <w:spacing w:line="500" w:lineRule="exact"/>
        <w:jc w:val="both"/>
        <w:rPr>
          <w:rFonts w:asciiTheme="minorEastAsia" w:hAnsiTheme="minorEastAsia" w:eastAsiaTheme="minorEastAsia" w:cstheme="minorEastAsia"/>
          <w:color w:val="auto"/>
          <w:spacing w:val="-6"/>
          <w:sz w:val="24"/>
          <w:szCs w:val="24"/>
        </w:rPr>
      </w:pPr>
      <w:r>
        <w:rPr>
          <w:rFonts w:hint="eastAsia" w:asciiTheme="minorEastAsia" w:hAnsiTheme="minorEastAsia" w:eastAsiaTheme="minorEastAsia" w:cstheme="minorEastAsia"/>
          <w:color w:val="auto"/>
          <w:spacing w:val="-6"/>
          <w:sz w:val="24"/>
          <w:szCs w:val="24"/>
        </w:rPr>
        <w:t>《广东省农村生活污水处理技术指引》（广东省建设厅，2007年）；</w:t>
      </w:r>
    </w:p>
    <w:p>
      <w:pPr>
        <w:pStyle w:val="32"/>
        <w:numPr>
          <w:ilvl w:val="0"/>
          <w:numId w:val="20"/>
        </w:numPr>
        <w:tabs>
          <w:tab w:val="left" w:pos="1364"/>
        </w:tabs>
        <w:spacing w:line="500" w:lineRule="exact"/>
        <w:jc w:val="both"/>
        <w:rPr>
          <w:rFonts w:asciiTheme="minorEastAsia" w:hAnsiTheme="minorEastAsia" w:eastAsiaTheme="minorEastAsia" w:cstheme="minorEastAsia"/>
          <w:color w:val="auto"/>
          <w:spacing w:val="-6"/>
          <w:sz w:val="24"/>
          <w:szCs w:val="24"/>
        </w:rPr>
      </w:pPr>
      <w:r>
        <w:rPr>
          <w:rFonts w:hint="eastAsia" w:asciiTheme="minorEastAsia" w:hAnsiTheme="minorEastAsia" w:eastAsiaTheme="minorEastAsia" w:cstheme="minorEastAsia"/>
          <w:color w:val="auto"/>
          <w:spacing w:val="-6"/>
          <w:sz w:val="24"/>
          <w:szCs w:val="24"/>
        </w:rPr>
        <w:t>《农村生活污水处理项目建设与投资指南》（环境保护部，2013年版）。</w:t>
      </w:r>
    </w:p>
    <w:p>
      <w:pPr>
        <w:pStyle w:val="32"/>
        <w:numPr>
          <w:ilvl w:val="2"/>
          <w:numId w:val="17"/>
        </w:numPr>
        <w:tabs>
          <w:tab w:val="left" w:pos="1616"/>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农村污水量预测及建设规模</w:t>
      </w:r>
    </w:p>
    <w:p>
      <w:pPr>
        <w:pStyle w:val="32"/>
        <w:numPr>
          <w:ilvl w:val="3"/>
          <w:numId w:val="21"/>
        </w:numPr>
        <w:tabs>
          <w:tab w:val="left" w:pos="264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水量预测基础</w:t>
      </w:r>
    </w:p>
    <w:p>
      <w:pPr>
        <w:pStyle w:val="32"/>
        <w:numPr>
          <w:ilvl w:val="3"/>
          <w:numId w:val="17"/>
        </w:numPr>
        <w:tabs>
          <w:tab w:val="left" w:pos="1580"/>
        </w:tabs>
        <w:spacing w:line="500" w:lineRule="exact"/>
        <w:ind w:left="0" w:firstLine="44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0"/>
          <w:sz w:val="24"/>
          <w:szCs w:val="24"/>
        </w:rPr>
        <w:t>各自然村常住人口</w:t>
      </w:r>
    </w:p>
    <w:p>
      <w:pPr>
        <w:pStyle w:val="10"/>
        <w:spacing w:line="500" w:lineRule="exact"/>
        <w:ind w:firstLine="428" w:firstLineChars="200"/>
        <w:jc w:val="both"/>
        <w:rPr>
          <w:rFonts w:asciiTheme="minorEastAsia" w:hAnsiTheme="minorEastAsia" w:eastAsiaTheme="minorEastAsia" w:cstheme="minorEastAsia"/>
          <w:color w:val="auto"/>
          <w:spacing w:val="-13"/>
          <w:sz w:val="24"/>
          <w:szCs w:val="24"/>
        </w:rPr>
      </w:pPr>
      <w:r>
        <w:rPr>
          <w:rFonts w:hint="eastAsia" w:asciiTheme="minorEastAsia" w:hAnsiTheme="minorEastAsia" w:eastAsiaTheme="minorEastAsia" w:cstheme="minorEastAsia"/>
          <w:color w:val="auto"/>
          <w:spacing w:val="-13"/>
          <w:sz w:val="24"/>
          <w:szCs w:val="24"/>
        </w:rPr>
        <w:t>自然村常住人口数据取自各镇政府统计数据。</w:t>
      </w:r>
    </w:p>
    <w:p>
      <w:pPr>
        <w:pStyle w:val="10"/>
        <w:spacing w:line="500" w:lineRule="exact"/>
        <w:ind w:firstLine="44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0"/>
          <w:sz w:val="24"/>
          <w:szCs w:val="24"/>
        </w:rPr>
        <w:t>(2）生活用水定额标准</w:t>
      </w:r>
    </w:p>
    <w:p>
      <w:pPr>
        <w:pStyle w:val="10"/>
        <w:spacing w:line="500" w:lineRule="exact"/>
        <w:ind w:firstLine="42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3"/>
          <w:sz w:val="24"/>
          <w:szCs w:val="24"/>
        </w:rPr>
        <w:t>农村生活用水量指标选择参考《广州市农村污水治理适用技术指</w:t>
      </w:r>
      <w:r>
        <w:rPr>
          <w:rFonts w:hint="eastAsia" w:asciiTheme="minorEastAsia" w:hAnsiTheme="minorEastAsia" w:eastAsiaTheme="minorEastAsia" w:cstheme="minorEastAsia"/>
          <w:color w:val="auto"/>
          <w:spacing w:val="-10"/>
          <w:sz w:val="24"/>
          <w:szCs w:val="24"/>
        </w:rPr>
        <w:t>引修订版》</w:t>
      </w:r>
      <w:r>
        <w:rPr>
          <w:rFonts w:hint="eastAsia" w:asciiTheme="minorEastAsia" w:hAnsiTheme="minorEastAsia" w:eastAsiaTheme="minorEastAsia" w:cstheme="minorEastAsia"/>
          <w:color w:val="auto"/>
          <w:spacing w:val="-13"/>
          <w:sz w:val="24"/>
          <w:szCs w:val="24"/>
        </w:rPr>
        <w:t>（</w:t>
      </w:r>
      <w:r>
        <w:rPr>
          <w:rFonts w:hint="eastAsia" w:asciiTheme="minorEastAsia" w:hAnsiTheme="minorEastAsia" w:eastAsiaTheme="minorEastAsia" w:cstheme="minorEastAsia"/>
          <w:color w:val="auto"/>
          <w:spacing w:val="-11"/>
          <w:sz w:val="24"/>
          <w:szCs w:val="24"/>
        </w:rPr>
        <w:t>广州市水务局，</w:t>
      </w:r>
      <w:r>
        <w:rPr>
          <w:rFonts w:hint="eastAsia" w:asciiTheme="minorEastAsia" w:hAnsiTheme="minorEastAsia" w:eastAsiaTheme="minorEastAsia" w:cstheme="minorEastAsia"/>
          <w:color w:val="auto"/>
          <w:spacing w:val="-6"/>
          <w:sz w:val="24"/>
          <w:szCs w:val="24"/>
        </w:rPr>
        <w:t>2010年</w:t>
      </w:r>
      <w:r>
        <w:rPr>
          <w:rFonts w:hint="eastAsia" w:asciiTheme="minorEastAsia" w:hAnsiTheme="minorEastAsia" w:eastAsiaTheme="minorEastAsia" w:cstheme="minorEastAsia"/>
          <w:color w:val="auto"/>
          <w:spacing w:val="-13"/>
          <w:sz w:val="24"/>
          <w:szCs w:val="24"/>
        </w:rPr>
        <w:t>）</w:t>
      </w:r>
      <w:r>
        <w:rPr>
          <w:rFonts w:hint="eastAsia" w:asciiTheme="minorEastAsia" w:hAnsiTheme="minorEastAsia" w:eastAsiaTheme="minorEastAsia" w:cstheme="minorEastAsia"/>
          <w:color w:val="auto"/>
          <w:spacing w:val="-12"/>
          <w:sz w:val="24"/>
          <w:szCs w:val="24"/>
        </w:rPr>
        <w:t>、《广东省农村生活污水处</w:t>
      </w:r>
      <w:r>
        <w:rPr>
          <w:rFonts w:hint="eastAsia" w:asciiTheme="minorEastAsia" w:hAnsiTheme="minorEastAsia" w:eastAsiaTheme="minorEastAsia" w:cstheme="minorEastAsia"/>
          <w:color w:val="auto"/>
          <w:spacing w:val="-13"/>
          <w:sz w:val="24"/>
          <w:szCs w:val="24"/>
        </w:rPr>
        <w:t>理技术指引》</w:t>
      </w:r>
      <w:r>
        <w:rPr>
          <w:rFonts w:hint="eastAsia" w:asciiTheme="minorEastAsia" w:hAnsiTheme="minorEastAsia" w:eastAsiaTheme="minorEastAsia" w:cstheme="minorEastAsia"/>
          <w:color w:val="auto"/>
          <w:spacing w:val="-10"/>
          <w:sz w:val="24"/>
          <w:szCs w:val="24"/>
        </w:rPr>
        <w:t>（</w:t>
      </w:r>
      <w:r>
        <w:rPr>
          <w:rFonts w:hint="eastAsia" w:asciiTheme="minorEastAsia" w:hAnsiTheme="minorEastAsia" w:eastAsiaTheme="minorEastAsia" w:cstheme="minorEastAsia"/>
          <w:color w:val="auto"/>
          <w:spacing w:val="-11"/>
          <w:sz w:val="24"/>
          <w:szCs w:val="24"/>
        </w:rPr>
        <w:t>广东省建设厅，</w:t>
      </w:r>
      <w:r>
        <w:rPr>
          <w:rFonts w:hint="eastAsia" w:asciiTheme="minorEastAsia" w:hAnsiTheme="minorEastAsia" w:eastAsiaTheme="minorEastAsia" w:cstheme="minorEastAsia"/>
          <w:color w:val="auto"/>
          <w:spacing w:val="-6"/>
          <w:sz w:val="24"/>
          <w:szCs w:val="24"/>
        </w:rPr>
        <w:t>2007</w:t>
      </w:r>
      <w:r>
        <w:rPr>
          <w:rFonts w:hint="eastAsia" w:asciiTheme="minorEastAsia" w:hAnsiTheme="minorEastAsia" w:eastAsiaTheme="minorEastAsia" w:cstheme="minorEastAsia"/>
          <w:color w:val="auto"/>
          <w:spacing w:val="-14"/>
          <w:sz w:val="24"/>
          <w:szCs w:val="24"/>
        </w:rPr>
        <w:t xml:space="preserve"> 年</w:t>
      </w:r>
      <w:r>
        <w:rPr>
          <w:rFonts w:hint="eastAsia" w:asciiTheme="minorEastAsia" w:hAnsiTheme="minorEastAsia" w:eastAsiaTheme="minorEastAsia" w:cstheme="minorEastAsia"/>
          <w:color w:val="auto"/>
          <w:spacing w:val="-10"/>
          <w:sz w:val="24"/>
          <w:szCs w:val="24"/>
        </w:rPr>
        <w:t>）、《广东省用水定额》DB44/T1461-2014</w:t>
      </w:r>
      <w:r>
        <w:rPr>
          <w:rFonts w:hint="eastAsia" w:asciiTheme="minorEastAsia" w:hAnsiTheme="minorEastAsia" w:eastAsiaTheme="minorEastAsia" w:cstheme="minorEastAsia"/>
          <w:color w:val="auto"/>
          <w:sz w:val="24"/>
          <w:szCs w:val="24"/>
        </w:rPr>
        <w:t>（DB44/T 1461-2014）选取，具体指标见下表。</w:t>
      </w:r>
    </w:p>
    <w:p>
      <w:pPr>
        <w:spacing w:line="500" w:lineRule="exact"/>
        <w:ind w:firstLine="422" w:firstLineChars="200"/>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表4.5-1 广州市农村地区居民生活用水量参考值</w:t>
      </w:r>
    </w:p>
    <w:tbl>
      <w:tblPr>
        <w:tblStyle w:val="27"/>
        <w:tblW w:w="8304"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447"/>
        <w:gridCol w:w="285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85" w:hRule="atLeast"/>
          <w:jc w:val="center"/>
        </w:trPr>
        <w:tc>
          <w:tcPr>
            <w:tcW w:w="5447" w:type="dxa"/>
            <w:tcBorders>
              <w:bottom w:val="single" w:color="000000" w:sz="4" w:space="0"/>
              <w:right w:val="single" w:color="000000" w:sz="4" w:space="0"/>
            </w:tcBorders>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农村居民类型</w:t>
            </w:r>
          </w:p>
        </w:tc>
        <w:tc>
          <w:tcPr>
            <w:tcW w:w="2857" w:type="dxa"/>
            <w:tcBorders>
              <w:left w:val="single" w:color="000000" w:sz="4" w:space="0"/>
              <w:bottom w:val="single" w:color="000000" w:sz="4" w:space="0"/>
            </w:tcBorders>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用水指标（L/人·d）</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52" w:hRule="atLeast"/>
          <w:jc w:val="center"/>
        </w:trPr>
        <w:tc>
          <w:tcPr>
            <w:tcW w:w="5447" w:type="dxa"/>
            <w:tcBorders>
              <w:top w:val="single" w:color="000000" w:sz="4" w:space="0"/>
              <w:bottom w:val="single" w:color="000000" w:sz="4" w:space="0"/>
              <w:right w:val="single" w:color="000000" w:sz="4" w:space="0"/>
            </w:tcBorders>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经济条件好，有独立淋浴、水冲厕所、洗衣机等耗</w:t>
            </w:r>
          </w:p>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水家电，旅游区</w:t>
            </w:r>
          </w:p>
        </w:tc>
        <w:tc>
          <w:tcPr>
            <w:tcW w:w="2857" w:type="dxa"/>
            <w:tcBorders>
              <w:top w:val="single" w:color="000000" w:sz="4" w:space="0"/>
              <w:left w:val="single" w:color="000000" w:sz="4" w:space="0"/>
              <w:bottom w:val="single" w:color="000000" w:sz="4" w:space="0"/>
            </w:tcBorders>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120～150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jc w:val="center"/>
        </w:trPr>
        <w:tc>
          <w:tcPr>
            <w:tcW w:w="5447" w:type="dxa"/>
            <w:tcBorders>
              <w:top w:val="single" w:color="000000" w:sz="4" w:space="0"/>
              <w:bottom w:val="single" w:color="000000" w:sz="4" w:space="0"/>
              <w:right w:val="single" w:color="000000" w:sz="4" w:space="0"/>
            </w:tcBorders>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经济条件较好，室内卫生设施较齐全，旅游区</w:t>
            </w:r>
          </w:p>
        </w:tc>
        <w:tc>
          <w:tcPr>
            <w:tcW w:w="2857" w:type="dxa"/>
            <w:tcBorders>
              <w:top w:val="single" w:color="000000" w:sz="4" w:space="0"/>
              <w:left w:val="single" w:color="000000" w:sz="4" w:space="0"/>
              <w:bottom w:val="single" w:color="000000" w:sz="4" w:space="0"/>
            </w:tcBorders>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90～120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jc w:val="center"/>
        </w:trPr>
        <w:tc>
          <w:tcPr>
            <w:tcW w:w="5447" w:type="dxa"/>
            <w:tcBorders>
              <w:top w:val="single" w:color="000000" w:sz="4" w:space="0"/>
              <w:bottom w:val="single" w:color="000000" w:sz="4" w:space="0"/>
              <w:right w:val="single" w:color="000000" w:sz="4" w:space="0"/>
            </w:tcBorders>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经济条件一般，有简单的室内卫生设施</w:t>
            </w:r>
          </w:p>
        </w:tc>
        <w:tc>
          <w:tcPr>
            <w:tcW w:w="2857" w:type="dxa"/>
            <w:tcBorders>
              <w:top w:val="single" w:color="000000" w:sz="4" w:space="0"/>
              <w:left w:val="single" w:color="000000" w:sz="4" w:space="0"/>
              <w:bottom w:val="single" w:color="000000" w:sz="4" w:space="0"/>
            </w:tcBorders>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80～100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jc w:val="center"/>
        </w:trPr>
        <w:tc>
          <w:tcPr>
            <w:tcW w:w="5447" w:type="dxa"/>
            <w:tcBorders>
              <w:top w:val="single" w:color="000000" w:sz="4" w:space="0"/>
              <w:right w:val="single" w:color="000000" w:sz="4" w:space="0"/>
            </w:tcBorders>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无水冲式厕所和淋浴设备，无自来水</w:t>
            </w:r>
          </w:p>
        </w:tc>
        <w:tc>
          <w:tcPr>
            <w:tcW w:w="2857" w:type="dxa"/>
            <w:tcBorders>
              <w:top w:val="single" w:color="000000" w:sz="4" w:space="0"/>
              <w:left w:val="single" w:color="000000" w:sz="4" w:space="0"/>
            </w:tcBorders>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60～90</w:t>
            </w:r>
          </w:p>
        </w:tc>
      </w:tr>
    </w:tbl>
    <w:p>
      <w:pPr>
        <w:spacing w:line="500" w:lineRule="exact"/>
        <w:ind w:firstLine="422" w:firstLineChars="200"/>
        <w:jc w:val="center"/>
        <w:rPr>
          <w:rFonts w:asciiTheme="minorEastAsia" w:hAnsiTheme="minorEastAsia" w:eastAsiaTheme="minorEastAsia" w:cstheme="minorEastAsia"/>
          <w:b/>
          <w:color w:val="auto"/>
          <w:sz w:val="21"/>
          <w:szCs w:val="21"/>
        </w:rPr>
      </w:pPr>
    </w:p>
    <w:p>
      <w:pPr>
        <w:spacing w:line="500" w:lineRule="exact"/>
        <w:ind w:firstLine="422" w:firstLineChars="200"/>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表4.5-2 广东省农村住宅生活用水定额</w:t>
      </w:r>
    </w:p>
    <w:tbl>
      <w:tblPr>
        <w:tblStyle w:val="27"/>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47"/>
        <w:gridCol w:w="830"/>
        <w:gridCol w:w="5099"/>
        <w:gridCol w:w="192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72" w:hRule="atLeast"/>
          <w:jc w:val="center"/>
        </w:trPr>
        <w:tc>
          <w:tcPr>
            <w:tcW w:w="1010" w:type="pct"/>
            <w:gridSpan w:val="2"/>
            <w:tcBorders>
              <w:bottom w:val="single" w:color="000000" w:sz="6" w:space="0"/>
              <w:right w:val="single" w:color="000000" w:sz="6" w:space="0"/>
            </w:tcBorders>
            <w:vAlign w:val="center"/>
          </w:tcPr>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住宅类型</w:t>
            </w:r>
          </w:p>
        </w:tc>
        <w:tc>
          <w:tcPr>
            <w:tcW w:w="2898" w:type="pct"/>
            <w:tcBorders>
              <w:left w:val="single" w:color="000000" w:sz="6" w:space="0"/>
              <w:bottom w:val="single" w:color="000000" w:sz="6" w:space="0"/>
              <w:right w:val="single" w:color="000000" w:sz="6" w:space="0"/>
            </w:tcBorders>
            <w:vAlign w:val="center"/>
          </w:tcPr>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卫生器具设置标准</w:t>
            </w:r>
          </w:p>
        </w:tc>
        <w:tc>
          <w:tcPr>
            <w:tcW w:w="1092" w:type="pct"/>
            <w:tcBorders>
              <w:left w:val="single" w:color="000000" w:sz="6" w:space="0"/>
              <w:bottom w:val="single" w:color="000000" w:sz="6" w:space="0"/>
            </w:tcBorders>
            <w:vAlign w:val="center"/>
          </w:tcPr>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用水定额</w:t>
            </w:r>
          </w:p>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（L/人·d ）</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jc w:val="center"/>
        </w:trPr>
        <w:tc>
          <w:tcPr>
            <w:tcW w:w="538" w:type="pct"/>
            <w:vMerge w:val="restart"/>
            <w:tcBorders>
              <w:top w:val="single" w:color="000000" w:sz="6" w:space="0"/>
              <w:bottom w:val="single" w:color="000000" w:sz="6" w:space="0"/>
              <w:right w:val="single" w:color="000000" w:sz="6" w:space="0"/>
            </w:tcBorders>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普通住宅</w:t>
            </w:r>
          </w:p>
        </w:tc>
        <w:tc>
          <w:tcPr>
            <w:tcW w:w="471" w:type="pct"/>
            <w:tcBorders>
              <w:top w:val="single" w:color="000000" w:sz="6" w:space="0"/>
              <w:left w:val="single" w:color="000000" w:sz="6" w:space="0"/>
              <w:bottom w:val="single" w:color="000000" w:sz="6" w:space="0"/>
              <w:right w:val="single" w:color="000000" w:sz="6" w:space="0"/>
            </w:tcBorders>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Ⅰ</w:t>
            </w:r>
          </w:p>
        </w:tc>
        <w:tc>
          <w:tcPr>
            <w:tcW w:w="2898" w:type="pct"/>
            <w:tcBorders>
              <w:top w:val="single" w:color="000000" w:sz="6" w:space="0"/>
              <w:left w:val="single" w:color="000000" w:sz="6" w:space="0"/>
              <w:bottom w:val="single" w:color="000000" w:sz="6" w:space="0"/>
              <w:right w:val="single" w:color="000000" w:sz="6" w:space="0"/>
            </w:tcBorders>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有大便器、洗涤盆</w:t>
            </w:r>
          </w:p>
        </w:tc>
        <w:tc>
          <w:tcPr>
            <w:tcW w:w="1092" w:type="pct"/>
            <w:tcBorders>
              <w:top w:val="single" w:color="000000" w:sz="6" w:space="0"/>
              <w:left w:val="single" w:color="000000" w:sz="6" w:space="0"/>
              <w:bottom w:val="single" w:color="000000" w:sz="6" w:space="0"/>
            </w:tcBorders>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60～100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45" w:hRule="atLeast"/>
          <w:jc w:val="center"/>
        </w:trPr>
        <w:tc>
          <w:tcPr>
            <w:tcW w:w="538" w:type="pct"/>
            <w:vMerge w:val="continue"/>
            <w:tcBorders>
              <w:top w:val="nil"/>
              <w:bottom w:val="single" w:color="000000" w:sz="6" w:space="0"/>
              <w:right w:val="single" w:color="000000" w:sz="6" w:space="0"/>
            </w:tcBorders>
            <w:vAlign w:val="center"/>
          </w:tcPr>
          <w:p>
            <w:pPr>
              <w:jc w:val="center"/>
              <w:rPr>
                <w:rFonts w:asciiTheme="minorEastAsia" w:hAnsiTheme="minorEastAsia" w:eastAsiaTheme="minorEastAsia" w:cstheme="minorEastAsia"/>
                <w:color w:val="auto"/>
                <w:sz w:val="21"/>
                <w:szCs w:val="21"/>
              </w:rPr>
            </w:pPr>
          </w:p>
        </w:tc>
        <w:tc>
          <w:tcPr>
            <w:tcW w:w="471" w:type="pct"/>
            <w:tcBorders>
              <w:top w:val="single" w:color="000000" w:sz="6" w:space="0"/>
              <w:left w:val="single" w:color="000000" w:sz="6" w:space="0"/>
              <w:bottom w:val="single" w:color="000000" w:sz="6" w:space="0"/>
              <w:right w:val="single" w:color="000000" w:sz="6" w:space="0"/>
            </w:tcBorders>
            <w:vAlign w:val="center"/>
          </w:tcPr>
          <w:p>
            <w:pPr>
              <w:pStyle w:val="33"/>
              <w:jc w:val="center"/>
              <w:rPr>
                <w:rFonts w:asciiTheme="minorEastAsia" w:hAnsiTheme="minorEastAsia" w:eastAsiaTheme="minorEastAsia" w:cstheme="minorEastAsia"/>
                <w:b/>
                <w:color w:val="auto"/>
                <w:sz w:val="21"/>
                <w:szCs w:val="21"/>
              </w:rPr>
            </w:pPr>
          </w:p>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Ⅱ</w:t>
            </w:r>
          </w:p>
        </w:tc>
        <w:tc>
          <w:tcPr>
            <w:tcW w:w="2898" w:type="pct"/>
            <w:tcBorders>
              <w:top w:val="single" w:color="000000" w:sz="6" w:space="0"/>
              <w:left w:val="single" w:color="000000" w:sz="6" w:space="0"/>
              <w:bottom w:val="single" w:color="000000" w:sz="6" w:space="0"/>
              <w:right w:val="single" w:color="000000" w:sz="6" w:space="0"/>
            </w:tcBorders>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有大便器、洗脸盆、洗涤盆、洗衣机、热水</w:t>
            </w:r>
          </w:p>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器和淋浴设备</w:t>
            </w:r>
          </w:p>
        </w:tc>
        <w:tc>
          <w:tcPr>
            <w:tcW w:w="1092" w:type="pct"/>
            <w:tcBorders>
              <w:top w:val="single" w:color="000000" w:sz="6" w:space="0"/>
              <w:left w:val="single" w:color="000000" w:sz="6" w:space="0"/>
              <w:bottom w:val="single" w:color="000000" w:sz="6" w:space="0"/>
            </w:tcBorders>
            <w:vAlign w:val="center"/>
          </w:tcPr>
          <w:p>
            <w:pPr>
              <w:pStyle w:val="33"/>
              <w:jc w:val="center"/>
              <w:rPr>
                <w:rFonts w:asciiTheme="minorEastAsia" w:hAnsiTheme="minorEastAsia" w:eastAsiaTheme="minorEastAsia" w:cstheme="minorEastAsia"/>
                <w:b/>
                <w:color w:val="auto"/>
                <w:sz w:val="21"/>
                <w:szCs w:val="21"/>
              </w:rPr>
            </w:pPr>
          </w:p>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90～130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1" w:hRule="atLeast"/>
          <w:jc w:val="center"/>
        </w:trPr>
        <w:tc>
          <w:tcPr>
            <w:tcW w:w="1010" w:type="pct"/>
            <w:gridSpan w:val="2"/>
            <w:tcBorders>
              <w:top w:val="single" w:color="000000" w:sz="6" w:space="0"/>
              <w:right w:val="single" w:color="000000" w:sz="6" w:space="0"/>
            </w:tcBorders>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别墅</w:t>
            </w:r>
          </w:p>
        </w:tc>
        <w:tc>
          <w:tcPr>
            <w:tcW w:w="2898" w:type="pct"/>
            <w:tcBorders>
              <w:top w:val="single" w:color="000000" w:sz="6" w:space="0"/>
              <w:left w:val="single" w:color="000000" w:sz="6" w:space="0"/>
              <w:right w:val="single" w:color="000000" w:sz="6" w:space="0"/>
            </w:tcBorders>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有大便器、洗脸盆、洗涤盆、洗衣机、集中</w:t>
            </w:r>
          </w:p>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热水供应（或家用热水机组）和淋浴设备</w:t>
            </w:r>
          </w:p>
        </w:tc>
        <w:tc>
          <w:tcPr>
            <w:tcW w:w="1092" w:type="pct"/>
            <w:tcBorders>
              <w:top w:val="single" w:color="000000" w:sz="6" w:space="0"/>
              <w:left w:val="single" w:color="000000" w:sz="6" w:space="0"/>
            </w:tcBorders>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120～180</w:t>
            </w:r>
          </w:p>
        </w:tc>
      </w:tr>
    </w:tbl>
    <w:p>
      <w:pPr>
        <w:pStyle w:val="32"/>
        <w:numPr>
          <w:ilvl w:val="0"/>
          <w:numId w:val="0"/>
        </w:numPr>
        <w:tabs>
          <w:tab w:val="left" w:pos="2000"/>
        </w:tabs>
        <w:spacing w:line="500" w:lineRule="exact"/>
        <w:ind w:left="480"/>
        <w:jc w:val="both"/>
        <w:rPr>
          <w:rFonts w:asciiTheme="minorEastAsia" w:hAnsiTheme="minorEastAsia" w:eastAsiaTheme="minorEastAsia" w:cstheme="minorEastAsia"/>
          <w:color w:val="auto"/>
          <w:sz w:val="24"/>
          <w:szCs w:val="24"/>
        </w:rPr>
      </w:pPr>
    </w:p>
    <w:p>
      <w:pPr>
        <w:pStyle w:val="32"/>
        <w:numPr>
          <w:ilvl w:val="4"/>
          <w:numId w:val="17"/>
        </w:numPr>
        <w:tabs>
          <w:tab w:val="left" w:pos="2000"/>
        </w:tabs>
        <w:spacing w:line="500" w:lineRule="exact"/>
        <w:ind w:left="0" w:firstLine="44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8"/>
          <w:sz w:val="24"/>
          <w:szCs w:val="24"/>
        </w:rPr>
        <w:t>生活污水量定额标准</w:t>
      </w:r>
    </w:p>
    <w:p>
      <w:pPr>
        <w:pStyle w:val="10"/>
        <w:spacing w:line="500" w:lineRule="exact"/>
        <w:ind w:firstLine="444" w:firstLineChars="200"/>
        <w:jc w:val="both"/>
        <w:rPr>
          <w:rFonts w:hint="eastAsia" w:asciiTheme="minorEastAsia" w:hAnsiTheme="minorEastAsia" w:eastAsiaTheme="minorEastAsia" w:cstheme="minorEastAsia"/>
          <w:color w:val="auto"/>
          <w:spacing w:val="-9"/>
          <w:sz w:val="24"/>
          <w:szCs w:val="24"/>
          <w:lang w:val="en-US"/>
        </w:rPr>
      </w:pPr>
      <w:r>
        <w:rPr>
          <w:rFonts w:hint="eastAsia" w:asciiTheme="minorEastAsia" w:hAnsiTheme="minorEastAsia" w:eastAsiaTheme="minorEastAsia" w:cstheme="minorEastAsia"/>
          <w:color w:val="auto"/>
          <w:spacing w:val="-9"/>
          <w:sz w:val="24"/>
          <w:szCs w:val="24"/>
        </w:rPr>
        <w:t>农村地区由于地域、人文环境、发展程度等多种因素的不同，农村居民日常产生的生活污水量差别较大，但也存在着一定的统计学规律。本项目中农村居民生活污水量指标选择参考《农村生活污水处理项目建设与投资指南》（环境保护部，2013年）中农村地区居民生活污水量指标的选取，具体指标见下表。</w:t>
      </w:r>
      <w:r>
        <w:rPr>
          <w:rFonts w:hint="eastAsia" w:asciiTheme="minorEastAsia" w:hAnsiTheme="minorEastAsia" w:eastAsiaTheme="minorEastAsia" w:cstheme="minorEastAsia"/>
          <w:color w:val="auto"/>
          <w:spacing w:val="-9"/>
          <w:sz w:val="24"/>
          <w:szCs w:val="24"/>
          <w:lang w:val="en-US"/>
        </w:rPr>
        <w:t xml:space="preserve"> </w:t>
      </w:r>
    </w:p>
    <w:p>
      <w:pPr>
        <w:spacing w:line="500" w:lineRule="exact"/>
        <w:ind w:firstLine="422" w:firstLineChars="200"/>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表4.5-3 农村地区居民生活污水量参考值</w:t>
      </w:r>
    </w:p>
    <w:tbl>
      <w:tblPr>
        <w:tblStyle w:val="27"/>
        <w:tblW w:w="8304" w:type="dxa"/>
        <w:tblInd w:w="42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3492"/>
        <w:gridCol w:w="2287"/>
        <w:gridCol w:w="2525"/>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 w:hRule="atLeast"/>
        </w:trPr>
        <w:tc>
          <w:tcPr>
            <w:tcW w:w="3492" w:type="dxa"/>
            <w:vMerge w:val="restart"/>
            <w:tcBorders>
              <w:right w:val="single" w:color="000000" w:sz="6"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类型</w:t>
            </w:r>
          </w:p>
        </w:tc>
        <w:tc>
          <w:tcPr>
            <w:tcW w:w="4812" w:type="dxa"/>
            <w:gridSpan w:val="2"/>
            <w:tcBorders>
              <w:left w:val="single" w:color="000000" w:sz="6" w:space="0"/>
              <w:bottom w:val="single" w:color="000000" w:sz="6"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生活污水（L/人·d）</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3492" w:type="dxa"/>
            <w:vMerge w:val="continue"/>
            <w:tcBorders>
              <w:top w:val="nil"/>
              <w:right w:val="single" w:color="000000" w:sz="6" w:space="0"/>
            </w:tcBorders>
            <w:vAlign w:val="center"/>
          </w:tcPr>
          <w:p>
            <w:pPr>
              <w:spacing w:line="500" w:lineRule="exact"/>
              <w:jc w:val="center"/>
              <w:rPr>
                <w:rFonts w:asciiTheme="minorEastAsia" w:hAnsiTheme="minorEastAsia" w:eastAsiaTheme="minorEastAsia" w:cstheme="minorEastAsia"/>
                <w:color w:val="auto"/>
                <w:sz w:val="21"/>
                <w:szCs w:val="21"/>
              </w:rPr>
            </w:pPr>
          </w:p>
        </w:tc>
        <w:tc>
          <w:tcPr>
            <w:tcW w:w="2287" w:type="dxa"/>
            <w:tcBorders>
              <w:top w:val="single" w:color="000000" w:sz="6" w:space="0"/>
              <w:left w:val="single" w:color="000000" w:sz="6" w:space="0"/>
              <w:right w:val="single" w:color="000000" w:sz="6"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南方</w:t>
            </w:r>
          </w:p>
        </w:tc>
        <w:tc>
          <w:tcPr>
            <w:tcW w:w="2525" w:type="dxa"/>
            <w:tcBorders>
              <w:top w:val="single" w:color="000000" w:sz="6" w:space="0"/>
              <w:left w:val="single" w:color="000000" w:sz="6"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北方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 w:hRule="atLeast"/>
        </w:trPr>
        <w:tc>
          <w:tcPr>
            <w:tcW w:w="3492" w:type="dxa"/>
            <w:tcBorders>
              <w:bottom w:val="single" w:color="000000" w:sz="6" w:space="0"/>
              <w:right w:val="single" w:color="000000" w:sz="6"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村庄（人口≤5000 人）</w:t>
            </w:r>
          </w:p>
        </w:tc>
        <w:tc>
          <w:tcPr>
            <w:tcW w:w="2287" w:type="dxa"/>
            <w:tcBorders>
              <w:left w:val="single" w:color="000000" w:sz="6" w:space="0"/>
              <w:bottom w:val="single" w:color="000000" w:sz="6" w:space="0"/>
              <w:right w:val="single" w:color="000000" w:sz="6"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45～110</w:t>
            </w:r>
          </w:p>
        </w:tc>
        <w:tc>
          <w:tcPr>
            <w:tcW w:w="2525" w:type="dxa"/>
            <w:tcBorders>
              <w:left w:val="single" w:color="000000" w:sz="6" w:space="0"/>
              <w:bottom w:val="single" w:color="000000" w:sz="6"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35～80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3492" w:type="dxa"/>
            <w:tcBorders>
              <w:top w:val="single" w:color="000000" w:sz="6" w:space="0"/>
              <w:right w:val="single" w:color="000000" w:sz="6"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村镇（人口 5000～30000 人）</w:t>
            </w:r>
          </w:p>
        </w:tc>
        <w:tc>
          <w:tcPr>
            <w:tcW w:w="2287" w:type="dxa"/>
            <w:tcBorders>
              <w:top w:val="single" w:color="000000" w:sz="6" w:space="0"/>
              <w:left w:val="single" w:color="000000" w:sz="6" w:space="0"/>
              <w:right w:val="single" w:color="000000" w:sz="6"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85～160</w:t>
            </w:r>
          </w:p>
        </w:tc>
        <w:tc>
          <w:tcPr>
            <w:tcW w:w="2525" w:type="dxa"/>
            <w:tcBorders>
              <w:top w:val="single" w:color="000000" w:sz="6" w:space="0"/>
              <w:left w:val="single" w:color="000000" w:sz="6"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70～125</w:t>
            </w:r>
          </w:p>
        </w:tc>
      </w:tr>
    </w:tbl>
    <w:p>
      <w:pPr>
        <w:pStyle w:val="32"/>
        <w:numPr>
          <w:ilvl w:val="4"/>
          <w:numId w:val="17"/>
        </w:numPr>
        <w:tabs>
          <w:tab w:val="left" w:pos="2000"/>
        </w:tabs>
        <w:spacing w:line="500" w:lineRule="exact"/>
        <w:ind w:left="0" w:firstLine="44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8"/>
          <w:sz w:val="24"/>
          <w:szCs w:val="24"/>
        </w:rPr>
        <w:t>农村给水排水设施建设情况</w:t>
      </w:r>
    </w:p>
    <w:p>
      <w:pPr>
        <w:pStyle w:val="10"/>
        <w:spacing w:line="500" w:lineRule="exact"/>
        <w:ind w:firstLine="44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8"/>
          <w:sz w:val="24"/>
          <w:szCs w:val="24"/>
        </w:rPr>
        <w:t>根据调研情况，罗定市农村整体建设相对较好，但也有部分以砖瓦房为主的旧村落。总体来说，除部分旧式砖瓦房外，大部分居民住户一般建有淋浴、蹲便器、洗涤盆等室内卫生设施，大部分农村住户皆有山泉水或地下水作为供水水源。参照上表</w:t>
      </w:r>
      <w:r>
        <w:rPr>
          <w:rFonts w:hint="eastAsia" w:asciiTheme="minorEastAsia" w:hAnsiTheme="minorEastAsia" w:eastAsiaTheme="minorEastAsia" w:cstheme="minorEastAsia"/>
          <w:color w:val="auto"/>
          <w:spacing w:val="-7"/>
          <w:sz w:val="24"/>
          <w:szCs w:val="24"/>
        </w:rPr>
        <w:t>4</w:t>
      </w:r>
      <w:r>
        <w:rPr>
          <w:rFonts w:asciiTheme="minorEastAsia" w:hAnsiTheme="minorEastAsia" w:eastAsiaTheme="minorEastAsia" w:cstheme="minorEastAsia"/>
          <w:color w:val="auto"/>
          <w:spacing w:val="-7"/>
          <w:sz w:val="24"/>
          <w:szCs w:val="24"/>
        </w:rPr>
        <w:t>.5-1</w:t>
      </w:r>
      <w:r>
        <w:rPr>
          <w:rFonts w:hint="eastAsia" w:asciiTheme="minorEastAsia" w:hAnsiTheme="minorEastAsia" w:eastAsiaTheme="minorEastAsia" w:cstheme="minorEastAsia"/>
          <w:color w:val="auto"/>
          <w:spacing w:val="-7"/>
          <w:sz w:val="24"/>
          <w:szCs w:val="24"/>
        </w:rPr>
        <w:t>，罗定市农村居民</w:t>
      </w:r>
      <w:r>
        <w:rPr>
          <w:rFonts w:hint="eastAsia" w:asciiTheme="minorEastAsia" w:hAnsiTheme="minorEastAsia" w:eastAsiaTheme="minorEastAsia" w:cstheme="minorEastAsia"/>
          <w:color w:val="auto"/>
          <w:spacing w:val="-8"/>
          <w:sz w:val="24"/>
          <w:szCs w:val="24"/>
        </w:rPr>
        <w:t>用水指标基本属于第二类“经济条件较好，室内卫生设施较齐全，旅</w:t>
      </w:r>
      <w:r>
        <w:rPr>
          <w:rFonts w:hint="eastAsia" w:asciiTheme="minorEastAsia" w:hAnsiTheme="minorEastAsia" w:eastAsiaTheme="minorEastAsia" w:cstheme="minorEastAsia"/>
          <w:color w:val="auto"/>
          <w:spacing w:val="-6"/>
          <w:sz w:val="24"/>
          <w:szCs w:val="24"/>
        </w:rPr>
        <w:t>游区”范围；参考上述表</w:t>
      </w:r>
      <w:r>
        <w:rPr>
          <w:rFonts w:hint="eastAsia" w:asciiTheme="minorEastAsia" w:hAnsiTheme="minorEastAsia" w:eastAsiaTheme="minorEastAsia" w:cstheme="minorEastAsia"/>
          <w:color w:val="auto"/>
          <w:spacing w:val="-9"/>
          <w:sz w:val="24"/>
          <w:szCs w:val="24"/>
        </w:rPr>
        <w:t>4</w:t>
      </w:r>
      <w:r>
        <w:rPr>
          <w:rFonts w:asciiTheme="minorEastAsia" w:hAnsiTheme="minorEastAsia" w:eastAsiaTheme="minorEastAsia" w:cstheme="minorEastAsia"/>
          <w:color w:val="auto"/>
          <w:spacing w:val="-9"/>
          <w:sz w:val="24"/>
          <w:szCs w:val="24"/>
        </w:rPr>
        <w:t>.5-2</w:t>
      </w:r>
      <w:r>
        <w:rPr>
          <w:rFonts w:hint="eastAsia" w:asciiTheme="minorEastAsia" w:hAnsiTheme="minorEastAsia" w:eastAsiaTheme="minorEastAsia" w:cstheme="minorEastAsia"/>
          <w:color w:val="auto"/>
          <w:spacing w:val="-9"/>
          <w:sz w:val="24"/>
          <w:szCs w:val="24"/>
        </w:rPr>
        <w:t>，罗定市农村居民住宅生活用水指标基</w:t>
      </w:r>
      <w:r>
        <w:rPr>
          <w:rFonts w:hint="eastAsia" w:asciiTheme="minorEastAsia" w:hAnsiTheme="minorEastAsia" w:eastAsiaTheme="minorEastAsia" w:cstheme="minorEastAsia"/>
          <w:color w:val="auto"/>
          <w:spacing w:val="-8"/>
          <w:sz w:val="24"/>
          <w:szCs w:val="24"/>
        </w:rPr>
        <w:t>本属于普通住宅中的第Ⅱ类“有大便器、洗脸盆、洗涤盆、洗衣机、</w:t>
      </w:r>
      <w:r>
        <w:rPr>
          <w:rFonts w:hint="eastAsia" w:asciiTheme="minorEastAsia" w:hAnsiTheme="minorEastAsia" w:eastAsiaTheme="minorEastAsia" w:cstheme="minorEastAsia"/>
          <w:color w:val="auto"/>
          <w:spacing w:val="-10"/>
          <w:sz w:val="24"/>
          <w:szCs w:val="24"/>
        </w:rPr>
        <w:t>热水器和淋浴设备”。</w:t>
      </w:r>
    </w:p>
    <w:p>
      <w:pPr>
        <w:pStyle w:val="10"/>
        <w:spacing w:line="500" w:lineRule="exact"/>
        <w:ind w:firstLine="44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0"/>
          <w:sz w:val="24"/>
          <w:szCs w:val="24"/>
        </w:rPr>
        <w:t>根据调研资料，罗定市村庄人口基本上少于</w:t>
      </w:r>
      <w:r>
        <w:rPr>
          <w:rFonts w:hint="eastAsia" w:asciiTheme="minorEastAsia" w:hAnsiTheme="minorEastAsia" w:eastAsiaTheme="minorEastAsia" w:cstheme="minorEastAsia"/>
          <w:color w:val="auto"/>
          <w:spacing w:val="-4"/>
          <w:sz w:val="24"/>
          <w:szCs w:val="24"/>
        </w:rPr>
        <w:t>5000</w:t>
      </w:r>
      <w:r>
        <w:rPr>
          <w:rFonts w:hint="eastAsia" w:asciiTheme="minorEastAsia" w:hAnsiTheme="minorEastAsia" w:eastAsiaTheme="minorEastAsia" w:cstheme="minorEastAsia"/>
          <w:color w:val="auto"/>
          <w:spacing w:val="-6"/>
          <w:sz w:val="24"/>
          <w:szCs w:val="24"/>
        </w:rPr>
        <w:t xml:space="preserve"> 人，参照上述</w:t>
      </w:r>
      <w:r>
        <w:rPr>
          <w:rFonts w:hint="eastAsia" w:asciiTheme="minorEastAsia" w:hAnsiTheme="minorEastAsia" w:eastAsiaTheme="minorEastAsia" w:cstheme="minorEastAsia"/>
          <w:color w:val="auto"/>
          <w:spacing w:val="-12"/>
          <w:sz w:val="24"/>
          <w:szCs w:val="24"/>
        </w:rPr>
        <w:t>表</w:t>
      </w:r>
      <w:r>
        <w:rPr>
          <w:rFonts w:hint="eastAsia" w:asciiTheme="minorEastAsia" w:hAnsiTheme="minorEastAsia" w:eastAsiaTheme="minorEastAsia" w:cstheme="minorEastAsia"/>
          <w:color w:val="auto"/>
          <w:spacing w:val="-10"/>
          <w:sz w:val="24"/>
          <w:szCs w:val="24"/>
        </w:rPr>
        <w:t>4</w:t>
      </w:r>
      <w:r>
        <w:rPr>
          <w:rFonts w:asciiTheme="minorEastAsia" w:hAnsiTheme="minorEastAsia" w:eastAsiaTheme="minorEastAsia" w:cstheme="minorEastAsia"/>
          <w:color w:val="auto"/>
          <w:spacing w:val="-10"/>
          <w:sz w:val="24"/>
          <w:szCs w:val="24"/>
        </w:rPr>
        <w:t>.5-3</w:t>
      </w:r>
      <w:r>
        <w:rPr>
          <w:rFonts w:hint="eastAsia" w:asciiTheme="minorEastAsia" w:hAnsiTheme="minorEastAsia" w:eastAsiaTheme="minorEastAsia" w:cstheme="minorEastAsia"/>
          <w:color w:val="auto"/>
          <w:spacing w:val="-14"/>
          <w:sz w:val="24"/>
          <w:szCs w:val="24"/>
        </w:rPr>
        <w:t xml:space="preserve">，罗定市农村地区居民生活污水量参考值为 </w:t>
      </w:r>
      <w:r>
        <w:rPr>
          <w:rFonts w:hint="eastAsia" w:asciiTheme="minorEastAsia" w:hAnsiTheme="minorEastAsia" w:eastAsiaTheme="minorEastAsia" w:cstheme="minorEastAsia"/>
          <w:color w:val="auto"/>
          <w:spacing w:val="-9"/>
          <w:sz w:val="24"/>
          <w:szCs w:val="24"/>
        </w:rPr>
        <w:t>45～110L/d</w:t>
      </w:r>
      <w:r>
        <w:rPr>
          <w:rFonts w:hint="eastAsia" w:asciiTheme="minorEastAsia" w:hAnsiTheme="minorEastAsia" w:eastAsiaTheme="minorEastAsia" w:cstheme="minorEastAsia"/>
          <w:color w:val="auto"/>
          <w:sz w:val="24"/>
          <w:szCs w:val="24"/>
        </w:rPr>
        <w:t>。</w:t>
      </w:r>
    </w:p>
    <w:p>
      <w:pPr>
        <w:pStyle w:val="10"/>
        <w:spacing w:line="500" w:lineRule="exact"/>
        <w:ind w:firstLine="44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0"/>
          <w:sz w:val="24"/>
          <w:szCs w:val="24"/>
        </w:rPr>
        <w:t>综合</w:t>
      </w:r>
      <w:r>
        <w:rPr>
          <w:rFonts w:hint="eastAsia" w:asciiTheme="minorEastAsia" w:hAnsiTheme="minorEastAsia" w:eastAsiaTheme="minorEastAsia" w:cstheme="minorEastAsia"/>
          <w:color w:val="auto"/>
          <w:spacing w:val="-11"/>
          <w:sz w:val="24"/>
          <w:szCs w:val="24"/>
        </w:rPr>
        <w:t>（1）~（4）</w:t>
      </w:r>
      <w:r>
        <w:rPr>
          <w:rFonts w:hint="eastAsia" w:asciiTheme="minorEastAsia" w:hAnsiTheme="minorEastAsia" w:eastAsiaTheme="minorEastAsia" w:cstheme="minorEastAsia"/>
          <w:color w:val="auto"/>
          <w:spacing w:val="-13"/>
          <w:sz w:val="24"/>
          <w:szCs w:val="24"/>
        </w:rPr>
        <w:t>分析，设计考虑罗定市农村居民生活用水平均指</w:t>
      </w:r>
      <w:r>
        <w:rPr>
          <w:rFonts w:hint="eastAsia" w:asciiTheme="minorEastAsia" w:hAnsiTheme="minorEastAsia" w:eastAsiaTheme="minorEastAsia" w:cstheme="minorEastAsia"/>
          <w:color w:val="auto"/>
          <w:spacing w:val="-8"/>
          <w:sz w:val="24"/>
          <w:szCs w:val="24"/>
        </w:rPr>
        <w:t>标见下表：</w:t>
      </w:r>
    </w:p>
    <w:p>
      <w:pPr>
        <w:spacing w:line="500" w:lineRule="exact"/>
        <w:ind w:firstLine="422" w:firstLineChars="200"/>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表</w:t>
      </w:r>
      <w:r>
        <w:rPr>
          <w:rFonts w:asciiTheme="minorEastAsia" w:hAnsiTheme="minorEastAsia" w:eastAsiaTheme="minorEastAsia" w:cstheme="minorEastAsia"/>
          <w:b/>
          <w:color w:val="auto"/>
          <w:sz w:val="21"/>
          <w:szCs w:val="21"/>
        </w:rPr>
        <w:t xml:space="preserve">4.5-4 </w:t>
      </w:r>
      <w:r>
        <w:rPr>
          <w:rFonts w:hint="eastAsia" w:asciiTheme="minorEastAsia" w:hAnsiTheme="minorEastAsia" w:eastAsiaTheme="minorEastAsia" w:cstheme="minorEastAsia"/>
          <w:b/>
          <w:color w:val="auto"/>
          <w:sz w:val="21"/>
          <w:szCs w:val="21"/>
        </w:rPr>
        <w:t>农村居民生活用水平均指标</w:t>
      </w:r>
    </w:p>
    <w:tbl>
      <w:tblPr>
        <w:tblStyle w:val="27"/>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3518"/>
        <w:gridCol w:w="2643"/>
        <w:gridCol w:w="263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 w:hRule="atLeast"/>
        </w:trPr>
        <w:tc>
          <w:tcPr>
            <w:tcW w:w="2000" w:type="pct"/>
            <w:tcBorders>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年份</w:t>
            </w:r>
          </w:p>
        </w:tc>
        <w:tc>
          <w:tcPr>
            <w:tcW w:w="1502" w:type="pct"/>
            <w:tcBorders>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2020</w:t>
            </w:r>
          </w:p>
        </w:tc>
        <w:tc>
          <w:tcPr>
            <w:tcW w:w="1498" w:type="pct"/>
            <w:tcBorders>
              <w:left w:val="single" w:color="000000" w:sz="4" w:space="0"/>
              <w:bottom w:val="single" w:color="000000" w:sz="4"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2022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1" w:hRule="atLeast"/>
        </w:trPr>
        <w:tc>
          <w:tcPr>
            <w:tcW w:w="2000" w:type="pct"/>
            <w:tcBorders>
              <w:top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居民生活用水指标（L/人</w:t>
            </w:r>
            <w:r>
              <w:rPr>
                <w:rFonts w:hint="eastAsia" w:asciiTheme="minorEastAsia" w:hAnsiTheme="minorEastAsia" w:eastAsiaTheme="minorEastAsia" w:cstheme="minorEastAsia"/>
                <w:b/>
                <w:color w:val="auto"/>
                <w:sz w:val="21"/>
                <w:szCs w:val="21"/>
              </w:rPr>
              <w:t>·</w:t>
            </w:r>
            <w:r>
              <w:rPr>
                <w:rFonts w:hint="eastAsia" w:asciiTheme="minorEastAsia" w:hAnsiTheme="minorEastAsia" w:eastAsiaTheme="minorEastAsia" w:cstheme="minorEastAsia"/>
                <w:color w:val="auto"/>
                <w:sz w:val="21"/>
                <w:szCs w:val="21"/>
              </w:rPr>
              <w:t>d）</w:t>
            </w:r>
          </w:p>
        </w:tc>
        <w:tc>
          <w:tcPr>
            <w:tcW w:w="1502" w:type="pct"/>
            <w:tcBorders>
              <w:top w:val="single" w:color="000000" w:sz="4" w:space="0"/>
              <w:left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90~110</w:t>
            </w:r>
          </w:p>
        </w:tc>
        <w:tc>
          <w:tcPr>
            <w:tcW w:w="1498" w:type="pct"/>
            <w:tcBorders>
              <w:top w:val="single" w:color="000000" w:sz="4" w:space="0"/>
              <w:lef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100~130</w:t>
            </w:r>
          </w:p>
        </w:tc>
      </w:tr>
    </w:tbl>
    <w:p>
      <w:pPr>
        <w:pStyle w:val="32"/>
        <w:numPr>
          <w:ilvl w:val="3"/>
          <w:numId w:val="21"/>
        </w:numPr>
        <w:tabs>
          <w:tab w:val="left" w:pos="2640"/>
        </w:tabs>
        <w:spacing w:line="500" w:lineRule="exact"/>
        <w:ind w:left="0" w:firstLine="47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b/>
          <w:color w:val="auto"/>
          <w:spacing w:val="-3"/>
          <w:sz w:val="24"/>
          <w:szCs w:val="24"/>
        </w:rPr>
        <w:t>污水量确定</w:t>
      </w:r>
    </w:p>
    <w:p>
      <w:pPr>
        <w:pStyle w:val="32"/>
        <w:numPr>
          <w:ilvl w:val="0"/>
          <w:numId w:val="0"/>
        </w:numPr>
        <w:tabs>
          <w:tab w:val="left" w:pos="2002"/>
        </w:tabs>
        <w:spacing w:line="500" w:lineRule="exact"/>
        <w:ind w:left="476"/>
        <w:jc w:val="both"/>
        <w:rPr>
          <w:rFonts w:asciiTheme="minorEastAsia" w:hAnsiTheme="minorEastAsia" w:eastAsiaTheme="minorEastAsia" w:cstheme="minorEastAsia"/>
          <w:color w:val="auto"/>
          <w:spacing w:val="-2"/>
          <w:sz w:val="24"/>
          <w:szCs w:val="24"/>
        </w:rPr>
      </w:pPr>
      <w:r>
        <w:rPr>
          <w:rFonts w:hint="eastAsia" w:asciiTheme="minorEastAsia" w:hAnsiTheme="minorEastAsia" w:eastAsiaTheme="minorEastAsia" w:cstheme="minorEastAsia"/>
          <w:color w:val="auto"/>
          <w:spacing w:val="-2"/>
          <w:sz w:val="24"/>
          <w:szCs w:val="24"/>
        </w:rPr>
        <w:t>（1）排放系数</w:t>
      </w:r>
    </w:p>
    <w:p>
      <w:pPr>
        <w:pStyle w:val="10"/>
        <w:spacing w:line="500" w:lineRule="exact"/>
        <w:ind w:firstLine="44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8"/>
          <w:sz w:val="24"/>
          <w:szCs w:val="24"/>
        </w:rPr>
        <w:t>居民生活污水定额和综合生活污水定额应根据当地采用的相关用水定额，结合建筑物内部给排水设施水平等因素确定，可按当地相关</w:t>
      </w:r>
      <w:r>
        <w:rPr>
          <w:rFonts w:hint="eastAsia" w:asciiTheme="minorEastAsia" w:hAnsiTheme="minorEastAsia" w:eastAsiaTheme="minorEastAsia" w:cstheme="minorEastAsia"/>
          <w:color w:val="auto"/>
          <w:sz w:val="24"/>
          <w:szCs w:val="24"/>
        </w:rPr>
        <w:t xml:space="preserve">用水定额 </w:t>
      </w:r>
      <w:r>
        <w:rPr>
          <w:rFonts w:hint="eastAsia" w:asciiTheme="minorEastAsia" w:hAnsiTheme="minorEastAsia" w:eastAsiaTheme="minorEastAsia" w:cstheme="minorEastAsia"/>
          <w:color w:val="auto"/>
          <w:spacing w:val="-9"/>
          <w:sz w:val="24"/>
          <w:szCs w:val="24"/>
        </w:rPr>
        <w:t>60%～90</w:t>
      </w:r>
      <w:r>
        <w:rPr>
          <w:rFonts w:hint="eastAsia" w:asciiTheme="minorEastAsia" w:hAnsiTheme="minorEastAsia" w:eastAsiaTheme="minorEastAsia" w:cstheme="minorEastAsia"/>
          <w:color w:val="auto"/>
          <w:spacing w:val="-8"/>
          <w:sz w:val="24"/>
          <w:szCs w:val="24"/>
        </w:rPr>
        <w:t>%采用。根据罗定市农村现场调研情况，本次排放</w:t>
      </w:r>
      <w:r>
        <w:rPr>
          <w:rFonts w:hint="eastAsia" w:asciiTheme="minorEastAsia" w:hAnsiTheme="minorEastAsia" w:eastAsiaTheme="minorEastAsia" w:cstheme="minorEastAsia"/>
          <w:color w:val="auto"/>
          <w:spacing w:val="-11"/>
          <w:sz w:val="24"/>
          <w:szCs w:val="24"/>
        </w:rPr>
        <w:t>系数按</w:t>
      </w:r>
      <w:r>
        <w:rPr>
          <w:rFonts w:hint="eastAsia" w:asciiTheme="minorEastAsia" w:hAnsiTheme="minorEastAsia" w:eastAsiaTheme="minorEastAsia" w:cstheme="minorEastAsia"/>
          <w:color w:val="auto"/>
          <w:spacing w:val="-9"/>
          <w:sz w:val="24"/>
          <w:szCs w:val="24"/>
        </w:rPr>
        <w:t>80</w:t>
      </w:r>
      <w:r>
        <w:rPr>
          <w:rFonts w:hint="eastAsia" w:asciiTheme="minorEastAsia" w:hAnsiTheme="minorEastAsia" w:eastAsiaTheme="minorEastAsia" w:cstheme="minorEastAsia"/>
          <w:color w:val="auto"/>
          <w:spacing w:val="-8"/>
          <w:sz w:val="24"/>
          <w:szCs w:val="24"/>
        </w:rPr>
        <w:t>%考虑。</w:t>
      </w:r>
    </w:p>
    <w:p>
      <w:pPr>
        <w:pStyle w:val="32"/>
        <w:numPr>
          <w:ilvl w:val="0"/>
          <w:numId w:val="0"/>
        </w:numPr>
        <w:tabs>
          <w:tab w:val="left" w:pos="2002"/>
        </w:tabs>
        <w:spacing w:line="500" w:lineRule="exact"/>
        <w:ind w:left="476"/>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2"/>
          <w:sz w:val="24"/>
          <w:szCs w:val="24"/>
        </w:rPr>
        <w:t>（2）收集率</w:t>
      </w:r>
    </w:p>
    <w:p>
      <w:pPr>
        <w:pStyle w:val="10"/>
        <w:spacing w:line="500" w:lineRule="exact"/>
        <w:ind w:firstLine="42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3"/>
          <w:sz w:val="24"/>
          <w:szCs w:val="24"/>
        </w:rPr>
        <w:t>根据《粤东西北地区新一轮生活垃圾和污水处理基础设施建设实施方案》，要求尽量做到污水全收集。但考虑到罗定市农村地区总体排水设施分散，不成体系，综合考虑建设情况较为复杂与管网截污建</w:t>
      </w:r>
      <w:r>
        <w:rPr>
          <w:rFonts w:hint="eastAsia" w:asciiTheme="minorEastAsia" w:hAnsiTheme="minorEastAsia" w:eastAsiaTheme="minorEastAsia" w:cstheme="minorEastAsia"/>
          <w:color w:val="auto"/>
          <w:spacing w:val="-10"/>
          <w:sz w:val="24"/>
          <w:szCs w:val="24"/>
        </w:rPr>
        <w:t>设难度，部分住户污水收集较为困难，本次方案设计收集率按</w:t>
      </w:r>
      <w:r>
        <w:rPr>
          <w:rFonts w:hint="eastAsia" w:asciiTheme="minorEastAsia" w:hAnsiTheme="minorEastAsia" w:eastAsiaTheme="minorEastAsia" w:cstheme="minorEastAsia"/>
          <w:color w:val="auto"/>
          <w:spacing w:val="-3"/>
          <w:sz w:val="24"/>
          <w:szCs w:val="24"/>
        </w:rPr>
        <w:t>90%</w:t>
      </w:r>
      <w:r>
        <w:rPr>
          <w:rFonts w:hint="eastAsia" w:asciiTheme="minorEastAsia" w:hAnsiTheme="minorEastAsia" w:eastAsiaTheme="minorEastAsia" w:cstheme="minorEastAsia"/>
          <w:color w:val="auto"/>
          <w:spacing w:val="-7"/>
          <w:sz w:val="24"/>
          <w:szCs w:val="24"/>
        </w:rPr>
        <w:t>考虑。</w:t>
      </w:r>
    </w:p>
    <w:p>
      <w:pPr>
        <w:pStyle w:val="32"/>
        <w:numPr>
          <w:ilvl w:val="0"/>
          <w:numId w:val="0"/>
        </w:numPr>
        <w:tabs>
          <w:tab w:val="left" w:pos="2002"/>
        </w:tabs>
        <w:spacing w:line="500" w:lineRule="exact"/>
        <w:ind w:left="474"/>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（3）计算方法</w:t>
      </w:r>
    </w:p>
    <w:p>
      <w:pPr>
        <w:pStyle w:val="10"/>
        <w:spacing w:line="500" w:lineRule="exact"/>
        <w:ind w:firstLine="42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3"/>
          <w:sz w:val="24"/>
          <w:szCs w:val="24"/>
        </w:rPr>
        <w:t>污水量收集=人均生活用水量×人口数×排放系数×收集率。人口数——设施服务范围常住人口。</w:t>
      </w:r>
    </w:p>
    <w:p>
      <w:pPr>
        <w:pStyle w:val="32"/>
        <w:numPr>
          <w:ilvl w:val="0"/>
          <w:numId w:val="0"/>
        </w:numPr>
        <w:tabs>
          <w:tab w:val="left" w:pos="2000"/>
        </w:tabs>
        <w:spacing w:line="500" w:lineRule="exact"/>
        <w:ind w:left="464"/>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8"/>
          <w:sz w:val="24"/>
          <w:szCs w:val="24"/>
        </w:rPr>
        <w:t>（4）农村生活污水量预测结果</w:t>
      </w:r>
    </w:p>
    <w:p>
      <w:pPr>
        <w:pStyle w:val="10"/>
        <w:spacing w:line="500" w:lineRule="exact"/>
        <w:ind w:firstLine="480" w:firstLineChars="200"/>
        <w:jc w:val="both"/>
        <w:rPr>
          <w:rFonts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rPr>
        <w:t>本次共建设</w:t>
      </w:r>
      <w:r>
        <w:rPr>
          <w:rFonts w:hint="eastAsia" w:asciiTheme="minorEastAsia" w:hAnsiTheme="minorEastAsia" w:eastAsiaTheme="minorEastAsia" w:cstheme="minorEastAsia"/>
          <w:color w:val="auto"/>
          <w:sz w:val="24"/>
          <w:szCs w:val="24"/>
          <w:highlight w:val="none"/>
        </w:rPr>
        <w:t>覆盖</w:t>
      </w:r>
      <w:r>
        <w:rPr>
          <w:rFonts w:hint="eastAsia" w:asciiTheme="minorEastAsia" w:hAnsiTheme="minorEastAsia" w:eastAsiaTheme="minorEastAsia" w:cstheme="minorEastAsia"/>
          <w:color w:val="auto"/>
          <w:sz w:val="24"/>
          <w:szCs w:val="24"/>
          <w:highlight w:val="none"/>
          <w:lang w:val="en-US" w:eastAsia="zh-CN"/>
        </w:rPr>
        <w:t>1494</w:t>
      </w:r>
      <w:r>
        <w:rPr>
          <w:rFonts w:hint="eastAsia" w:asciiTheme="minorEastAsia" w:hAnsiTheme="minorEastAsia" w:eastAsiaTheme="minorEastAsia" w:cstheme="minorEastAsia"/>
          <w:color w:val="auto"/>
          <w:sz w:val="24"/>
          <w:szCs w:val="24"/>
          <w:highlight w:val="none"/>
          <w:lang w:val="en-US"/>
        </w:rPr>
        <w:t>个自然村</w:t>
      </w:r>
      <w:r>
        <w:rPr>
          <w:rFonts w:hint="eastAsia" w:asciiTheme="minorEastAsia" w:hAnsiTheme="minorEastAsia" w:eastAsiaTheme="minorEastAsia" w:cstheme="minorEastAsia"/>
          <w:color w:val="auto"/>
          <w:sz w:val="24"/>
          <w:szCs w:val="24"/>
          <w:highlight w:val="none"/>
        </w:rPr>
        <w:t>，服务常住人口共约</w:t>
      </w:r>
      <w:r>
        <w:rPr>
          <w:rFonts w:hint="eastAsia" w:asciiTheme="minorEastAsia" w:hAnsiTheme="minorEastAsia" w:eastAsiaTheme="minorEastAsia" w:cstheme="minorEastAsia"/>
          <w:color w:val="auto"/>
          <w:spacing w:val="-5"/>
          <w:sz w:val="24"/>
          <w:szCs w:val="24"/>
          <w:highlight w:val="none"/>
          <w:lang w:eastAsia="zh-CN"/>
        </w:rPr>
        <w:t>24.05万人</w:t>
      </w:r>
      <w:r>
        <w:rPr>
          <w:rFonts w:hint="eastAsia" w:asciiTheme="minorEastAsia" w:hAnsiTheme="minorEastAsia" w:eastAsiaTheme="minorEastAsia" w:cstheme="minorEastAsia"/>
          <w:color w:val="auto"/>
          <w:spacing w:val="-17"/>
          <w:sz w:val="24"/>
          <w:szCs w:val="24"/>
          <w:highlight w:val="none"/>
        </w:rPr>
        <w:t>，总设计规模</w:t>
      </w:r>
      <w:r>
        <w:rPr>
          <w:rFonts w:hint="eastAsia" w:asciiTheme="minorEastAsia" w:hAnsiTheme="minorEastAsia" w:eastAsiaTheme="minorEastAsia" w:cstheme="minorEastAsia"/>
          <w:color w:val="auto"/>
          <w:spacing w:val="-9"/>
          <w:sz w:val="24"/>
          <w:szCs w:val="24"/>
          <w:highlight w:val="none"/>
        </w:rPr>
        <w:t>12540m³/d</w:t>
      </w:r>
      <w:r>
        <w:rPr>
          <w:rFonts w:hint="eastAsia" w:asciiTheme="minorEastAsia" w:hAnsiTheme="minorEastAsia" w:eastAsiaTheme="minorEastAsia" w:cstheme="minorEastAsia"/>
          <w:color w:val="auto"/>
          <w:spacing w:val="-13"/>
          <w:sz w:val="24"/>
          <w:szCs w:val="24"/>
          <w:highlight w:val="none"/>
        </w:rPr>
        <w:t>。</w:t>
      </w:r>
    </w:p>
    <w:p>
      <w:pPr>
        <w:pStyle w:val="32"/>
        <w:numPr>
          <w:ilvl w:val="1"/>
          <w:numId w:val="22"/>
        </w:numPr>
        <w:tabs>
          <w:tab w:val="left" w:pos="1548"/>
        </w:tabs>
        <w:spacing w:before="240" w:beforeLines="100" w:line="500" w:lineRule="exact"/>
        <w:ind w:left="0" w:firstLine="0"/>
        <w:jc w:val="both"/>
        <w:outlineLvl w:val="1"/>
        <w:rPr>
          <w:rFonts w:asciiTheme="minorEastAsia" w:hAnsiTheme="minorEastAsia" w:eastAsiaTheme="minorEastAsia" w:cstheme="minorEastAsia"/>
          <w:b/>
          <w:color w:val="auto"/>
          <w:sz w:val="24"/>
          <w:szCs w:val="24"/>
          <w:highlight w:val="none"/>
        </w:rPr>
      </w:pPr>
      <w:bookmarkStart w:id="63" w:name="_Toc31112"/>
      <w:bookmarkStart w:id="64" w:name="_Toc32584"/>
      <w:r>
        <w:rPr>
          <w:rFonts w:hint="eastAsia" w:asciiTheme="minorEastAsia" w:hAnsiTheme="minorEastAsia" w:eastAsiaTheme="minorEastAsia" w:cstheme="minorEastAsia"/>
          <w:b/>
          <w:color w:val="auto"/>
          <w:sz w:val="24"/>
          <w:szCs w:val="24"/>
          <w:highlight w:val="none"/>
        </w:rPr>
        <w:t>进出水水质标准</w:t>
      </w:r>
      <w:bookmarkEnd w:id="63"/>
      <w:bookmarkEnd w:id="64"/>
    </w:p>
    <w:p>
      <w:pPr>
        <w:pStyle w:val="32"/>
        <w:numPr>
          <w:ilvl w:val="2"/>
          <w:numId w:val="22"/>
        </w:numPr>
        <w:tabs>
          <w:tab w:val="left" w:pos="1796"/>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农村生活污水处理设施进出水水质标准</w:t>
      </w:r>
    </w:p>
    <w:p>
      <w:pPr>
        <w:pStyle w:val="10"/>
        <w:spacing w:line="500" w:lineRule="exact"/>
        <w:ind w:firstLine="428" w:firstLineChars="200"/>
        <w:jc w:val="both"/>
        <w:rPr>
          <w:rFonts w:asciiTheme="minorEastAsia" w:hAnsiTheme="minorEastAsia" w:eastAsiaTheme="minorEastAsia" w:cstheme="minorEastAsia"/>
          <w:color w:val="auto"/>
          <w:spacing w:val="-13"/>
          <w:sz w:val="24"/>
          <w:szCs w:val="24"/>
        </w:rPr>
      </w:pPr>
      <w:r>
        <w:rPr>
          <w:rFonts w:hint="eastAsia" w:asciiTheme="minorEastAsia" w:hAnsiTheme="minorEastAsia" w:eastAsiaTheme="minorEastAsia" w:cstheme="minorEastAsia"/>
          <w:color w:val="auto"/>
          <w:spacing w:val="-13"/>
          <w:sz w:val="24"/>
          <w:szCs w:val="24"/>
        </w:rPr>
        <w:t>农村生活污水进水水质暂按常规农村污水监测参数考虑。本项目农村生活污水进水水质参数如下：</w:t>
      </w:r>
    </w:p>
    <w:p>
      <w:pPr>
        <w:spacing w:line="500" w:lineRule="exact"/>
        <w:ind w:firstLine="422" w:firstLineChars="200"/>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表4.6-1  农村生活污水处理设施设计进水水质（单位：mg/L）</w:t>
      </w:r>
    </w:p>
    <w:tbl>
      <w:tblPr>
        <w:tblStyle w:val="27"/>
        <w:tblW w:w="8303" w:type="dxa"/>
        <w:tblInd w:w="42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14"/>
        <w:gridCol w:w="1372"/>
        <w:gridCol w:w="1435"/>
        <w:gridCol w:w="1347"/>
        <w:gridCol w:w="1337"/>
        <w:gridCol w:w="149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 w:hRule="atLeast"/>
        </w:trPr>
        <w:tc>
          <w:tcPr>
            <w:tcW w:w="1314" w:type="dxa"/>
            <w:tcBorders>
              <w:bottom w:val="single" w:color="000000" w:sz="4" w:space="0"/>
              <w:right w:val="single" w:color="000000" w:sz="4" w:space="0"/>
            </w:tcBorders>
          </w:tcPr>
          <w:p>
            <w:pPr>
              <w:pStyle w:val="33"/>
              <w:spacing w:line="500" w:lineRule="exact"/>
              <w:ind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污染物</w:t>
            </w:r>
          </w:p>
        </w:tc>
        <w:tc>
          <w:tcPr>
            <w:tcW w:w="1372" w:type="dxa"/>
            <w:tcBorders>
              <w:left w:val="single" w:color="000000" w:sz="4" w:space="0"/>
              <w:bottom w:val="single" w:color="000000" w:sz="4" w:space="0"/>
              <w:right w:val="single" w:color="000000" w:sz="4" w:space="0"/>
            </w:tcBorders>
          </w:tcPr>
          <w:p>
            <w:pPr>
              <w:pStyle w:val="33"/>
              <w:spacing w:line="500" w:lineRule="exact"/>
              <w:ind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CODcr</w:t>
            </w:r>
          </w:p>
        </w:tc>
        <w:tc>
          <w:tcPr>
            <w:tcW w:w="1435" w:type="dxa"/>
            <w:tcBorders>
              <w:left w:val="single" w:color="000000" w:sz="4" w:space="0"/>
              <w:bottom w:val="single" w:color="000000" w:sz="4" w:space="0"/>
              <w:right w:val="single" w:color="000000" w:sz="4" w:space="0"/>
            </w:tcBorders>
          </w:tcPr>
          <w:p>
            <w:pPr>
              <w:pStyle w:val="33"/>
              <w:spacing w:line="500" w:lineRule="exact"/>
              <w:ind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position w:val="2"/>
                <w:sz w:val="24"/>
                <w:szCs w:val="24"/>
              </w:rPr>
              <w:t>BOD</w:t>
            </w:r>
            <w:r>
              <w:rPr>
                <w:rFonts w:hint="eastAsia" w:asciiTheme="minorEastAsia" w:hAnsiTheme="minorEastAsia" w:eastAsiaTheme="minorEastAsia" w:cstheme="minorEastAsia"/>
                <w:b/>
                <w:color w:val="auto"/>
                <w:position w:val="2"/>
                <w:sz w:val="24"/>
                <w:szCs w:val="24"/>
                <w:vertAlign w:val="subscript"/>
              </w:rPr>
              <w:t>5</w:t>
            </w:r>
          </w:p>
        </w:tc>
        <w:tc>
          <w:tcPr>
            <w:tcW w:w="1347" w:type="dxa"/>
            <w:tcBorders>
              <w:left w:val="single" w:color="000000" w:sz="4" w:space="0"/>
              <w:bottom w:val="single" w:color="000000" w:sz="4" w:space="0"/>
              <w:right w:val="single" w:color="000000" w:sz="4" w:space="0"/>
            </w:tcBorders>
          </w:tcPr>
          <w:p>
            <w:pPr>
              <w:pStyle w:val="33"/>
              <w:spacing w:line="500" w:lineRule="exact"/>
              <w:ind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SS</w:t>
            </w:r>
          </w:p>
        </w:tc>
        <w:tc>
          <w:tcPr>
            <w:tcW w:w="1337" w:type="dxa"/>
            <w:tcBorders>
              <w:left w:val="single" w:color="000000" w:sz="4" w:space="0"/>
              <w:bottom w:val="single" w:color="000000" w:sz="4" w:space="0"/>
              <w:right w:val="single" w:color="000000" w:sz="4" w:space="0"/>
            </w:tcBorders>
          </w:tcPr>
          <w:p>
            <w:pPr>
              <w:pStyle w:val="33"/>
              <w:spacing w:line="500" w:lineRule="exact"/>
              <w:ind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氨氮</w:t>
            </w:r>
          </w:p>
        </w:tc>
        <w:tc>
          <w:tcPr>
            <w:tcW w:w="1498" w:type="dxa"/>
            <w:tcBorders>
              <w:left w:val="single" w:color="000000" w:sz="4" w:space="0"/>
              <w:bottom w:val="single" w:color="000000" w:sz="4" w:space="0"/>
            </w:tcBorders>
          </w:tcPr>
          <w:p>
            <w:pPr>
              <w:pStyle w:val="33"/>
              <w:spacing w:line="500" w:lineRule="exact"/>
              <w:ind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TP</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1314" w:type="dxa"/>
            <w:tcBorders>
              <w:top w:val="single" w:color="000000" w:sz="4" w:space="0"/>
              <w:right w:val="single" w:color="000000" w:sz="4" w:space="0"/>
            </w:tcBorders>
          </w:tcPr>
          <w:p>
            <w:pPr>
              <w:pStyle w:val="33"/>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进水</w:t>
            </w:r>
          </w:p>
        </w:tc>
        <w:tc>
          <w:tcPr>
            <w:tcW w:w="1372" w:type="dxa"/>
            <w:tcBorders>
              <w:top w:val="single" w:color="000000" w:sz="4" w:space="0"/>
              <w:left w:val="single" w:color="000000" w:sz="4" w:space="0"/>
              <w:right w:val="single" w:color="000000" w:sz="4" w:space="0"/>
            </w:tcBorders>
          </w:tcPr>
          <w:p>
            <w:pPr>
              <w:pStyle w:val="33"/>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150</w:t>
            </w:r>
          </w:p>
        </w:tc>
        <w:tc>
          <w:tcPr>
            <w:tcW w:w="1435" w:type="dxa"/>
            <w:tcBorders>
              <w:top w:val="single" w:color="000000" w:sz="4" w:space="0"/>
              <w:left w:val="single" w:color="000000" w:sz="4" w:space="0"/>
              <w:right w:val="single" w:color="000000" w:sz="4" w:space="0"/>
            </w:tcBorders>
          </w:tcPr>
          <w:p>
            <w:pPr>
              <w:pStyle w:val="33"/>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100</w:t>
            </w:r>
          </w:p>
        </w:tc>
        <w:tc>
          <w:tcPr>
            <w:tcW w:w="1347" w:type="dxa"/>
            <w:tcBorders>
              <w:top w:val="single" w:color="000000" w:sz="4" w:space="0"/>
              <w:left w:val="single" w:color="000000" w:sz="4" w:space="0"/>
              <w:right w:val="single" w:color="000000" w:sz="4" w:space="0"/>
            </w:tcBorders>
          </w:tcPr>
          <w:p>
            <w:pPr>
              <w:pStyle w:val="33"/>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100</w:t>
            </w:r>
          </w:p>
        </w:tc>
        <w:tc>
          <w:tcPr>
            <w:tcW w:w="1337" w:type="dxa"/>
            <w:tcBorders>
              <w:top w:val="single" w:color="000000" w:sz="4" w:space="0"/>
              <w:left w:val="single" w:color="000000" w:sz="4" w:space="0"/>
              <w:right w:val="single" w:color="000000" w:sz="4" w:space="0"/>
            </w:tcBorders>
          </w:tcPr>
          <w:p>
            <w:pPr>
              <w:pStyle w:val="33"/>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20</w:t>
            </w:r>
          </w:p>
        </w:tc>
        <w:tc>
          <w:tcPr>
            <w:tcW w:w="1498" w:type="dxa"/>
            <w:tcBorders>
              <w:top w:val="single" w:color="000000" w:sz="4" w:space="0"/>
              <w:left w:val="single" w:color="000000" w:sz="4" w:space="0"/>
            </w:tcBorders>
          </w:tcPr>
          <w:p>
            <w:pPr>
              <w:pStyle w:val="33"/>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3</w:t>
            </w:r>
          </w:p>
        </w:tc>
      </w:tr>
    </w:tbl>
    <w:p>
      <w:pPr>
        <w:pStyle w:val="10"/>
        <w:spacing w:line="500" w:lineRule="exact"/>
        <w:ind w:firstLine="42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3"/>
          <w:sz w:val="24"/>
          <w:szCs w:val="24"/>
        </w:rPr>
        <w:t>根据《广东省住房和城乡建设厅关于加强整县推进村镇污水处理设施建设管理的通知》</w:t>
      </w:r>
      <w:r>
        <w:rPr>
          <w:rFonts w:hint="eastAsia" w:asciiTheme="minorEastAsia" w:hAnsiTheme="minorEastAsia" w:eastAsiaTheme="minorEastAsia" w:cstheme="minorEastAsia"/>
          <w:color w:val="auto"/>
          <w:spacing w:val="-8"/>
          <w:sz w:val="24"/>
          <w:szCs w:val="24"/>
        </w:rPr>
        <w:t>（</w:t>
      </w:r>
      <w:r>
        <w:rPr>
          <w:rFonts w:hint="eastAsia" w:asciiTheme="minorEastAsia" w:hAnsiTheme="minorEastAsia" w:eastAsiaTheme="minorEastAsia" w:cstheme="minorEastAsia"/>
          <w:color w:val="auto"/>
          <w:spacing w:val="-11"/>
          <w:sz w:val="24"/>
          <w:szCs w:val="24"/>
        </w:rPr>
        <w:t>粤建村函〔</w:t>
      </w:r>
      <w:r>
        <w:rPr>
          <w:rFonts w:hint="eastAsia" w:asciiTheme="minorEastAsia" w:hAnsiTheme="minorEastAsia" w:eastAsiaTheme="minorEastAsia" w:cstheme="minorEastAsia"/>
          <w:color w:val="auto"/>
          <w:spacing w:val="-10"/>
          <w:sz w:val="24"/>
          <w:szCs w:val="24"/>
        </w:rPr>
        <w:t>2017〕</w:t>
      </w:r>
      <w:r>
        <w:rPr>
          <w:rFonts w:hint="eastAsia" w:asciiTheme="minorEastAsia" w:hAnsiTheme="minorEastAsia" w:eastAsiaTheme="minorEastAsia" w:cstheme="minorEastAsia"/>
          <w:color w:val="auto"/>
          <w:spacing w:val="-4"/>
          <w:sz w:val="24"/>
          <w:szCs w:val="24"/>
        </w:rPr>
        <w:t>2242</w:t>
      </w:r>
      <w:r>
        <w:rPr>
          <w:rFonts w:hint="eastAsia" w:asciiTheme="minorEastAsia" w:hAnsiTheme="minorEastAsia" w:eastAsiaTheme="minorEastAsia" w:cstheme="minorEastAsia"/>
          <w:color w:val="auto"/>
          <w:spacing w:val="-37"/>
          <w:sz w:val="24"/>
          <w:szCs w:val="24"/>
        </w:rPr>
        <w:t>号</w:t>
      </w:r>
      <w:r>
        <w:rPr>
          <w:rFonts w:hint="eastAsia" w:asciiTheme="minorEastAsia" w:hAnsiTheme="minorEastAsia" w:eastAsiaTheme="minorEastAsia" w:cstheme="minorEastAsia"/>
          <w:color w:val="auto"/>
          <w:spacing w:val="-11"/>
          <w:sz w:val="24"/>
          <w:szCs w:val="24"/>
        </w:rPr>
        <w:t>）</w:t>
      </w:r>
      <w:r>
        <w:rPr>
          <w:rFonts w:hint="eastAsia" w:asciiTheme="minorEastAsia" w:hAnsiTheme="minorEastAsia" w:eastAsiaTheme="minorEastAsia" w:cstheme="minorEastAsia"/>
          <w:color w:val="auto"/>
          <w:spacing w:val="-8"/>
          <w:sz w:val="24"/>
          <w:szCs w:val="24"/>
        </w:rPr>
        <w:t>，新建农村</w:t>
      </w:r>
      <w:r>
        <w:rPr>
          <w:rFonts w:hint="eastAsia" w:asciiTheme="minorEastAsia" w:hAnsiTheme="minorEastAsia" w:eastAsiaTheme="minorEastAsia" w:cstheme="minorEastAsia"/>
          <w:color w:val="auto"/>
          <w:spacing w:val="-13"/>
          <w:sz w:val="24"/>
          <w:szCs w:val="24"/>
        </w:rPr>
        <w:t>污水处理设施出水水质执行以下标准：</w:t>
      </w:r>
    </w:p>
    <w:p>
      <w:pPr>
        <w:pStyle w:val="32"/>
        <w:numPr>
          <w:ilvl w:val="0"/>
          <w:numId w:val="23"/>
        </w:numPr>
        <w:tabs>
          <w:tab w:val="left" w:pos="1392"/>
        </w:tabs>
        <w:spacing w:line="500" w:lineRule="exact"/>
        <w:ind w:left="0" w:firstLine="42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3"/>
          <w:sz w:val="24"/>
          <w:szCs w:val="24"/>
        </w:rPr>
        <w:t>处理后出水就近纳入城镇污水管网的，执行《污水排入城</w:t>
      </w:r>
      <w:r>
        <w:rPr>
          <w:rFonts w:hint="eastAsia" w:asciiTheme="minorEastAsia" w:hAnsiTheme="minorEastAsia" w:eastAsiaTheme="minorEastAsia" w:cstheme="minorEastAsia"/>
          <w:color w:val="auto"/>
          <w:spacing w:val="-10"/>
          <w:sz w:val="24"/>
          <w:szCs w:val="24"/>
        </w:rPr>
        <w:t>镇下水道水质标准》GB/T 31962-2015</w:t>
      </w:r>
    </w:p>
    <w:p>
      <w:pPr>
        <w:pStyle w:val="32"/>
        <w:numPr>
          <w:ilvl w:val="0"/>
          <w:numId w:val="23"/>
        </w:numPr>
        <w:tabs>
          <w:tab w:val="left" w:pos="1385"/>
        </w:tabs>
        <w:spacing w:line="500" w:lineRule="exact"/>
        <w:ind w:left="0" w:firstLine="456" w:firstLineChars="200"/>
        <w:jc w:val="both"/>
        <w:rPr>
          <w:rFonts w:asciiTheme="minorEastAsia" w:hAnsiTheme="minorEastAsia" w:eastAsiaTheme="minorEastAsia" w:cstheme="minorEastAsia"/>
          <w:color w:val="auto"/>
          <w:spacing w:val="-6"/>
          <w:sz w:val="24"/>
          <w:szCs w:val="24"/>
        </w:rPr>
      </w:pPr>
      <w:r>
        <w:rPr>
          <w:rFonts w:hint="eastAsia" w:asciiTheme="minorEastAsia" w:hAnsiTheme="minorEastAsia" w:eastAsiaTheme="minorEastAsia" w:cstheme="minorEastAsia"/>
          <w:color w:val="auto"/>
          <w:spacing w:val="-6"/>
          <w:sz w:val="24"/>
          <w:szCs w:val="24"/>
        </w:rPr>
        <w:t>处理后出水直接排入自然水体时，需根据水功能区划确定排放标准，执行广东省《农村生活污水处理排放标准》DB63/T1777-2020（DB44/2208-2019）；</w:t>
      </w:r>
    </w:p>
    <w:p>
      <w:pPr>
        <w:pStyle w:val="32"/>
        <w:numPr>
          <w:ilvl w:val="0"/>
          <w:numId w:val="23"/>
        </w:numPr>
        <w:tabs>
          <w:tab w:val="left" w:pos="1404"/>
        </w:tabs>
        <w:spacing w:line="500" w:lineRule="exact"/>
        <w:ind w:left="0"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不在前述 1）及 2）要求涵盖范围，以村组为单位采取集中处理方式的，至少执行《城镇污水处理厂污染物排放标准》（GB18918-2002）一级B标准。</w:t>
      </w:r>
    </w:p>
    <w:p>
      <w:pPr>
        <w:pStyle w:val="32"/>
        <w:numPr>
          <w:ilvl w:val="1"/>
          <w:numId w:val="22"/>
        </w:numPr>
        <w:tabs>
          <w:tab w:val="left" w:pos="1548"/>
        </w:tabs>
        <w:spacing w:line="500" w:lineRule="exact"/>
        <w:ind w:left="0" w:firstLine="0"/>
        <w:jc w:val="both"/>
        <w:outlineLvl w:val="1"/>
        <w:rPr>
          <w:rFonts w:asciiTheme="minorEastAsia" w:hAnsiTheme="minorEastAsia" w:eastAsiaTheme="minorEastAsia" w:cstheme="minorEastAsia"/>
          <w:b/>
          <w:color w:val="auto"/>
          <w:sz w:val="24"/>
          <w:szCs w:val="24"/>
        </w:rPr>
      </w:pPr>
      <w:bookmarkStart w:id="65" w:name="4.7项目选址"/>
      <w:bookmarkEnd w:id="65"/>
      <w:bookmarkStart w:id="66" w:name="_Toc17881"/>
      <w:bookmarkStart w:id="67" w:name="_Toc4118"/>
      <w:r>
        <w:rPr>
          <w:rFonts w:hint="eastAsia" w:asciiTheme="minorEastAsia" w:hAnsiTheme="minorEastAsia" w:eastAsiaTheme="minorEastAsia" w:cstheme="minorEastAsia"/>
          <w:b/>
          <w:color w:val="auto"/>
          <w:sz w:val="24"/>
          <w:szCs w:val="24"/>
        </w:rPr>
        <w:t>项目选址</w:t>
      </w:r>
      <w:bookmarkEnd w:id="66"/>
      <w:bookmarkEnd w:id="67"/>
    </w:p>
    <w:p>
      <w:pPr>
        <w:pStyle w:val="32"/>
        <w:numPr>
          <w:ilvl w:val="2"/>
          <w:numId w:val="22"/>
        </w:numPr>
        <w:tabs>
          <w:tab w:val="left" w:pos="1796"/>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农村污水处理设施选址原则</w:t>
      </w:r>
    </w:p>
    <w:p>
      <w:pPr>
        <w:pStyle w:val="10"/>
        <w:spacing w:line="500" w:lineRule="exact"/>
        <w:ind w:firstLine="428" w:firstLineChars="200"/>
        <w:jc w:val="both"/>
        <w:rPr>
          <w:rFonts w:asciiTheme="minorEastAsia" w:hAnsiTheme="minorEastAsia" w:eastAsiaTheme="minorEastAsia" w:cstheme="minorEastAsia"/>
          <w:color w:val="auto"/>
          <w:sz w:val="24"/>
          <w:szCs w:val="24"/>
          <w:highlight w:val="none"/>
        </w:rPr>
      </w:pPr>
      <w:bookmarkStart w:id="68" w:name="_bookmark25"/>
      <w:bookmarkEnd w:id="68"/>
      <w:bookmarkStart w:id="69" w:name="_Toc19168"/>
      <w:bookmarkStart w:id="70" w:name="_Toc29499"/>
      <w:r>
        <w:rPr>
          <w:rFonts w:hint="eastAsia" w:asciiTheme="minorEastAsia" w:hAnsiTheme="minorEastAsia" w:eastAsiaTheme="minorEastAsia" w:cstheme="minorEastAsia"/>
          <w:color w:val="auto"/>
          <w:spacing w:val="-13"/>
          <w:sz w:val="24"/>
          <w:szCs w:val="24"/>
          <w:highlight w:val="none"/>
        </w:rPr>
        <w:t xml:space="preserve">各乡镇政府须协调村委会提供污水处理设施建设用地，无公共集体用地的采用租借其他村集体建设用地等方式解决设施建设用地问题，原则上污水处理设施占地以不超过 </w:t>
      </w:r>
      <w:r>
        <w:rPr>
          <w:rFonts w:hint="eastAsia" w:asciiTheme="minorEastAsia" w:hAnsiTheme="minorEastAsia" w:eastAsiaTheme="minorEastAsia" w:cstheme="minorEastAsia"/>
          <w:color w:val="auto"/>
          <w:spacing w:val="-9"/>
          <w:sz w:val="24"/>
          <w:szCs w:val="24"/>
          <w:highlight w:val="none"/>
        </w:rPr>
        <w:t>2.0</w:t>
      </w:r>
      <w:r>
        <w:rPr>
          <w:rFonts w:hint="eastAsia" w:asciiTheme="minorEastAsia" w:hAnsiTheme="minorEastAsia" w:eastAsiaTheme="minorEastAsia" w:cstheme="minorEastAsia"/>
          <w:color w:val="auto"/>
          <w:spacing w:val="-10"/>
          <w:sz w:val="24"/>
          <w:szCs w:val="24"/>
          <w:highlight w:val="none"/>
        </w:rPr>
        <w:t>〔</w:t>
      </w:r>
      <w:r>
        <w:rPr>
          <w:rFonts w:hint="eastAsia" w:asciiTheme="minorEastAsia" w:hAnsiTheme="minorEastAsia" w:eastAsiaTheme="minorEastAsia" w:cstheme="minorEastAsia"/>
          <w:color w:val="auto"/>
          <w:spacing w:val="-8"/>
          <w:sz w:val="24"/>
          <w:szCs w:val="24"/>
          <w:highlight w:val="none"/>
        </w:rPr>
        <w:t>m²/(m³·d</w:t>
      </w:r>
      <w:r>
        <w:rPr>
          <w:rFonts w:hint="eastAsia" w:asciiTheme="minorEastAsia" w:hAnsiTheme="minorEastAsia" w:eastAsiaTheme="minorEastAsia" w:cstheme="minorEastAsia"/>
          <w:color w:val="auto"/>
          <w:spacing w:val="-4"/>
          <w:sz w:val="24"/>
          <w:szCs w:val="24"/>
          <w:highlight w:val="none"/>
        </w:rPr>
        <w:t>) 〕</w:t>
      </w:r>
      <w:r>
        <w:rPr>
          <w:rFonts w:hint="eastAsia" w:asciiTheme="minorEastAsia" w:hAnsiTheme="minorEastAsia" w:eastAsiaTheme="minorEastAsia" w:cstheme="minorEastAsia"/>
          <w:color w:val="auto"/>
          <w:spacing w:val="-8"/>
          <w:sz w:val="24"/>
          <w:szCs w:val="24"/>
          <w:highlight w:val="none"/>
        </w:rPr>
        <w:t>标准设计。</w:t>
      </w:r>
    </w:p>
    <w:p>
      <w:pPr>
        <w:pStyle w:val="10"/>
        <w:spacing w:line="500" w:lineRule="exact"/>
        <w:ind w:firstLine="428" w:firstLineChars="200"/>
        <w:jc w:val="both"/>
        <w:rPr>
          <w:rFonts w:hint="eastAsia" w:asciiTheme="minorEastAsia" w:hAnsiTheme="minorEastAsia" w:eastAsiaTheme="minorEastAsia" w:cstheme="minorEastAsia"/>
          <w:color w:val="auto"/>
          <w:spacing w:val="-13"/>
          <w:sz w:val="24"/>
          <w:szCs w:val="24"/>
          <w:highlight w:val="none"/>
        </w:rPr>
      </w:pPr>
      <w:r>
        <w:rPr>
          <w:rFonts w:hint="eastAsia" w:asciiTheme="minorEastAsia" w:hAnsiTheme="minorEastAsia" w:eastAsiaTheme="minorEastAsia" w:cstheme="minorEastAsia"/>
          <w:color w:val="auto"/>
          <w:spacing w:val="-13"/>
          <w:sz w:val="24"/>
          <w:szCs w:val="24"/>
          <w:highlight w:val="none"/>
        </w:rPr>
        <w:t>原则上站点的选址适宜选在下风口，地势相对低洼处，便于污水的收集。</w:t>
      </w:r>
    </w:p>
    <w:p>
      <w:pPr>
        <w:pStyle w:val="10"/>
        <w:spacing w:line="500" w:lineRule="exact"/>
        <w:ind w:firstLine="428" w:firstLineChars="200"/>
        <w:jc w:val="both"/>
        <w:rPr>
          <w:rFonts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pacing w:val="-13"/>
          <w:sz w:val="24"/>
          <w:szCs w:val="24"/>
          <w:highlight w:val="none"/>
        </w:rPr>
        <w:t>根据《广东省农村生活污水治理攻坚实施方案》及《广东省农村生活污水处理设施建设技术规程》（DBJ/T15-206-2020备案号J13556-2021）推荐工艺，并结合本项目的排水系统现状、污水治理规模小等情况，为在降低工程投资和运行成本的同时，也顺应当地村居生产和生活方式，科学筛选并优化选型，选用适合本地区的污水治理模式，所以，本项目按村内实际情况主体工艺选用①人工湿地，②一体化设备</w:t>
      </w:r>
      <w:r>
        <w:rPr>
          <w:rFonts w:hint="eastAsia" w:asciiTheme="minorEastAsia" w:hAnsiTheme="minorEastAsia" w:eastAsiaTheme="minorEastAsia" w:cstheme="minorEastAsia"/>
          <w:color w:val="auto"/>
          <w:spacing w:val="-13"/>
          <w:sz w:val="24"/>
          <w:szCs w:val="24"/>
          <w:highlight w:val="none"/>
          <w:lang w:val="en-US" w:eastAsia="zh-CN"/>
        </w:rPr>
        <w:t>，③</w:t>
      </w:r>
      <w:r>
        <w:rPr>
          <w:rFonts w:hint="eastAsia" w:asciiTheme="minorEastAsia" w:hAnsiTheme="minorEastAsia" w:eastAsiaTheme="minorEastAsia" w:cstheme="minorEastAsia"/>
          <w:color w:val="auto"/>
          <w:spacing w:val="-13"/>
          <w:sz w:val="24"/>
          <w:szCs w:val="24"/>
          <w:highlight w:val="none"/>
        </w:rPr>
        <w:t>资源化利用作为本项目村庄生活污水的处理主要工艺。若村庄人口密集、居住相对集中</w:t>
      </w:r>
      <w:r>
        <w:rPr>
          <w:rFonts w:hint="eastAsia" w:asciiTheme="minorEastAsia" w:hAnsiTheme="minorEastAsia" w:eastAsiaTheme="minorEastAsia" w:cstheme="minorEastAsia"/>
          <w:color w:val="auto"/>
          <w:spacing w:val="-13"/>
          <w:sz w:val="24"/>
          <w:szCs w:val="24"/>
          <w:highlight w:val="none"/>
          <w:lang w:val="en-US" w:eastAsia="zh-CN"/>
        </w:rPr>
        <w:t>且选址面积较大的情况下</w:t>
      </w:r>
      <w:r>
        <w:rPr>
          <w:rFonts w:hint="eastAsia" w:asciiTheme="minorEastAsia" w:hAnsiTheme="minorEastAsia" w:eastAsiaTheme="minorEastAsia" w:cstheme="minorEastAsia"/>
          <w:color w:val="auto"/>
          <w:spacing w:val="-13"/>
          <w:sz w:val="24"/>
          <w:szCs w:val="24"/>
          <w:highlight w:val="none"/>
        </w:rPr>
        <w:t>，则适合人工湿地工艺；若村庄人口密集、居住相对集中</w:t>
      </w:r>
      <w:r>
        <w:rPr>
          <w:rFonts w:hint="eastAsia" w:asciiTheme="minorEastAsia" w:hAnsiTheme="minorEastAsia" w:eastAsiaTheme="minorEastAsia" w:cstheme="minorEastAsia"/>
          <w:color w:val="auto"/>
          <w:spacing w:val="-13"/>
          <w:sz w:val="24"/>
          <w:szCs w:val="24"/>
          <w:highlight w:val="none"/>
          <w:lang w:val="en-US" w:eastAsia="zh-CN"/>
        </w:rPr>
        <w:t>且</w:t>
      </w:r>
      <w:r>
        <w:rPr>
          <w:rFonts w:hint="eastAsia" w:asciiTheme="minorEastAsia" w:hAnsiTheme="minorEastAsia" w:eastAsiaTheme="minorEastAsia" w:cstheme="minorEastAsia"/>
          <w:color w:val="auto"/>
          <w:spacing w:val="-13"/>
          <w:sz w:val="24"/>
          <w:szCs w:val="24"/>
          <w:highlight w:val="none"/>
        </w:rPr>
        <w:t>用地紧张的情</w:t>
      </w:r>
      <w:r>
        <w:rPr>
          <w:rFonts w:hint="eastAsia" w:asciiTheme="minorEastAsia" w:hAnsiTheme="minorEastAsia" w:eastAsiaTheme="minorEastAsia" w:cstheme="minorEastAsia"/>
          <w:color w:val="auto"/>
          <w:spacing w:val="-4"/>
          <w:sz w:val="24"/>
          <w:szCs w:val="24"/>
          <w:highlight w:val="none"/>
        </w:rPr>
        <w:t>况下，则优先选用</w:t>
      </w:r>
      <w:r>
        <w:rPr>
          <w:rFonts w:hint="eastAsia" w:asciiTheme="minorEastAsia" w:hAnsiTheme="minorEastAsia" w:eastAsiaTheme="minorEastAsia" w:cstheme="minorEastAsia"/>
          <w:color w:val="auto"/>
          <w:spacing w:val="-13"/>
          <w:sz w:val="24"/>
          <w:szCs w:val="24"/>
          <w:highlight w:val="none"/>
        </w:rPr>
        <w:t>一体化设备</w:t>
      </w:r>
      <w:r>
        <w:rPr>
          <w:rFonts w:hint="eastAsia" w:asciiTheme="minorEastAsia" w:hAnsiTheme="minorEastAsia" w:eastAsiaTheme="minorEastAsia" w:cstheme="minorEastAsia"/>
          <w:color w:val="auto"/>
          <w:spacing w:val="-24"/>
          <w:sz w:val="24"/>
          <w:szCs w:val="24"/>
          <w:highlight w:val="none"/>
          <w:lang w:eastAsia="zh-CN"/>
        </w:rPr>
        <w:t>；</w:t>
      </w:r>
      <w:r>
        <w:rPr>
          <w:rFonts w:hint="eastAsia" w:asciiTheme="minorEastAsia" w:hAnsiTheme="minorEastAsia" w:eastAsiaTheme="minorEastAsia" w:cstheme="minorEastAsia"/>
          <w:color w:val="auto"/>
          <w:spacing w:val="-13"/>
          <w:sz w:val="24"/>
          <w:szCs w:val="24"/>
          <w:highlight w:val="none"/>
        </w:rPr>
        <w:t>对于偏远不直接排入河流、居住相对分散、人口较少，村庄的污水治理可根据实际情况采用桶、罐等储存设施或储存沉淀池或厌氧池等资源化利用模式</w:t>
      </w:r>
      <w:r>
        <w:rPr>
          <w:rFonts w:hint="eastAsia" w:asciiTheme="minorEastAsia" w:hAnsiTheme="minorEastAsia" w:eastAsiaTheme="minorEastAsia" w:cstheme="minorEastAsia"/>
          <w:color w:val="auto"/>
          <w:spacing w:val="-13"/>
          <w:sz w:val="24"/>
          <w:szCs w:val="24"/>
          <w:highlight w:val="none"/>
          <w:lang w:eastAsia="zh-CN"/>
        </w:rPr>
        <w:t>。</w:t>
      </w:r>
    </w:p>
    <w:p>
      <w:pPr>
        <w:pStyle w:val="32"/>
        <w:numPr>
          <w:ilvl w:val="1"/>
          <w:numId w:val="22"/>
        </w:numPr>
        <w:tabs>
          <w:tab w:val="left" w:pos="1548"/>
        </w:tabs>
        <w:spacing w:line="500" w:lineRule="exact"/>
        <w:ind w:left="0" w:firstLine="0"/>
        <w:jc w:val="both"/>
        <w:outlineLvl w:val="1"/>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农村污水处理设施工艺选择</w:t>
      </w:r>
      <w:bookmarkEnd w:id="69"/>
      <w:bookmarkEnd w:id="70"/>
    </w:p>
    <w:p>
      <w:pPr>
        <w:pStyle w:val="32"/>
        <w:numPr>
          <w:ilvl w:val="2"/>
          <w:numId w:val="22"/>
        </w:numPr>
        <w:tabs>
          <w:tab w:val="left" w:pos="2099"/>
          <w:tab w:val="left" w:pos="210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农村污水处理工艺介绍</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农村污水处理设施一般规模较小，分布较为分散，与城镇污水处理方式有较大的区别，常用工艺有：</w:t>
      </w:r>
    </w:p>
    <w:p>
      <w:pPr>
        <w:pStyle w:val="32"/>
        <w:numPr>
          <w:ilvl w:val="3"/>
          <w:numId w:val="22"/>
        </w:numPr>
        <w:tabs>
          <w:tab w:val="left" w:pos="2000"/>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厌氧+强化人工湿地</w:t>
      </w:r>
    </w:p>
    <w:p>
      <w:pPr>
        <w:pStyle w:val="10"/>
        <w:spacing w:line="500" w:lineRule="exact"/>
        <w:ind w:firstLine="48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z w:val="24"/>
          <w:szCs w:val="24"/>
        </w:rPr>
        <w:t>该工艺由厌氧水解池和人工湿地两个处理单元串联组成。生活污水进入厌氧水解池，截留大部分有机物，并在厌氧水解作用下，被分解成小分子有机物，小分子有机物和部分富营养物质在人工湿地内土壤、微生物和生物组成的系统的物理、化学和生物的三重协</w:t>
      </w:r>
      <w:r>
        <w:rPr>
          <w:rFonts w:hint="eastAsia" w:asciiTheme="minorEastAsia" w:hAnsiTheme="minorEastAsia" w:eastAsiaTheme="minorEastAsia" w:cstheme="minorEastAsia"/>
          <w:color w:val="auto"/>
          <w:spacing w:val="-3"/>
          <w:sz w:val="24"/>
          <w:szCs w:val="24"/>
        </w:rPr>
        <w:t>同作用，通过过滤、吸附、沉淀、离子交换、植物吸收和微生物分</w:t>
      </w:r>
      <w:r>
        <w:rPr>
          <w:rFonts w:hint="eastAsia" w:asciiTheme="minorEastAsia" w:hAnsiTheme="minorEastAsia" w:eastAsiaTheme="minorEastAsia" w:cstheme="minorEastAsia"/>
          <w:color w:val="auto"/>
          <w:spacing w:val="-5"/>
          <w:sz w:val="24"/>
          <w:szCs w:val="24"/>
        </w:rPr>
        <w:t>解等作用得以去除，实现对污水的高效净化。</w:t>
      </w:r>
    </w:p>
    <w:p>
      <w:pPr>
        <w:pStyle w:val="11"/>
        <w:rPr>
          <w:color w:val="auto"/>
          <w:lang w:val="zh-CN" w:bidi="zh-CN"/>
        </w:rPr>
      </w:pPr>
      <w:r>
        <w:rPr>
          <w:rFonts w:hint="eastAsia" w:asciiTheme="minorEastAsia" w:hAnsiTheme="minorEastAsia" w:eastAsiaTheme="minorEastAsia" w:cstheme="minorEastAsia"/>
          <w:color w:val="auto"/>
          <w:sz w:val="24"/>
          <w:szCs w:val="24"/>
        </w:rPr>
        <w:drawing>
          <wp:inline distT="0" distB="0" distL="0" distR="0">
            <wp:extent cx="4707890" cy="2943225"/>
            <wp:effectExtent l="0" t="0" r="0" b="0"/>
            <wp:docPr id="9" name="image5.jpeg"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jpeg" descr="图示, 示意图&#10;&#10;描述已自动生成"/>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718456" cy="2949794"/>
                    </a:xfrm>
                    <a:prstGeom prst="rect">
                      <a:avLst/>
                    </a:prstGeom>
                  </pic:spPr>
                </pic:pic>
              </a:graphicData>
            </a:graphic>
          </wp:inline>
        </w:drawing>
      </w:r>
    </w:p>
    <w:p>
      <w:pPr>
        <w:pStyle w:val="10"/>
        <w:spacing w:line="500" w:lineRule="exact"/>
        <w:ind w:firstLine="422" w:firstLineChars="200"/>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图4.8-1  厌氧+人工湿地工艺流程示意图</w:t>
      </w:r>
    </w:p>
    <w:p>
      <w:pPr>
        <w:pStyle w:val="10"/>
        <w:spacing w:line="500" w:lineRule="exact"/>
        <w:ind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该技术工艺简单，无动力损耗，维护管理方便，具有较强的抗冲击负荷能力，能与周边生态环境相适应，适合于有地势差、有</w:t>
      </w:r>
      <w:r>
        <w:rPr>
          <w:rFonts w:hint="eastAsia" w:asciiTheme="minorEastAsia" w:hAnsiTheme="minorEastAsia" w:eastAsiaTheme="minorEastAsia" w:cstheme="minorEastAsia"/>
          <w:color w:val="auto"/>
          <w:spacing w:val="-5"/>
          <w:sz w:val="24"/>
          <w:szCs w:val="24"/>
        </w:rPr>
        <w:t>乡村旅游产业基础或对氮磷去除要求较高的农村。但由于缺乏好氧</w:t>
      </w:r>
      <w:r>
        <w:rPr>
          <w:rFonts w:hint="eastAsia" w:asciiTheme="minorEastAsia" w:hAnsiTheme="minorEastAsia" w:eastAsiaTheme="minorEastAsia" w:cstheme="minorEastAsia"/>
          <w:color w:val="auto"/>
          <w:sz w:val="24"/>
          <w:szCs w:val="24"/>
        </w:rPr>
        <w:t>单元，脱氮能力较差，需要对人工湿地进行好氧强化，提高脱氮除磷效果。该工艺适用于经济条件有限，土地较宽裕的地区。</w:t>
      </w:r>
    </w:p>
    <w:p>
      <w:pPr>
        <w:pStyle w:val="32"/>
        <w:numPr>
          <w:ilvl w:val="3"/>
          <w:numId w:val="22"/>
        </w:numPr>
        <w:tabs>
          <w:tab w:val="left" w:pos="1738"/>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厌氧+好氧滤塔+人工湿地</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该工艺由厌氧水解池和好氧滤塔及人工湿地组成，生活污水进入厌氧水解池， 截留大部分有机物，并在厌氧水解作用下，被分解成小分子有机物和稳定的沉渣。在好氧滤塔中大部分有机物被微生物处理，污水进入沉淀池进行泥水分离后上清液进入人工湿地，在人工湿地中污水与土壤、植物及植物根部的生物膜接触，通过物理、化学以及生物反应，污水得到净化。</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该工艺适用于经济条件有限，土地较宽裕的地区。</w:t>
      </w:r>
    </w:p>
    <w:p>
      <w:pPr>
        <w:pStyle w:val="32"/>
        <w:numPr>
          <w:ilvl w:val="3"/>
          <w:numId w:val="22"/>
        </w:numPr>
        <w:tabs>
          <w:tab w:val="left" w:pos="1738"/>
        </w:tabs>
        <w:spacing w:line="500" w:lineRule="exact"/>
        <w:ind w:left="0"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lang w:val="en-US" w:eastAsia="zh-CN"/>
        </w:rPr>
        <w:t>AAO工艺</w:t>
      </w:r>
    </w:p>
    <w:p>
      <w:pPr>
        <w:pStyle w:val="10"/>
        <w:spacing w:line="500" w:lineRule="exact"/>
        <w:ind w:firstLine="420" w:firstLineChars="200"/>
        <w:jc w:val="both"/>
        <w:rPr>
          <w:rFonts w:hint="eastAsia"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传统A2/O工艺于70年代由美国专家在厌氧—好氧除磷工艺（A/O工艺）的基础上开发出来的。该工艺是在A/O工艺中增加一个缺氧段，将好氧池流出的一部分混合液回流至缺氧段，以达到脱氮的目的。</w:t>
      </w:r>
    </w:p>
    <w:p>
      <w:pPr>
        <w:pStyle w:val="11"/>
        <w:ind w:left="0" w:leftChars="0" w:firstLine="0" w:firstLineChars="0"/>
        <w:jc w:val="both"/>
        <w:rPr>
          <w:rFonts w:hint="eastAsia"/>
          <w:color w:val="auto"/>
        </w:rPr>
      </w:pPr>
      <w:r>
        <w:rPr>
          <w:rFonts w:ascii="宋体" w:hAnsi="宋体" w:eastAsia="宋体" w:cs="宋体"/>
          <w:color w:val="auto"/>
          <w:sz w:val="24"/>
          <w:szCs w:val="24"/>
        </w:rPr>
        <w:drawing>
          <wp:inline distT="0" distB="0" distL="114300" distR="114300">
            <wp:extent cx="5422900" cy="1749425"/>
            <wp:effectExtent l="0" t="0" r="6350" b="3175"/>
            <wp:docPr id="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IMG_256"/>
                    <pic:cNvPicPr>
                      <a:picLocks noChangeAspect="1"/>
                    </pic:cNvPicPr>
                  </pic:nvPicPr>
                  <pic:blipFill>
                    <a:blip r:embed="rId31"/>
                    <a:stretch>
                      <a:fillRect/>
                    </a:stretch>
                  </pic:blipFill>
                  <pic:spPr>
                    <a:xfrm>
                      <a:off x="0" y="0"/>
                      <a:ext cx="5422900" cy="1749425"/>
                    </a:xfrm>
                    <a:prstGeom prst="rect">
                      <a:avLst/>
                    </a:prstGeom>
                    <a:noFill/>
                    <a:ln w="9525">
                      <a:noFill/>
                    </a:ln>
                  </pic:spPr>
                </pic:pic>
              </a:graphicData>
            </a:graphic>
          </wp:inline>
        </w:drawing>
      </w:r>
    </w:p>
    <w:p>
      <w:pPr>
        <w:pStyle w:val="10"/>
        <w:spacing w:line="500" w:lineRule="exact"/>
        <w:ind w:firstLine="420" w:firstLineChars="200"/>
        <w:jc w:val="both"/>
        <w:rPr>
          <w:rFonts w:hint="eastAsia"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A2/O工艺特点：</w:t>
      </w:r>
    </w:p>
    <w:p>
      <w:pPr>
        <w:pStyle w:val="10"/>
        <w:spacing w:line="500" w:lineRule="exact"/>
        <w:ind w:firstLine="420" w:firstLineChars="200"/>
        <w:jc w:val="both"/>
        <w:rPr>
          <w:rFonts w:hint="eastAsia"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lang w:val="en-US" w:eastAsia="zh-CN"/>
        </w:rPr>
        <w:t>①</w:t>
      </w:r>
      <w:r>
        <w:rPr>
          <w:rFonts w:hint="eastAsia" w:asciiTheme="minorEastAsia" w:hAnsiTheme="minorEastAsia" w:eastAsiaTheme="minorEastAsia" w:cstheme="minorEastAsia"/>
          <w:color w:val="auto"/>
          <w:spacing w:val="-15"/>
          <w:sz w:val="24"/>
          <w:szCs w:val="24"/>
        </w:rPr>
        <w:t>污染物去除效率高，运行稳定，有较好的耐冲击负荷。　</w:t>
      </w:r>
    </w:p>
    <w:p>
      <w:pPr>
        <w:pStyle w:val="10"/>
        <w:spacing w:line="500" w:lineRule="exact"/>
        <w:ind w:firstLine="420" w:firstLineChars="200"/>
        <w:jc w:val="both"/>
        <w:rPr>
          <w:rFonts w:hint="eastAsia"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lang w:val="en-US" w:eastAsia="zh-CN"/>
        </w:rPr>
        <w:t>②</w:t>
      </w:r>
      <w:r>
        <w:rPr>
          <w:rFonts w:hint="eastAsia" w:asciiTheme="minorEastAsia" w:hAnsiTheme="minorEastAsia" w:eastAsiaTheme="minorEastAsia" w:cstheme="minorEastAsia"/>
          <w:color w:val="auto"/>
          <w:spacing w:val="-15"/>
          <w:sz w:val="24"/>
          <w:szCs w:val="24"/>
        </w:rPr>
        <w:t>污泥沉降性能好。</w:t>
      </w:r>
    </w:p>
    <w:p>
      <w:pPr>
        <w:pStyle w:val="10"/>
        <w:spacing w:line="500" w:lineRule="exact"/>
        <w:ind w:firstLine="420" w:firstLineChars="200"/>
        <w:jc w:val="both"/>
        <w:rPr>
          <w:rFonts w:hint="eastAsia"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lang w:val="en-US" w:eastAsia="zh-CN"/>
        </w:rPr>
        <w:t>③</w:t>
      </w:r>
      <w:r>
        <w:rPr>
          <w:rFonts w:hint="eastAsia" w:asciiTheme="minorEastAsia" w:hAnsiTheme="minorEastAsia" w:eastAsiaTheme="minorEastAsia" w:cstheme="minorEastAsia"/>
          <w:color w:val="auto"/>
          <w:spacing w:val="-15"/>
          <w:sz w:val="24"/>
          <w:szCs w:val="24"/>
        </w:rPr>
        <w:t>厌氧、缺氧、好氧三种不同的环境条件和不同种类微生物菌群的有机配合，能同时具有去除有机物、脱氮除磷的功能。</w:t>
      </w:r>
    </w:p>
    <w:p>
      <w:pPr>
        <w:pStyle w:val="10"/>
        <w:spacing w:line="500" w:lineRule="exact"/>
        <w:ind w:firstLine="420" w:firstLineChars="200"/>
        <w:jc w:val="both"/>
        <w:rPr>
          <w:rFonts w:hint="eastAsia"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lang w:val="en-US" w:eastAsia="zh-CN"/>
        </w:rPr>
        <w:t>④</w:t>
      </w:r>
      <w:r>
        <w:rPr>
          <w:rFonts w:hint="eastAsia" w:asciiTheme="minorEastAsia" w:hAnsiTheme="minorEastAsia" w:eastAsiaTheme="minorEastAsia" w:cstheme="minorEastAsia"/>
          <w:color w:val="auto"/>
          <w:spacing w:val="-15"/>
          <w:sz w:val="24"/>
          <w:szCs w:val="24"/>
        </w:rPr>
        <w:t>脱氮效果受混合液回流比大小的影响，除磷效果则受回流污泥中夹带DO和硝酸态氧的影响，因而脱氮除磷效率不可能很高。</w:t>
      </w:r>
    </w:p>
    <w:p>
      <w:pPr>
        <w:pStyle w:val="10"/>
        <w:spacing w:line="500" w:lineRule="exact"/>
        <w:ind w:firstLine="420" w:firstLineChars="200"/>
        <w:jc w:val="both"/>
        <w:rPr>
          <w:rFonts w:hint="eastAsia"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lang w:val="en-US" w:eastAsia="zh-CN"/>
        </w:rPr>
        <w:t>⑤</w:t>
      </w:r>
      <w:r>
        <w:rPr>
          <w:rFonts w:hint="eastAsia" w:asciiTheme="minorEastAsia" w:hAnsiTheme="minorEastAsia" w:eastAsiaTheme="minorEastAsia" w:cstheme="minorEastAsia"/>
          <w:color w:val="auto"/>
          <w:spacing w:val="-15"/>
          <w:sz w:val="24"/>
          <w:szCs w:val="24"/>
        </w:rPr>
        <w:t>在同时脱氧除磷去除有机物的工艺中，该工艺流程最为简单，总的水力停留时间也少于同类其他工艺。</w:t>
      </w:r>
    </w:p>
    <w:p>
      <w:pPr>
        <w:pStyle w:val="10"/>
        <w:spacing w:line="500" w:lineRule="exact"/>
        <w:ind w:firstLine="420" w:firstLineChars="200"/>
        <w:jc w:val="both"/>
        <w:rPr>
          <w:rFonts w:hint="eastAsia"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lang w:val="en-US" w:eastAsia="zh-CN"/>
        </w:rPr>
        <w:t>⑥</w:t>
      </w:r>
      <w:r>
        <w:rPr>
          <w:rFonts w:hint="eastAsia" w:asciiTheme="minorEastAsia" w:hAnsiTheme="minorEastAsia" w:eastAsiaTheme="minorEastAsia" w:cstheme="minorEastAsia"/>
          <w:color w:val="auto"/>
          <w:spacing w:val="-15"/>
          <w:sz w:val="24"/>
          <w:szCs w:val="24"/>
        </w:rPr>
        <w:t>在厌氧—缺氧—好氧交替运行下，丝状菌不会大量繁殖，SVI一般小于100，不会发生污泥膨胀。</w:t>
      </w:r>
    </w:p>
    <w:p>
      <w:pPr>
        <w:pStyle w:val="10"/>
        <w:spacing w:line="500" w:lineRule="exact"/>
        <w:ind w:firstLine="420" w:firstLineChars="200"/>
        <w:jc w:val="both"/>
        <w:rPr>
          <w:rFonts w:hint="eastAsia"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lang w:val="en-US" w:eastAsia="zh-CN"/>
        </w:rPr>
        <w:t>⑦</w:t>
      </w:r>
      <w:r>
        <w:rPr>
          <w:rFonts w:hint="eastAsia" w:asciiTheme="minorEastAsia" w:hAnsiTheme="minorEastAsia" w:eastAsiaTheme="minorEastAsia" w:cstheme="minorEastAsia"/>
          <w:color w:val="auto"/>
          <w:spacing w:val="-15"/>
          <w:sz w:val="24"/>
          <w:szCs w:val="24"/>
        </w:rPr>
        <w:t>污泥中磷含量高，一般为2.5％以上。</w:t>
      </w:r>
    </w:p>
    <w:p>
      <w:pPr>
        <w:pStyle w:val="10"/>
        <w:spacing w:line="500" w:lineRule="exact"/>
        <w:ind w:firstLine="420" w:firstLineChars="200"/>
        <w:jc w:val="both"/>
        <w:rPr>
          <w:rFonts w:hint="eastAsia"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A2/O工艺的缺点</w:t>
      </w:r>
    </w:p>
    <w:p>
      <w:pPr>
        <w:pStyle w:val="10"/>
        <w:spacing w:line="500" w:lineRule="exact"/>
        <w:ind w:firstLine="420" w:firstLineChars="200"/>
        <w:jc w:val="both"/>
        <w:rPr>
          <w:rFonts w:hint="eastAsia"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lang w:val="en-US" w:eastAsia="zh-CN"/>
        </w:rPr>
        <w:t>①</w:t>
      </w:r>
      <w:r>
        <w:rPr>
          <w:rFonts w:hint="eastAsia" w:asciiTheme="minorEastAsia" w:hAnsiTheme="minorEastAsia" w:eastAsiaTheme="minorEastAsia" w:cstheme="minorEastAsia"/>
          <w:color w:val="auto"/>
          <w:spacing w:val="-15"/>
          <w:sz w:val="24"/>
          <w:szCs w:val="24"/>
        </w:rPr>
        <w:t>反应池容积比A/O脱氮工艺还要大；</w:t>
      </w:r>
    </w:p>
    <w:p>
      <w:pPr>
        <w:pStyle w:val="10"/>
        <w:spacing w:line="500" w:lineRule="exact"/>
        <w:ind w:firstLine="420" w:firstLineChars="200"/>
        <w:jc w:val="both"/>
        <w:rPr>
          <w:rFonts w:hint="eastAsia"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lang w:val="en-US" w:eastAsia="zh-CN"/>
        </w:rPr>
        <w:t>②</w:t>
      </w:r>
      <w:r>
        <w:rPr>
          <w:rFonts w:hint="eastAsia" w:asciiTheme="minorEastAsia" w:hAnsiTheme="minorEastAsia" w:eastAsiaTheme="minorEastAsia" w:cstheme="minorEastAsia"/>
          <w:color w:val="auto"/>
          <w:spacing w:val="-15"/>
          <w:sz w:val="24"/>
          <w:szCs w:val="24"/>
        </w:rPr>
        <w:t>污泥内回流量大，能耗较高；</w:t>
      </w:r>
    </w:p>
    <w:p>
      <w:pPr>
        <w:pStyle w:val="10"/>
        <w:spacing w:line="500" w:lineRule="exact"/>
        <w:ind w:firstLine="420" w:firstLineChars="200"/>
        <w:jc w:val="both"/>
        <w:rPr>
          <w:rFonts w:hint="eastAsia"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lang w:val="en-US" w:eastAsia="zh-CN"/>
        </w:rPr>
        <w:t>③</w:t>
      </w:r>
      <w:r>
        <w:rPr>
          <w:rFonts w:hint="eastAsia" w:asciiTheme="minorEastAsia" w:hAnsiTheme="minorEastAsia" w:eastAsiaTheme="minorEastAsia" w:cstheme="minorEastAsia"/>
          <w:color w:val="auto"/>
          <w:spacing w:val="-15"/>
          <w:sz w:val="24"/>
          <w:szCs w:val="24"/>
        </w:rPr>
        <w:t>用于中小型污水厂费用偏高；</w:t>
      </w:r>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lang w:val="en-US" w:eastAsia="zh-CN"/>
        </w:rPr>
        <w:t>④</w:t>
      </w:r>
      <w:r>
        <w:rPr>
          <w:rFonts w:hint="eastAsia" w:asciiTheme="minorEastAsia" w:hAnsiTheme="minorEastAsia" w:eastAsiaTheme="minorEastAsia" w:cstheme="minorEastAsia"/>
          <w:color w:val="auto"/>
          <w:spacing w:val="-15"/>
          <w:sz w:val="24"/>
          <w:szCs w:val="24"/>
        </w:rPr>
        <w:t>污泥渗出液需化学除磷</w:t>
      </w:r>
      <w:r>
        <w:rPr>
          <w:rFonts w:hint="eastAsia" w:asciiTheme="minorEastAsia" w:hAnsiTheme="minorEastAsia" w:eastAsiaTheme="minorEastAsia" w:cstheme="minorEastAsia"/>
          <w:color w:val="auto"/>
          <w:sz w:val="24"/>
          <w:szCs w:val="24"/>
        </w:rPr>
        <w:t>。</w:t>
      </w:r>
    </w:p>
    <w:p>
      <w:pPr>
        <w:pStyle w:val="32"/>
        <w:numPr>
          <w:ilvl w:val="3"/>
          <w:numId w:val="22"/>
        </w:numPr>
        <w:tabs>
          <w:tab w:val="left" w:pos="1738"/>
        </w:tabs>
        <w:spacing w:line="500" w:lineRule="exact"/>
        <w:ind w:left="0"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膜生物反应器（MBR）+吸附除磷装置</w:t>
      </w:r>
    </w:p>
    <w:p>
      <w:pPr>
        <w:pStyle w:val="10"/>
        <w:spacing w:line="500" w:lineRule="exact"/>
        <w:ind w:firstLine="468"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3"/>
          <w:sz w:val="24"/>
          <w:szCs w:val="24"/>
        </w:rPr>
        <w:t>膜生物反应器是一种由膜分离单元与生物处理工艺相结合的新型污水处理技术，他以膜组件取代活性污泥法中的二沉池，提高出水水质的同时，使生物反应中保持较高的污泥浓度，从而减少了</w:t>
      </w:r>
      <w:r>
        <w:rPr>
          <w:rFonts w:hint="eastAsia" w:asciiTheme="minorEastAsia" w:hAnsiTheme="minorEastAsia" w:eastAsiaTheme="minorEastAsia" w:cstheme="minorEastAsia"/>
          <w:color w:val="auto"/>
          <w:spacing w:val="-5"/>
          <w:sz w:val="24"/>
          <w:szCs w:val="24"/>
        </w:rPr>
        <w:t>处理设施占地面积，并且保持低污泥负荷，减少污泥产量。</w:t>
      </w:r>
    </w:p>
    <w:p>
      <w:pPr>
        <w:pStyle w:val="11"/>
        <w:rPr>
          <w:color w:val="auto"/>
          <w:lang w:val="zh-CN" w:bidi="zh-CN"/>
        </w:rPr>
      </w:pPr>
      <w:r>
        <w:rPr>
          <w:rFonts w:hint="eastAsia" w:asciiTheme="minorEastAsia" w:hAnsiTheme="minorEastAsia" w:eastAsiaTheme="minorEastAsia" w:cstheme="minorEastAsia"/>
          <w:color w:val="auto"/>
          <w:sz w:val="24"/>
          <w:szCs w:val="24"/>
        </w:rPr>
        <w:drawing>
          <wp:inline distT="0" distB="0" distL="0" distR="0">
            <wp:extent cx="4907915" cy="2390775"/>
            <wp:effectExtent l="0" t="0" r="6985" b="0"/>
            <wp:docPr id="11" name="image6.jpeg"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6.jpeg" descr="图示&#10;&#10;描述已自动生成"/>
                    <pic:cNvPicPr>
                      <a:picLocks noChangeAspect="1"/>
                    </pic:cNvPicPr>
                  </pic:nvPicPr>
                  <pic:blipFill>
                    <a:blip r:embed="rId32" cstate="print"/>
                    <a:stretch>
                      <a:fillRect/>
                    </a:stretch>
                  </pic:blipFill>
                  <pic:spPr>
                    <a:xfrm>
                      <a:off x="0" y="0"/>
                      <a:ext cx="4915893" cy="2394570"/>
                    </a:xfrm>
                    <a:prstGeom prst="rect">
                      <a:avLst/>
                    </a:prstGeom>
                  </pic:spPr>
                </pic:pic>
              </a:graphicData>
            </a:graphic>
          </wp:inline>
        </w:drawing>
      </w:r>
    </w:p>
    <w:p>
      <w:pPr>
        <w:pStyle w:val="11"/>
        <w:rPr>
          <w:color w:val="auto"/>
        </w:rPr>
      </w:pPr>
      <w:r>
        <w:rPr>
          <w:rFonts w:hint="eastAsia" w:asciiTheme="minorEastAsia" w:hAnsiTheme="minorEastAsia" w:eastAsiaTheme="minorEastAsia" w:cstheme="minorEastAsia"/>
          <w:color w:val="auto"/>
          <w:sz w:val="24"/>
          <w:szCs w:val="24"/>
        </w:rPr>
        <w:drawing>
          <wp:inline distT="0" distB="0" distL="0" distR="0">
            <wp:extent cx="5096510" cy="1478280"/>
            <wp:effectExtent l="0" t="0" r="8890" b="7620"/>
            <wp:docPr id="13" name="image7.jpeg"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jpeg" descr="图示&#10;&#10;描述已自动生成"/>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104657" cy="1480643"/>
                    </a:xfrm>
                    <a:prstGeom prst="rect">
                      <a:avLst/>
                    </a:prstGeom>
                  </pic:spPr>
                </pic:pic>
              </a:graphicData>
            </a:graphic>
          </wp:inline>
        </w:drawing>
      </w:r>
    </w:p>
    <w:p>
      <w:pPr>
        <w:spacing w:line="500" w:lineRule="exact"/>
        <w:ind w:firstLine="422" w:firstLineChars="200"/>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图4.8-2 MBR→吸附除磷工艺流程示意图</w:t>
      </w:r>
    </w:p>
    <w:p>
      <w:pPr>
        <w:pStyle w:val="10"/>
        <w:spacing w:line="500" w:lineRule="exact"/>
        <w:ind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该工艺对污染物的去除率高，效果稳定，耐冲击负荷，占地</w:t>
      </w:r>
      <w:r>
        <w:rPr>
          <w:rFonts w:hint="eastAsia" w:asciiTheme="minorEastAsia" w:hAnsiTheme="minorEastAsia" w:eastAsiaTheme="minorEastAsia" w:cstheme="minorEastAsia"/>
          <w:color w:val="auto"/>
          <w:spacing w:val="-6"/>
          <w:sz w:val="24"/>
          <w:szCs w:val="24"/>
        </w:rPr>
        <w:t>少，控制灵活。但是该工艺成本高，自动化程度要求高，整体运行</w:t>
      </w:r>
      <w:r>
        <w:rPr>
          <w:rFonts w:hint="eastAsia" w:asciiTheme="minorEastAsia" w:hAnsiTheme="minorEastAsia" w:eastAsiaTheme="minorEastAsia" w:cstheme="minorEastAsia"/>
          <w:color w:val="auto"/>
          <w:spacing w:val="-3"/>
          <w:sz w:val="24"/>
          <w:szCs w:val="24"/>
        </w:rPr>
        <w:t>费用高。</w:t>
      </w:r>
    </w:p>
    <w:p>
      <w:pPr>
        <w:pStyle w:val="32"/>
        <w:numPr>
          <w:ilvl w:val="3"/>
          <w:numId w:val="22"/>
        </w:numPr>
        <w:tabs>
          <w:tab w:val="left" w:pos="1738"/>
        </w:tabs>
        <w:spacing w:line="500" w:lineRule="exact"/>
        <w:ind w:left="0"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AOF 工艺→人工湿地</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AOF（前置反硝化-微污泥生物降解-辅助湿地植物吸收系统）工艺主要采用厌氧前置反硝化脱氮、好氧流离固定床去除有机污染物，具备同步脱氮、污泥内源消化和生物生态除臭功能。</w:t>
      </w:r>
    </w:p>
    <w:p>
      <w:pPr>
        <w:pStyle w:val="10"/>
        <w:spacing w:line="500" w:lineRule="exact"/>
        <w:ind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该工艺对污染物的去除率高，效果稳定，耐冲击负荷，占地</w:t>
      </w:r>
      <w:r>
        <w:rPr>
          <w:rFonts w:hint="eastAsia" w:asciiTheme="minorEastAsia" w:hAnsiTheme="minorEastAsia" w:eastAsiaTheme="minorEastAsia" w:cstheme="minorEastAsia"/>
          <w:color w:val="auto"/>
          <w:spacing w:val="-6"/>
          <w:sz w:val="24"/>
          <w:szCs w:val="24"/>
        </w:rPr>
        <w:t>少，控制灵活。但是该工艺成本高，自动化程度要求高，整体运行</w:t>
      </w:r>
      <w:r>
        <w:rPr>
          <w:rFonts w:hint="eastAsia" w:asciiTheme="minorEastAsia" w:hAnsiTheme="minorEastAsia" w:eastAsiaTheme="minorEastAsia" w:cstheme="minorEastAsia"/>
          <w:color w:val="auto"/>
          <w:spacing w:val="-3"/>
          <w:sz w:val="24"/>
          <w:szCs w:val="24"/>
        </w:rPr>
        <w:t>费用高。</w:t>
      </w:r>
    </w:p>
    <w:p>
      <w:pPr>
        <w:pStyle w:val="32"/>
        <w:numPr>
          <w:ilvl w:val="2"/>
          <w:numId w:val="22"/>
        </w:numPr>
        <w:tabs>
          <w:tab w:val="left" w:pos="1889"/>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农村污水处理工艺选择原则</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农村污水处理设施规模小，设施分散，出水标准要求较城镇污水处理厂低等特点，为配合农村综合整治的要求，处理工艺宜选择易于管理 、无动力或微动力的处理工艺，并结合生态（包括主体生态）和维护方便的需求选择处理工艺，工艺选择应遵循以下原则：</w:t>
      </w:r>
    </w:p>
    <w:p>
      <w:pPr>
        <w:pStyle w:val="32"/>
        <w:numPr>
          <w:ilvl w:val="0"/>
          <w:numId w:val="24"/>
        </w:numPr>
        <w:tabs>
          <w:tab w:val="left" w:pos="1822"/>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稳定达标</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针对农村生活污水水质和水量特点，应结合运行管理模式考虑集中式或分散式处理工艺及设施，确保处理出水达到要求的排放标准。</w:t>
      </w:r>
    </w:p>
    <w:p>
      <w:pPr>
        <w:pStyle w:val="32"/>
        <w:numPr>
          <w:ilvl w:val="0"/>
          <w:numId w:val="24"/>
        </w:numPr>
        <w:tabs>
          <w:tab w:val="left" w:pos="1822"/>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经济实用</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优先选用技术成熟可靠、工程造价低、运行费用少和能耗低的处理工艺。</w:t>
      </w:r>
    </w:p>
    <w:p>
      <w:pPr>
        <w:pStyle w:val="32"/>
        <w:numPr>
          <w:ilvl w:val="0"/>
          <w:numId w:val="24"/>
        </w:numPr>
        <w:tabs>
          <w:tab w:val="left" w:pos="1822"/>
        </w:tabs>
        <w:spacing w:line="500" w:lineRule="exact"/>
        <w:ind w:left="0" w:firstLine="468" w:firstLineChars="200"/>
        <w:jc w:val="both"/>
        <w:rPr>
          <w:rFonts w:asciiTheme="minorEastAsia" w:hAnsiTheme="minorEastAsia" w:eastAsiaTheme="minorEastAsia" w:cstheme="minorEastAsia"/>
          <w:color w:val="auto"/>
          <w:spacing w:val="-3"/>
          <w:sz w:val="24"/>
          <w:szCs w:val="24"/>
        </w:rPr>
      </w:pPr>
      <w:r>
        <w:rPr>
          <w:rFonts w:hint="eastAsia" w:asciiTheme="minorEastAsia" w:hAnsiTheme="minorEastAsia" w:eastAsiaTheme="minorEastAsia" w:cstheme="minorEastAsia"/>
          <w:color w:val="auto"/>
          <w:spacing w:val="-3"/>
          <w:sz w:val="24"/>
          <w:szCs w:val="24"/>
        </w:rPr>
        <w:t>管理简便</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针对捆绑打包专业管理模式，选择能适应管理水平的工艺和设施。</w:t>
      </w:r>
    </w:p>
    <w:p>
      <w:pPr>
        <w:pStyle w:val="32"/>
        <w:numPr>
          <w:ilvl w:val="0"/>
          <w:numId w:val="24"/>
        </w:numPr>
        <w:tabs>
          <w:tab w:val="left" w:pos="1822"/>
        </w:tabs>
        <w:spacing w:line="500" w:lineRule="exact"/>
        <w:ind w:left="0" w:firstLine="468" w:firstLineChars="200"/>
        <w:jc w:val="both"/>
        <w:rPr>
          <w:rFonts w:asciiTheme="minorEastAsia" w:hAnsiTheme="minorEastAsia" w:eastAsiaTheme="minorEastAsia" w:cstheme="minorEastAsia"/>
          <w:color w:val="auto"/>
          <w:spacing w:val="-3"/>
          <w:sz w:val="24"/>
          <w:szCs w:val="24"/>
        </w:rPr>
      </w:pPr>
      <w:r>
        <w:rPr>
          <w:rFonts w:hint="eastAsia" w:asciiTheme="minorEastAsia" w:hAnsiTheme="minorEastAsia" w:eastAsiaTheme="minorEastAsia" w:cstheme="minorEastAsia"/>
          <w:color w:val="auto"/>
          <w:spacing w:val="-3"/>
          <w:sz w:val="24"/>
          <w:szCs w:val="24"/>
        </w:rPr>
        <w:t>易检耐用</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农村污水处理设施规模小，体积小，尤其一体化设备更需要重视设施性能的耐用持久性以及检修的便捷性。各地根据实际情况， 使用年限可在15~30年。</w:t>
      </w:r>
    </w:p>
    <w:p>
      <w:pPr>
        <w:pStyle w:val="32"/>
        <w:numPr>
          <w:ilvl w:val="0"/>
          <w:numId w:val="24"/>
        </w:numPr>
        <w:tabs>
          <w:tab w:val="left" w:pos="1822"/>
        </w:tabs>
        <w:spacing w:line="500" w:lineRule="exact"/>
        <w:ind w:left="0" w:firstLine="468" w:firstLineChars="200"/>
        <w:jc w:val="both"/>
        <w:rPr>
          <w:rFonts w:asciiTheme="minorEastAsia" w:hAnsiTheme="minorEastAsia" w:eastAsiaTheme="minorEastAsia" w:cstheme="minorEastAsia"/>
          <w:color w:val="auto"/>
          <w:spacing w:val="-3"/>
          <w:sz w:val="24"/>
          <w:szCs w:val="24"/>
        </w:rPr>
      </w:pPr>
      <w:r>
        <w:rPr>
          <w:rFonts w:hint="eastAsia" w:asciiTheme="minorEastAsia" w:hAnsiTheme="minorEastAsia" w:eastAsiaTheme="minorEastAsia" w:cstheme="minorEastAsia"/>
          <w:color w:val="auto"/>
          <w:spacing w:val="-3"/>
          <w:sz w:val="24"/>
          <w:szCs w:val="24"/>
        </w:rPr>
        <w:t>生态造型</w:t>
      </w:r>
    </w:p>
    <w:p>
      <w:pPr>
        <w:pStyle w:val="10"/>
        <w:spacing w:line="500" w:lineRule="exact"/>
        <w:ind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农村生态环境较好，污水处理设施整体建设要求达到生态效</w:t>
      </w:r>
      <w:r>
        <w:rPr>
          <w:rFonts w:hint="eastAsia" w:asciiTheme="minorEastAsia" w:hAnsiTheme="minorEastAsia" w:eastAsiaTheme="minorEastAsia" w:cstheme="minorEastAsia"/>
          <w:color w:val="auto"/>
          <w:spacing w:val="-6"/>
          <w:sz w:val="24"/>
          <w:szCs w:val="24"/>
        </w:rPr>
        <w:t>果，与周边环境融合，重视臭气处理，避免污泥和污水外露引起居</w:t>
      </w:r>
      <w:r>
        <w:rPr>
          <w:rFonts w:hint="eastAsia" w:asciiTheme="minorEastAsia" w:hAnsiTheme="minorEastAsia" w:eastAsiaTheme="minorEastAsia" w:cstheme="minorEastAsia"/>
          <w:color w:val="auto"/>
          <w:spacing w:val="-5"/>
          <w:sz w:val="24"/>
          <w:szCs w:val="24"/>
        </w:rPr>
        <w:t>民厌恶心理，避免出现避邻问题，把污水处理设施建成一个生态景</w:t>
      </w:r>
      <w:r>
        <w:rPr>
          <w:rFonts w:hint="eastAsia" w:asciiTheme="minorEastAsia" w:hAnsiTheme="minorEastAsia" w:eastAsiaTheme="minorEastAsia" w:cstheme="minorEastAsia"/>
          <w:color w:val="auto"/>
          <w:sz w:val="24"/>
          <w:szCs w:val="24"/>
        </w:rPr>
        <w:t>观作品。</w:t>
      </w:r>
    </w:p>
    <w:p>
      <w:pPr>
        <w:pStyle w:val="32"/>
        <w:numPr>
          <w:ilvl w:val="1"/>
          <w:numId w:val="22"/>
        </w:numPr>
        <w:tabs>
          <w:tab w:val="left" w:pos="1548"/>
        </w:tabs>
        <w:spacing w:line="500" w:lineRule="exact"/>
        <w:ind w:left="0" w:firstLine="0"/>
        <w:jc w:val="both"/>
        <w:outlineLvl w:val="1"/>
        <w:rPr>
          <w:rFonts w:asciiTheme="minorEastAsia" w:hAnsiTheme="minorEastAsia" w:eastAsiaTheme="minorEastAsia" w:cstheme="minorEastAsia"/>
          <w:b/>
          <w:color w:val="auto"/>
          <w:sz w:val="24"/>
          <w:szCs w:val="24"/>
        </w:rPr>
      </w:pPr>
      <w:bookmarkStart w:id="71" w:name="_Toc9617"/>
      <w:bookmarkStart w:id="72" w:name="_Toc27141"/>
      <w:r>
        <w:rPr>
          <w:rFonts w:hint="eastAsia" w:asciiTheme="minorEastAsia" w:hAnsiTheme="minorEastAsia" w:eastAsiaTheme="minorEastAsia" w:cstheme="minorEastAsia"/>
          <w:b/>
          <w:color w:val="auto"/>
          <w:sz w:val="24"/>
          <w:szCs w:val="24"/>
        </w:rPr>
        <w:t>污泥处理工艺选择</w:t>
      </w:r>
      <w:bookmarkEnd w:id="71"/>
      <w:bookmarkEnd w:id="72"/>
    </w:p>
    <w:p>
      <w:pPr>
        <w:pStyle w:val="32"/>
        <w:numPr>
          <w:ilvl w:val="2"/>
          <w:numId w:val="22"/>
        </w:numPr>
        <w:tabs>
          <w:tab w:val="left" w:pos="2031"/>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污泥处理的目的</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污水处理过程中产生的污泥，有机物含量较高，含有大量病菌及寄生虫，并且具有不稳定、易腐化的特点，若不经妥善处理和处置将造成二次污染，因此必须对污泥进行妥善的处理处置。污泥处理的目的有：</w:t>
      </w:r>
    </w:p>
    <w:p>
      <w:pPr>
        <w:pStyle w:val="32"/>
        <w:numPr>
          <w:ilvl w:val="0"/>
          <w:numId w:val="25"/>
        </w:numPr>
        <w:tabs>
          <w:tab w:val="left" w:pos="2000"/>
        </w:tabs>
        <w:spacing w:line="500" w:lineRule="exact"/>
        <w:ind w:left="0" w:firstLine="448" w:firstLineChars="200"/>
        <w:jc w:val="both"/>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rPr>
        <w:t>减少有机物含量，使污泥稳定化；</w:t>
      </w:r>
    </w:p>
    <w:p>
      <w:pPr>
        <w:pStyle w:val="32"/>
        <w:numPr>
          <w:ilvl w:val="0"/>
          <w:numId w:val="25"/>
        </w:numPr>
        <w:tabs>
          <w:tab w:val="left" w:pos="2000"/>
        </w:tabs>
        <w:spacing w:line="500" w:lineRule="exact"/>
        <w:ind w:left="0" w:firstLine="448" w:firstLineChars="200"/>
        <w:jc w:val="both"/>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rPr>
        <w:t xml:space="preserve">减少污泥体积，降低污泥后续处置费用； </w:t>
      </w:r>
    </w:p>
    <w:p>
      <w:pPr>
        <w:pStyle w:val="32"/>
        <w:numPr>
          <w:ilvl w:val="0"/>
          <w:numId w:val="25"/>
        </w:numPr>
        <w:tabs>
          <w:tab w:val="left" w:pos="2000"/>
        </w:tabs>
        <w:spacing w:line="500" w:lineRule="exact"/>
        <w:ind w:left="0" w:firstLine="448" w:firstLineChars="200"/>
        <w:jc w:val="both"/>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rPr>
        <w:t>减少污泥中有害物质；</w:t>
      </w:r>
    </w:p>
    <w:p>
      <w:pPr>
        <w:pStyle w:val="32"/>
        <w:numPr>
          <w:ilvl w:val="0"/>
          <w:numId w:val="25"/>
        </w:numPr>
        <w:tabs>
          <w:tab w:val="left" w:pos="2000"/>
        </w:tabs>
        <w:spacing w:line="500" w:lineRule="exact"/>
        <w:ind w:left="0" w:firstLine="448" w:firstLineChars="200"/>
        <w:jc w:val="both"/>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rPr>
        <w:t>利用污泥中可用物质，化害为利。</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综合起来说，就是通过污泥的减量化、无害化和资源化，实现污泥的综合利用。</w:t>
      </w:r>
    </w:p>
    <w:p>
      <w:pPr>
        <w:pStyle w:val="32"/>
        <w:numPr>
          <w:ilvl w:val="2"/>
          <w:numId w:val="22"/>
        </w:numPr>
        <w:tabs>
          <w:tab w:val="left" w:pos="1889"/>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污泥处理设计原则</w:t>
      </w:r>
    </w:p>
    <w:p>
      <w:pPr>
        <w:pStyle w:val="32"/>
        <w:numPr>
          <w:ilvl w:val="0"/>
          <w:numId w:val="26"/>
        </w:numPr>
        <w:tabs>
          <w:tab w:val="left" w:pos="1402"/>
        </w:tabs>
        <w:spacing w:line="500" w:lineRule="exact"/>
        <w:ind w:left="0"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根据污水处理工艺，按其产生的污泥量、污泥性质，结合罗</w:t>
      </w:r>
      <w:r>
        <w:rPr>
          <w:rFonts w:hint="eastAsia" w:asciiTheme="minorEastAsia" w:hAnsiTheme="minorEastAsia" w:eastAsiaTheme="minorEastAsia" w:cstheme="minorEastAsia"/>
          <w:color w:val="auto"/>
          <w:spacing w:val="-5"/>
          <w:sz w:val="24"/>
          <w:szCs w:val="24"/>
        </w:rPr>
        <w:t>定市的自然环境及处置条件选用符合实际的污泥处理工艺；</w:t>
      </w:r>
    </w:p>
    <w:p>
      <w:pPr>
        <w:pStyle w:val="32"/>
        <w:numPr>
          <w:ilvl w:val="0"/>
          <w:numId w:val="26"/>
        </w:numPr>
        <w:tabs>
          <w:tab w:val="left" w:pos="1402"/>
        </w:tabs>
        <w:spacing w:line="500" w:lineRule="exact"/>
        <w:ind w:left="0"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 xml:space="preserve">根据城市污水厂污泥排出标准，采用合适的脱水方法，脱水后污泥含固率大于 </w:t>
      </w:r>
      <w:r>
        <w:rPr>
          <w:rFonts w:hint="eastAsia" w:asciiTheme="minorEastAsia" w:hAnsiTheme="minorEastAsia" w:eastAsiaTheme="minorEastAsia" w:cstheme="minorEastAsia"/>
          <w:color w:val="auto"/>
          <w:sz w:val="24"/>
          <w:szCs w:val="24"/>
        </w:rPr>
        <w:t>40%；</w:t>
      </w:r>
    </w:p>
    <w:p>
      <w:pPr>
        <w:pStyle w:val="32"/>
        <w:numPr>
          <w:ilvl w:val="0"/>
          <w:numId w:val="26"/>
        </w:numPr>
        <w:tabs>
          <w:tab w:val="left" w:pos="1402"/>
        </w:tabs>
        <w:spacing w:line="500" w:lineRule="exact"/>
        <w:ind w:left="0"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 xml:space="preserve">妥善处置污水处理过程中产生的栅渣、垃圾、沉砂和污泥， </w:t>
      </w:r>
      <w:r>
        <w:rPr>
          <w:rFonts w:hint="eastAsia" w:asciiTheme="minorEastAsia" w:hAnsiTheme="minorEastAsia" w:eastAsiaTheme="minorEastAsia" w:cstheme="minorEastAsia"/>
          <w:color w:val="auto"/>
          <w:spacing w:val="-5"/>
          <w:sz w:val="24"/>
          <w:szCs w:val="24"/>
        </w:rPr>
        <w:t>避免二次污染。</w:t>
      </w:r>
    </w:p>
    <w:p>
      <w:pPr>
        <w:pStyle w:val="32"/>
        <w:numPr>
          <w:ilvl w:val="2"/>
          <w:numId w:val="22"/>
        </w:numPr>
        <w:tabs>
          <w:tab w:val="left" w:pos="1769"/>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污泥处理处置方法</w:t>
      </w:r>
    </w:p>
    <w:p>
      <w:pPr>
        <w:pStyle w:val="10"/>
        <w:spacing w:line="500" w:lineRule="exact"/>
        <w:ind w:firstLine="468" w:firstLineChars="200"/>
        <w:jc w:val="both"/>
        <w:rPr>
          <w:rFonts w:asciiTheme="minorEastAsia" w:hAnsiTheme="minorEastAsia" w:eastAsiaTheme="minorEastAsia" w:cstheme="minorEastAsia"/>
          <w:color w:val="auto"/>
          <w:spacing w:val="-3"/>
          <w:sz w:val="24"/>
          <w:szCs w:val="24"/>
        </w:rPr>
      </w:pPr>
      <w:r>
        <w:rPr>
          <w:rFonts w:hint="eastAsia" w:asciiTheme="minorEastAsia" w:hAnsiTheme="minorEastAsia" w:eastAsiaTheme="minorEastAsia" w:cstheme="minorEastAsia"/>
          <w:color w:val="auto"/>
          <w:spacing w:val="-3"/>
          <w:sz w:val="24"/>
          <w:szCs w:val="24"/>
        </w:rPr>
        <w:t>污泥是污水处理过程中的产物，污泥处理目的在于降低污泥含水率，减少污泥体积，达到性质稳定，并为进一步处置和综合利用创造条件，其一般流程为：浓缩→消化→脱水→处置。目前国内外污泥处置方式主要有农用处理、填埋、焚烧、作建材利用等。</w:t>
      </w:r>
    </w:p>
    <w:p>
      <w:pPr>
        <w:pStyle w:val="32"/>
        <w:numPr>
          <w:ilvl w:val="3"/>
          <w:numId w:val="22"/>
        </w:numPr>
        <w:tabs>
          <w:tab w:val="left" w:pos="2000"/>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污泥堆肥农用处理</w:t>
      </w:r>
    </w:p>
    <w:p>
      <w:pPr>
        <w:pStyle w:val="10"/>
        <w:spacing w:line="500" w:lineRule="exact"/>
        <w:ind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污泥中含有的氮、磷、钾是农作物生长所必需的肥料成分，污 泥中丰富的有机腐殖质（</w:t>
      </w:r>
      <w:r>
        <w:rPr>
          <w:rFonts w:hint="eastAsia" w:asciiTheme="minorEastAsia" w:hAnsiTheme="minorEastAsia" w:eastAsiaTheme="minorEastAsia" w:cstheme="minorEastAsia"/>
          <w:color w:val="auto"/>
          <w:sz w:val="24"/>
          <w:szCs w:val="24"/>
        </w:rPr>
        <w:t>初次沉淀污泥中约含33</w:t>
      </w:r>
      <w:r>
        <w:rPr>
          <w:rFonts w:hint="eastAsia" w:asciiTheme="minorEastAsia" w:hAnsiTheme="minorEastAsia" w:eastAsiaTheme="minorEastAsia" w:cstheme="minorEastAsia"/>
          <w:color w:val="auto"/>
          <w:spacing w:val="-2"/>
          <w:sz w:val="24"/>
          <w:szCs w:val="24"/>
        </w:rPr>
        <w:t>%，活性污泥中约</w:t>
      </w:r>
      <w:r>
        <w:rPr>
          <w:rFonts w:hint="eastAsia" w:asciiTheme="minorEastAsia" w:hAnsiTheme="minorEastAsia" w:eastAsiaTheme="minorEastAsia" w:cstheme="minorEastAsia"/>
          <w:color w:val="auto"/>
          <w:spacing w:val="2"/>
          <w:sz w:val="24"/>
          <w:szCs w:val="24"/>
        </w:rPr>
        <w:t>含</w:t>
      </w:r>
      <w:r>
        <w:rPr>
          <w:rFonts w:hint="eastAsia" w:asciiTheme="minorEastAsia" w:hAnsiTheme="minorEastAsia" w:eastAsiaTheme="minorEastAsia" w:cstheme="minorEastAsia"/>
          <w:color w:val="auto"/>
          <w:sz w:val="24"/>
          <w:szCs w:val="24"/>
        </w:rPr>
        <w:t>41%）</w:t>
      </w:r>
      <w:r>
        <w:rPr>
          <w:rFonts w:hint="eastAsia" w:asciiTheme="minorEastAsia" w:hAnsiTheme="minorEastAsia" w:eastAsiaTheme="minorEastAsia" w:cstheme="minorEastAsia"/>
          <w:color w:val="auto"/>
          <w:spacing w:val="-3"/>
          <w:sz w:val="24"/>
          <w:szCs w:val="24"/>
        </w:rPr>
        <w:t>是良好的土壤改良剂。我国城市污水处理厂的各种污泥中，所含肥料成分一般情况见下表。</w:t>
      </w:r>
    </w:p>
    <w:p>
      <w:pPr>
        <w:spacing w:line="500" w:lineRule="exact"/>
        <w:ind w:firstLine="422" w:firstLineChars="200"/>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表4.9-1 污泥的肥料成分</w:t>
      </w:r>
    </w:p>
    <w:tbl>
      <w:tblPr>
        <w:tblStyle w:val="27"/>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561"/>
        <w:gridCol w:w="1205"/>
        <w:gridCol w:w="1207"/>
        <w:gridCol w:w="1205"/>
        <w:gridCol w:w="1207"/>
        <w:gridCol w:w="1205"/>
        <w:gridCol w:w="120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2" w:hRule="atLeast"/>
        </w:trPr>
        <w:tc>
          <w:tcPr>
            <w:tcW w:w="887" w:type="pct"/>
            <w:tcBorders>
              <w:right w:val="single" w:color="000000" w:sz="4" w:space="0"/>
            </w:tcBorders>
            <w:vAlign w:val="center"/>
          </w:tcPr>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污泥类别</w:t>
            </w:r>
          </w:p>
        </w:tc>
        <w:tc>
          <w:tcPr>
            <w:tcW w:w="685" w:type="pct"/>
            <w:tcBorders>
              <w:left w:val="single" w:color="000000" w:sz="4" w:space="0"/>
              <w:right w:val="single" w:color="000000" w:sz="4" w:space="0"/>
            </w:tcBorders>
            <w:vAlign w:val="center"/>
          </w:tcPr>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w w:val="97"/>
                <w:sz w:val="21"/>
                <w:szCs w:val="21"/>
              </w:rPr>
              <w:t>氮</w:t>
            </w:r>
          </w:p>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w:t>
            </w:r>
          </w:p>
        </w:tc>
        <w:tc>
          <w:tcPr>
            <w:tcW w:w="686" w:type="pct"/>
            <w:tcBorders>
              <w:left w:val="single" w:color="000000" w:sz="4" w:space="0"/>
              <w:right w:val="single" w:color="000000" w:sz="4" w:space="0"/>
            </w:tcBorders>
            <w:vAlign w:val="center"/>
          </w:tcPr>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pacing w:val="-17"/>
                <w:sz w:val="21"/>
                <w:szCs w:val="21"/>
              </w:rPr>
              <w:t xml:space="preserve">磷（以 </w:t>
            </w:r>
            <w:r>
              <w:rPr>
                <w:rFonts w:hint="eastAsia" w:asciiTheme="minorEastAsia" w:hAnsiTheme="minorEastAsia" w:eastAsiaTheme="minorEastAsia" w:cstheme="minorEastAsia"/>
                <w:b/>
                <w:color w:val="auto"/>
                <w:sz w:val="21"/>
                <w:szCs w:val="21"/>
              </w:rPr>
              <w:t>P2O5</w:t>
            </w:r>
          </w:p>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计）（%）</w:t>
            </w:r>
          </w:p>
        </w:tc>
        <w:tc>
          <w:tcPr>
            <w:tcW w:w="685" w:type="pct"/>
            <w:tcBorders>
              <w:left w:val="single" w:color="000000" w:sz="4" w:space="0"/>
              <w:right w:val="single" w:color="000000" w:sz="4" w:space="0"/>
            </w:tcBorders>
            <w:vAlign w:val="center"/>
          </w:tcPr>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w w:val="97"/>
                <w:sz w:val="21"/>
                <w:szCs w:val="21"/>
              </w:rPr>
              <w:t>钾</w:t>
            </w:r>
          </w:p>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w:t>
            </w:r>
          </w:p>
        </w:tc>
        <w:tc>
          <w:tcPr>
            <w:tcW w:w="686" w:type="pct"/>
            <w:tcBorders>
              <w:left w:val="single" w:color="000000" w:sz="4" w:space="0"/>
              <w:right w:val="single" w:color="000000" w:sz="4" w:space="0"/>
            </w:tcBorders>
            <w:vAlign w:val="center"/>
          </w:tcPr>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有机物</w:t>
            </w:r>
          </w:p>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w:t>
            </w:r>
          </w:p>
        </w:tc>
        <w:tc>
          <w:tcPr>
            <w:tcW w:w="685" w:type="pct"/>
            <w:tcBorders>
              <w:left w:val="single" w:color="000000" w:sz="4" w:space="0"/>
              <w:right w:val="single" w:color="000000" w:sz="4" w:space="0"/>
            </w:tcBorders>
            <w:vAlign w:val="center"/>
          </w:tcPr>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灰分</w:t>
            </w:r>
          </w:p>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w:t>
            </w:r>
          </w:p>
        </w:tc>
        <w:tc>
          <w:tcPr>
            <w:tcW w:w="686" w:type="pct"/>
            <w:tcBorders>
              <w:left w:val="single" w:color="000000" w:sz="4" w:space="0"/>
            </w:tcBorders>
            <w:vAlign w:val="center"/>
          </w:tcPr>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脂肪酸</w:t>
            </w:r>
          </w:p>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9" w:hRule="atLeast"/>
        </w:trPr>
        <w:tc>
          <w:tcPr>
            <w:tcW w:w="887" w:type="pct"/>
            <w:tcBorders>
              <w:bottom w:val="single" w:color="000000" w:sz="4" w:space="0"/>
              <w:right w:val="single" w:color="000000" w:sz="4" w:space="0"/>
            </w:tcBorders>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初次沉淀污泥</w:t>
            </w:r>
          </w:p>
        </w:tc>
        <w:tc>
          <w:tcPr>
            <w:tcW w:w="685" w:type="pct"/>
            <w:tcBorders>
              <w:left w:val="single" w:color="000000" w:sz="4" w:space="0"/>
              <w:bottom w:val="single" w:color="000000" w:sz="4" w:space="0"/>
              <w:right w:val="single" w:color="000000" w:sz="4" w:space="0"/>
            </w:tcBorders>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w:t>
            </w:r>
          </w:p>
        </w:tc>
        <w:tc>
          <w:tcPr>
            <w:tcW w:w="686" w:type="pct"/>
            <w:tcBorders>
              <w:left w:val="single" w:color="000000" w:sz="4" w:space="0"/>
              <w:bottom w:val="single" w:color="000000" w:sz="4" w:space="0"/>
              <w:right w:val="single" w:color="000000" w:sz="4" w:space="0"/>
            </w:tcBorders>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1.0～3.0</w:t>
            </w:r>
          </w:p>
        </w:tc>
        <w:tc>
          <w:tcPr>
            <w:tcW w:w="685" w:type="pct"/>
            <w:tcBorders>
              <w:left w:val="single" w:color="000000" w:sz="4" w:space="0"/>
              <w:bottom w:val="single" w:color="000000" w:sz="4" w:space="0"/>
              <w:right w:val="single" w:color="000000" w:sz="4" w:space="0"/>
            </w:tcBorders>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0.1～0.3</w:t>
            </w:r>
          </w:p>
        </w:tc>
        <w:tc>
          <w:tcPr>
            <w:tcW w:w="686" w:type="pct"/>
            <w:tcBorders>
              <w:left w:val="single" w:color="000000" w:sz="4" w:space="0"/>
              <w:bottom w:val="single" w:color="000000" w:sz="4" w:space="0"/>
              <w:right w:val="single" w:color="000000" w:sz="4" w:space="0"/>
            </w:tcBorders>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50～60</w:t>
            </w:r>
          </w:p>
        </w:tc>
        <w:tc>
          <w:tcPr>
            <w:tcW w:w="685" w:type="pct"/>
            <w:tcBorders>
              <w:left w:val="single" w:color="000000" w:sz="4" w:space="0"/>
              <w:bottom w:val="single" w:color="000000" w:sz="4" w:space="0"/>
              <w:right w:val="single" w:color="000000" w:sz="4" w:space="0"/>
            </w:tcBorders>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50～40</w:t>
            </w:r>
          </w:p>
        </w:tc>
        <w:tc>
          <w:tcPr>
            <w:tcW w:w="686" w:type="pct"/>
            <w:tcBorders>
              <w:left w:val="single" w:color="000000" w:sz="4" w:space="0"/>
              <w:bottom w:val="single" w:color="000000" w:sz="4" w:space="0"/>
            </w:tcBorders>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16～20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9" w:hRule="atLeast"/>
        </w:trPr>
        <w:tc>
          <w:tcPr>
            <w:tcW w:w="887" w:type="pct"/>
            <w:tcBorders>
              <w:top w:val="single" w:color="000000" w:sz="4" w:space="0"/>
              <w:right w:val="single" w:color="000000" w:sz="4" w:space="0"/>
            </w:tcBorders>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活性污泥</w:t>
            </w:r>
          </w:p>
        </w:tc>
        <w:tc>
          <w:tcPr>
            <w:tcW w:w="685" w:type="pct"/>
            <w:tcBorders>
              <w:top w:val="single" w:color="000000" w:sz="4" w:space="0"/>
              <w:left w:val="single" w:color="000000" w:sz="4" w:space="0"/>
              <w:right w:val="single" w:color="000000" w:sz="4" w:space="0"/>
            </w:tcBorders>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3.5～7.15</w:t>
            </w:r>
          </w:p>
        </w:tc>
        <w:tc>
          <w:tcPr>
            <w:tcW w:w="686" w:type="pct"/>
            <w:tcBorders>
              <w:top w:val="single" w:color="000000" w:sz="4" w:space="0"/>
              <w:left w:val="single" w:color="000000" w:sz="4" w:space="0"/>
              <w:right w:val="single" w:color="000000" w:sz="4" w:space="0"/>
            </w:tcBorders>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3.3～4.97</w:t>
            </w:r>
          </w:p>
        </w:tc>
        <w:tc>
          <w:tcPr>
            <w:tcW w:w="685" w:type="pct"/>
            <w:tcBorders>
              <w:top w:val="single" w:color="000000" w:sz="4" w:space="0"/>
              <w:left w:val="single" w:color="000000" w:sz="4" w:space="0"/>
              <w:right w:val="single" w:color="000000" w:sz="4" w:space="0"/>
            </w:tcBorders>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0.22～0.44</w:t>
            </w:r>
          </w:p>
        </w:tc>
        <w:tc>
          <w:tcPr>
            <w:tcW w:w="686" w:type="pct"/>
            <w:tcBorders>
              <w:top w:val="single" w:color="000000" w:sz="4" w:space="0"/>
              <w:left w:val="single" w:color="000000" w:sz="4" w:space="0"/>
              <w:right w:val="single" w:color="000000" w:sz="4" w:space="0"/>
            </w:tcBorders>
            <w:vAlign w:val="center"/>
          </w:tcPr>
          <w:p>
            <w:pPr>
              <w:pStyle w:val="33"/>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60～70</w:t>
            </w:r>
          </w:p>
        </w:tc>
        <w:tc>
          <w:tcPr>
            <w:tcW w:w="685" w:type="pct"/>
            <w:tcBorders>
              <w:top w:val="single" w:color="000000" w:sz="4" w:space="0"/>
              <w:left w:val="single" w:color="000000" w:sz="4" w:space="0"/>
              <w:right w:val="single" w:color="000000" w:sz="4" w:space="0"/>
            </w:tcBorders>
            <w:vAlign w:val="center"/>
          </w:tcPr>
          <w:p>
            <w:pPr>
              <w:pStyle w:val="33"/>
              <w:jc w:val="center"/>
              <w:rPr>
                <w:rFonts w:asciiTheme="minorEastAsia" w:hAnsiTheme="minorEastAsia" w:eastAsiaTheme="minorEastAsia" w:cstheme="minorEastAsia"/>
                <w:color w:val="auto"/>
                <w:sz w:val="21"/>
                <w:szCs w:val="21"/>
              </w:rPr>
            </w:pPr>
          </w:p>
        </w:tc>
        <w:tc>
          <w:tcPr>
            <w:tcW w:w="686" w:type="pct"/>
            <w:tcBorders>
              <w:top w:val="single" w:color="000000" w:sz="4" w:space="0"/>
              <w:left w:val="single" w:color="000000" w:sz="4" w:space="0"/>
            </w:tcBorders>
            <w:vAlign w:val="center"/>
          </w:tcPr>
          <w:p>
            <w:pPr>
              <w:pStyle w:val="33"/>
              <w:jc w:val="center"/>
              <w:rPr>
                <w:rFonts w:asciiTheme="minorEastAsia" w:hAnsiTheme="minorEastAsia" w:eastAsiaTheme="minorEastAsia" w:cstheme="minorEastAsia"/>
                <w:color w:val="auto"/>
                <w:sz w:val="21"/>
                <w:szCs w:val="21"/>
              </w:rPr>
            </w:pPr>
          </w:p>
        </w:tc>
      </w:tr>
    </w:tbl>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生活污水处理厂污泥通过堆肥后施用于农田，不仅充分利用了污泥中丰富的N、P、K 和较高含量的有机物，解决了困扰污水处理厂正常运行的污泥问题，而且促进了植物、农作物、园林果树等生长，改良了土壤土质。但污泥堆肥需要占用较大的场地，目前污泥农用市场需求并不充分，较难形成规模经济效益。</w:t>
      </w:r>
    </w:p>
    <w:p>
      <w:pPr>
        <w:pStyle w:val="32"/>
        <w:numPr>
          <w:ilvl w:val="3"/>
          <w:numId w:val="22"/>
        </w:numPr>
        <w:tabs>
          <w:tab w:val="left" w:pos="2000"/>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污泥卫生填埋</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污泥的卫生填埋是目前国内污水处理厂解决污泥出路的主要途径，这种处置方法简单、易行、成本低、适应性强。但根据环保部门要求，垃圾填埋场要求进场的污泥含水率必须在 60%以下才能接收，而经过一般脱水处理后的泥饼含水率仍有 80%，必须经过进一步处理后方能进入垃圾填埋场进行最终处置。污泥填埋还存在一些问题，由于污泥稳定性差，会腐烂变质产生臭气，污泥中的水分渗漏易污染地下水，最终将导致污泥填埋处置成本逐年提高。</w:t>
      </w:r>
    </w:p>
    <w:p>
      <w:pPr>
        <w:pStyle w:val="32"/>
        <w:numPr>
          <w:ilvl w:val="3"/>
          <w:numId w:val="22"/>
        </w:numPr>
        <w:tabs>
          <w:tab w:val="left" w:pos="2000"/>
        </w:tabs>
        <w:spacing w:line="500" w:lineRule="exact"/>
        <w:ind w:left="0" w:firstLine="46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4"/>
          <w:sz w:val="24"/>
          <w:szCs w:val="24"/>
        </w:rPr>
        <w:t>污泥的焚烧</w:t>
      </w:r>
    </w:p>
    <w:p>
      <w:pPr>
        <w:pStyle w:val="10"/>
        <w:spacing w:line="500" w:lineRule="exact"/>
        <w:ind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湿污泥干化后再直接焚烧应用的较为普遍，没有经过干化的污</w:t>
      </w:r>
      <w:r>
        <w:rPr>
          <w:rFonts w:hint="eastAsia" w:asciiTheme="minorEastAsia" w:hAnsiTheme="minorEastAsia" w:eastAsiaTheme="minorEastAsia" w:cstheme="minorEastAsia"/>
          <w:color w:val="auto"/>
          <w:spacing w:val="-5"/>
          <w:sz w:val="24"/>
          <w:szCs w:val="24"/>
        </w:rPr>
        <w:t>泥直接进行焚烧不仅十分困难，而且在能耗上也是极不经济的。另外以焚烧为核心的污泥处理方法能使有机物全部碳化，杀死病原体，可最大限度地减少污泥体积；但是其缺点在于处理设施投资大，处理费用高，设备维护成本高，而且产生强致癌物质二恶英。</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综上可知，上述三种污泥处理的方法中采用污泥农用处理的方法最为妥当合理，既保护了环境，又充分利用了资源。本项目镇区污水处理设施产生的污泥宜采用堆肥方法处置。</w:t>
      </w:r>
    </w:p>
    <w:p>
      <w:pPr>
        <w:pStyle w:val="32"/>
        <w:numPr>
          <w:ilvl w:val="2"/>
          <w:numId w:val="22"/>
        </w:numPr>
        <w:tabs>
          <w:tab w:val="left" w:pos="1796"/>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污泥出路</w:t>
      </w:r>
    </w:p>
    <w:p>
      <w:pPr>
        <w:pStyle w:val="10"/>
        <w:spacing w:line="500" w:lineRule="exact"/>
        <w:ind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本项目各污水处理设施规模小，单个污水设施产生污泥量极</w:t>
      </w:r>
      <w:r>
        <w:rPr>
          <w:rFonts w:hint="eastAsia" w:asciiTheme="minorEastAsia" w:hAnsiTheme="minorEastAsia" w:eastAsiaTheme="minorEastAsia" w:cstheme="minorEastAsia"/>
          <w:color w:val="auto"/>
          <w:spacing w:val="-6"/>
          <w:sz w:val="24"/>
          <w:szCs w:val="24"/>
        </w:rPr>
        <w:t>少，单独处理成本较高。因此，建议由运营公司安排定期抽吸并运</w:t>
      </w:r>
      <w:r>
        <w:rPr>
          <w:rFonts w:hint="eastAsia" w:asciiTheme="minorEastAsia" w:hAnsiTheme="minorEastAsia" w:eastAsiaTheme="minorEastAsia" w:cstheme="minorEastAsia"/>
          <w:color w:val="auto"/>
          <w:spacing w:val="-5"/>
          <w:sz w:val="24"/>
          <w:szCs w:val="24"/>
        </w:rPr>
        <w:t>输去集中处理，以增加集中处理设施的使用率，最终的污泥处理方案由中标单位进行统一规划，并满足环保部门要求。</w:t>
      </w:r>
    </w:p>
    <w:p>
      <w:pPr>
        <w:pStyle w:val="2"/>
        <w:numPr>
          <w:ilvl w:val="1"/>
          <w:numId w:val="22"/>
        </w:numPr>
        <w:tabs>
          <w:tab w:val="left" w:pos="1400"/>
        </w:tabs>
        <w:spacing w:before="0" w:line="500" w:lineRule="exact"/>
        <w:ind w:left="0" w:firstLine="0"/>
        <w:jc w:val="both"/>
        <w:rPr>
          <w:rFonts w:asciiTheme="minorEastAsia" w:hAnsiTheme="minorEastAsia" w:eastAsiaTheme="minorEastAsia" w:cstheme="minorEastAsia"/>
          <w:color w:val="auto"/>
          <w:sz w:val="24"/>
          <w:szCs w:val="24"/>
        </w:rPr>
      </w:pPr>
      <w:bookmarkStart w:id="73" w:name="4.10管材选择"/>
      <w:bookmarkEnd w:id="73"/>
      <w:bookmarkStart w:id="74" w:name="_Toc15419"/>
      <w:bookmarkStart w:id="75" w:name="_Toc9986"/>
      <w:r>
        <w:rPr>
          <w:rFonts w:hint="eastAsia" w:asciiTheme="minorEastAsia" w:hAnsiTheme="minorEastAsia" w:eastAsiaTheme="minorEastAsia" w:cstheme="minorEastAsia"/>
          <w:color w:val="auto"/>
          <w:sz w:val="24"/>
          <w:szCs w:val="24"/>
        </w:rPr>
        <w:t>管材选择</w:t>
      </w:r>
      <w:bookmarkEnd w:id="74"/>
      <w:bookmarkEnd w:id="75"/>
    </w:p>
    <w:p>
      <w:pPr>
        <w:pStyle w:val="10"/>
        <w:spacing w:line="500" w:lineRule="exact"/>
        <w:ind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 xml:space="preserve">在污水工程中，管道工程投资在工程总投资中占有很大的比 </w:t>
      </w:r>
      <w:r>
        <w:rPr>
          <w:rFonts w:hint="eastAsia" w:asciiTheme="minorEastAsia" w:hAnsiTheme="minorEastAsia" w:eastAsiaTheme="minorEastAsia" w:cstheme="minorEastAsia"/>
          <w:color w:val="auto"/>
          <w:spacing w:val="-6"/>
          <w:sz w:val="24"/>
          <w:szCs w:val="24"/>
        </w:rPr>
        <w:t>例，并且污水管道城属于市地下永久性隐蔽工程设施，要求具有很</w:t>
      </w:r>
      <w:r>
        <w:rPr>
          <w:rFonts w:hint="eastAsia" w:asciiTheme="minorEastAsia" w:hAnsiTheme="minorEastAsia" w:eastAsiaTheme="minorEastAsia" w:cstheme="minorEastAsia"/>
          <w:color w:val="auto"/>
          <w:sz w:val="24"/>
          <w:szCs w:val="24"/>
        </w:rPr>
        <w:t>高的安全可靠性。</w:t>
      </w:r>
    </w:p>
    <w:p>
      <w:pPr>
        <w:pStyle w:val="32"/>
        <w:numPr>
          <w:ilvl w:val="2"/>
          <w:numId w:val="22"/>
        </w:numPr>
        <w:tabs>
          <w:tab w:val="left" w:pos="1856"/>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对管材的要求</w:t>
      </w:r>
    </w:p>
    <w:p>
      <w:pPr>
        <w:pStyle w:val="32"/>
        <w:numPr>
          <w:ilvl w:val="3"/>
          <w:numId w:val="22"/>
        </w:numPr>
        <w:tabs>
          <w:tab w:val="left" w:pos="1402"/>
        </w:tabs>
        <w:spacing w:line="500" w:lineRule="exact"/>
        <w:ind w:left="0"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排水管渠的材料必须满足相应国家质量标准要求，才能保证</w:t>
      </w:r>
      <w:r>
        <w:rPr>
          <w:rFonts w:hint="eastAsia" w:asciiTheme="minorEastAsia" w:hAnsiTheme="minorEastAsia" w:eastAsiaTheme="minorEastAsia" w:cstheme="minorEastAsia"/>
          <w:color w:val="auto"/>
          <w:spacing w:val="-5"/>
          <w:sz w:val="24"/>
          <w:szCs w:val="24"/>
        </w:rPr>
        <w:t>正常的排水功能。</w:t>
      </w:r>
    </w:p>
    <w:p>
      <w:pPr>
        <w:pStyle w:val="32"/>
        <w:numPr>
          <w:ilvl w:val="3"/>
          <w:numId w:val="22"/>
        </w:numPr>
        <w:tabs>
          <w:tab w:val="left" w:pos="1402"/>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排水管渠必须具有足够的强度，以承受外部荷载和内部水</w:t>
      </w:r>
      <w:r>
        <w:rPr>
          <w:rFonts w:hint="eastAsia" w:asciiTheme="minorEastAsia" w:hAnsiTheme="minorEastAsia" w:eastAsiaTheme="minorEastAsia" w:cstheme="minorEastAsia"/>
          <w:color w:val="auto"/>
          <w:sz w:val="24"/>
          <w:szCs w:val="24"/>
        </w:rPr>
        <w:t>压。</w:t>
      </w:r>
    </w:p>
    <w:p>
      <w:pPr>
        <w:pStyle w:val="32"/>
        <w:numPr>
          <w:ilvl w:val="3"/>
          <w:numId w:val="22"/>
        </w:numPr>
        <w:tabs>
          <w:tab w:val="left" w:pos="1402"/>
        </w:tabs>
        <w:spacing w:line="500" w:lineRule="exact"/>
        <w:ind w:left="0"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排水管渠必须能抵抗污水中杂质冲刷和磨琢。也应有抗腐蚀</w:t>
      </w:r>
      <w:r>
        <w:rPr>
          <w:rFonts w:hint="eastAsia" w:asciiTheme="minorEastAsia" w:hAnsiTheme="minorEastAsia" w:eastAsiaTheme="minorEastAsia" w:cstheme="minorEastAsia"/>
          <w:color w:val="auto"/>
          <w:spacing w:val="-5"/>
          <w:sz w:val="24"/>
          <w:szCs w:val="24"/>
        </w:rPr>
        <w:t>的功能，特别对有某些腐蚀性的工业废水。</w:t>
      </w:r>
    </w:p>
    <w:p>
      <w:pPr>
        <w:pStyle w:val="32"/>
        <w:numPr>
          <w:ilvl w:val="3"/>
          <w:numId w:val="22"/>
        </w:numPr>
        <w:tabs>
          <w:tab w:val="left" w:pos="1402"/>
        </w:tabs>
        <w:spacing w:line="500" w:lineRule="exact"/>
        <w:ind w:left="0"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排水管渠必须不透水，以防止污水渗出或地下水渗入，而污</w:t>
      </w:r>
      <w:r>
        <w:rPr>
          <w:rFonts w:hint="eastAsia" w:asciiTheme="minorEastAsia" w:hAnsiTheme="minorEastAsia" w:eastAsiaTheme="minorEastAsia" w:cstheme="minorEastAsia"/>
          <w:color w:val="auto"/>
          <w:spacing w:val="-5"/>
          <w:sz w:val="24"/>
          <w:szCs w:val="24"/>
        </w:rPr>
        <w:t>染地下水或腐蚀其它管线和建筑物基础。</w:t>
      </w:r>
    </w:p>
    <w:p>
      <w:pPr>
        <w:pStyle w:val="32"/>
        <w:numPr>
          <w:ilvl w:val="3"/>
          <w:numId w:val="22"/>
        </w:numPr>
        <w:tabs>
          <w:tab w:val="left" w:pos="1402"/>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排水管渠的内壁应平整光滑，使水流阻力尽量减小。</w:t>
      </w:r>
    </w:p>
    <w:p>
      <w:pPr>
        <w:pStyle w:val="32"/>
        <w:numPr>
          <w:ilvl w:val="3"/>
          <w:numId w:val="22"/>
        </w:numPr>
        <w:tabs>
          <w:tab w:val="left" w:pos="1402"/>
        </w:tabs>
        <w:spacing w:line="500" w:lineRule="exact"/>
        <w:ind w:left="0"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排水管渠应尽量从本地企业采购，并考虑到预制管件及快速</w:t>
      </w:r>
      <w:r>
        <w:rPr>
          <w:rFonts w:hint="eastAsia" w:asciiTheme="minorEastAsia" w:hAnsiTheme="minorEastAsia" w:eastAsiaTheme="minorEastAsia" w:cstheme="minorEastAsia"/>
          <w:color w:val="auto"/>
          <w:spacing w:val="-5"/>
          <w:sz w:val="24"/>
          <w:szCs w:val="24"/>
        </w:rPr>
        <w:t>施工的可能，减少运输和施工费用。</w:t>
      </w:r>
    </w:p>
    <w:p>
      <w:pPr>
        <w:pStyle w:val="32"/>
        <w:numPr>
          <w:ilvl w:val="2"/>
          <w:numId w:val="22"/>
        </w:numPr>
        <w:tabs>
          <w:tab w:val="left" w:pos="1968"/>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管材的类型</w:t>
      </w:r>
    </w:p>
    <w:p>
      <w:pPr>
        <w:pStyle w:val="32"/>
        <w:numPr>
          <w:ilvl w:val="3"/>
          <w:numId w:val="22"/>
        </w:numPr>
        <w:tabs>
          <w:tab w:val="left" w:pos="2002"/>
        </w:tabs>
        <w:spacing w:line="500" w:lineRule="exact"/>
        <w:ind w:left="0"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PVC-U</w:t>
      </w:r>
      <w:r>
        <w:rPr>
          <w:rFonts w:hint="eastAsia" w:asciiTheme="minorEastAsia" w:hAnsiTheme="minorEastAsia" w:eastAsiaTheme="minorEastAsia" w:cstheme="minorEastAsia"/>
          <w:color w:val="auto"/>
          <w:spacing w:val="-5"/>
          <w:sz w:val="24"/>
          <w:szCs w:val="24"/>
        </w:rPr>
        <w:t xml:space="preserve"> 双壁波纹管</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PVC-U 双壁波纹管以聚乙烯为主原料，加入适量助剂生产的新型管材。内壁光滑，外壁波纹，内外壁中空，具有质轻，强度高， 耐化学腐蚀性好，流水阻力小，不结垢，阻燃性好，柔韧性好，使用寿命长（可达50年）对管道基础要求低等优点。</w:t>
      </w:r>
    </w:p>
    <w:p>
      <w:pPr>
        <w:pStyle w:val="32"/>
        <w:numPr>
          <w:ilvl w:val="3"/>
          <w:numId w:val="22"/>
        </w:numPr>
        <w:tabs>
          <w:tab w:val="left" w:pos="2100"/>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高密度聚乙烯管</w:t>
      </w:r>
      <w:r>
        <w:rPr>
          <w:rFonts w:hint="eastAsia" w:asciiTheme="minorEastAsia" w:hAnsiTheme="minorEastAsia" w:eastAsiaTheme="minorEastAsia" w:cstheme="minorEastAsia"/>
          <w:color w:val="auto"/>
          <w:sz w:val="24"/>
          <w:szCs w:val="24"/>
        </w:rPr>
        <w:t>（HDPE）HDPE</w:t>
      </w:r>
      <w:r>
        <w:rPr>
          <w:rFonts w:hint="eastAsia" w:asciiTheme="minorEastAsia" w:hAnsiTheme="minorEastAsia" w:eastAsiaTheme="minorEastAsia" w:cstheme="minorEastAsia"/>
          <w:color w:val="auto"/>
          <w:spacing w:val="-4"/>
          <w:sz w:val="24"/>
          <w:szCs w:val="24"/>
        </w:rPr>
        <w:t xml:space="preserve"> 管内壁光滑，不易结垢， </w:t>
      </w:r>
      <w:r>
        <w:rPr>
          <w:rFonts w:hint="eastAsia" w:asciiTheme="minorEastAsia" w:hAnsiTheme="minorEastAsia" w:eastAsiaTheme="minorEastAsia" w:cstheme="minorEastAsia"/>
          <w:color w:val="auto"/>
          <w:spacing w:val="-5"/>
          <w:sz w:val="24"/>
          <w:szCs w:val="24"/>
        </w:rPr>
        <w:t>水头损失小，耐腐蚀性好、柔韧性好、重量轻，采用热熔粘接性接</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口，严密性好，对管道基础要求低， 使用寿命长等优点，但承受外压能力较差。</w:t>
      </w:r>
    </w:p>
    <w:p>
      <w:pPr>
        <w:pStyle w:val="32"/>
        <w:numPr>
          <w:ilvl w:val="3"/>
          <w:numId w:val="22"/>
        </w:numPr>
        <w:tabs>
          <w:tab w:val="left" w:pos="2069"/>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钢筋混凝土管</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使用时间最长，适用场合最广泛，价格便宜，性能稳定，目前仍是排水行业最主要的管材。</w:t>
      </w:r>
    </w:p>
    <w:p>
      <w:pPr>
        <w:pStyle w:val="32"/>
        <w:numPr>
          <w:ilvl w:val="2"/>
          <w:numId w:val="22"/>
        </w:numPr>
        <w:tabs>
          <w:tab w:val="left" w:pos="1856"/>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管材比选</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目前，国内市政排水上比较常用的管材有高密度聚乙烯管（HDPE）、双壁波纹管（PVC-U），钢筋混凝土管等，现对这几种管材进行技术经济比较。</w:t>
      </w:r>
    </w:p>
    <w:p>
      <w:pPr>
        <w:pStyle w:val="32"/>
        <w:numPr>
          <w:ilvl w:val="3"/>
          <w:numId w:val="22"/>
        </w:numPr>
        <w:tabs>
          <w:tab w:val="left" w:pos="1964"/>
        </w:tabs>
        <w:spacing w:line="500" w:lineRule="exact"/>
        <w:ind w:left="0"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重量</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HDPE 管和 PVC-U 管的重量相当，作为塑料管具有质量较轻的优点，水泥管则重量要远远高于塑料管。</w:t>
      </w:r>
    </w:p>
    <w:p>
      <w:pPr>
        <w:pStyle w:val="32"/>
        <w:numPr>
          <w:ilvl w:val="3"/>
          <w:numId w:val="22"/>
        </w:numPr>
        <w:tabs>
          <w:tab w:val="left" w:pos="1964"/>
        </w:tabs>
        <w:spacing w:line="500" w:lineRule="exact"/>
        <w:ind w:left="0" w:firstLine="46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4"/>
          <w:sz w:val="24"/>
          <w:szCs w:val="24"/>
        </w:rPr>
        <w:t>耐腐蚀性能</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PVC-U 管和 HDPE 管的耐腐蚀性能均很优良，尤其在市政及工业排污中，无需再另外防腐。</w:t>
      </w:r>
    </w:p>
    <w:p>
      <w:pPr>
        <w:pStyle w:val="32"/>
        <w:numPr>
          <w:ilvl w:val="3"/>
          <w:numId w:val="22"/>
        </w:numPr>
        <w:tabs>
          <w:tab w:val="left" w:pos="2000"/>
        </w:tabs>
        <w:spacing w:line="500" w:lineRule="exact"/>
        <w:ind w:left="0" w:firstLine="46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4"/>
          <w:sz w:val="24"/>
          <w:szCs w:val="24"/>
        </w:rPr>
        <w:t>内壁粗糙度</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PVC-U 管和 HDPE 管管道粗糙度小，内壁光滑。不但新生态是光滑的，而且使用相当年后，内壁仍光滑如初，无藻类等水生衍生物附着。钢筋混凝土管内壁粗糙度较高，不但水头损失大，而且容易结垢。</w:t>
      </w:r>
    </w:p>
    <w:p>
      <w:pPr>
        <w:pStyle w:val="32"/>
        <w:numPr>
          <w:ilvl w:val="3"/>
          <w:numId w:val="22"/>
        </w:numPr>
        <w:tabs>
          <w:tab w:val="left" w:pos="2100"/>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运输、装卸、安装费用</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PVC-U管和HDPE管单位管长重量轻于钢筋混凝土管，尤其是大管径管道，可有效节省运输油耗和装卸费用。</w:t>
      </w:r>
    </w:p>
    <w:p>
      <w:pPr>
        <w:pStyle w:val="32"/>
        <w:numPr>
          <w:ilvl w:val="3"/>
          <w:numId w:val="22"/>
        </w:numPr>
        <w:tabs>
          <w:tab w:val="left" w:pos="2000"/>
        </w:tabs>
        <w:spacing w:line="500" w:lineRule="exact"/>
        <w:ind w:left="0" w:firstLine="464" w:firstLineChars="200"/>
        <w:jc w:val="both"/>
        <w:rPr>
          <w:rFonts w:asciiTheme="minorEastAsia" w:hAnsiTheme="minorEastAsia" w:eastAsiaTheme="minorEastAsia" w:cstheme="minorEastAsia"/>
          <w:color w:val="auto"/>
          <w:spacing w:val="-4"/>
          <w:sz w:val="24"/>
          <w:szCs w:val="24"/>
        </w:rPr>
      </w:pPr>
      <w:r>
        <w:rPr>
          <w:rFonts w:hint="eastAsia" w:asciiTheme="minorEastAsia" w:hAnsiTheme="minorEastAsia" w:eastAsiaTheme="minorEastAsia" w:cstheme="minorEastAsia"/>
          <w:color w:val="auto"/>
          <w:spacing w:val="-4"/>
          <w:sz w:val="24"/>
          <w:szCs w:val="24"/>
        </w:rPr>
        <w:t>维护费用</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PVC-U管和HDPE</w:t>
      </w:r>
      <w:r>
        <w:rPr>
          <w:rFonts w:hint="eastAsia" w:asciiTheme="minorEastAsia" w:hAnsiTheme="minorEastAsia" w:eastAsiaTheme="minorEastAsia" w:cstheme="minorEastAsia"/>
          <w:color w:val="auto"/>
          <w:spacing w:val="-5"/>
          <w:sz w:val="24"/>
          <w:szCs w:val="24"/>
        </w:rPr>
        <w:t>管耐腐蚀性好，使用寿命长，内壁光滑不结垢，使用期间一般不需维修，即使维修也十分简单。钢筋混凝土管使用寿命长，但易结垢、水生物附着等需定期维修，既增加了费用，又消耗人力，影响管网工作。</w:t>
      </w:r>
    </w:p>
    <w:p>
      <w:pPr>
        <w:pStyle w:val="32"/>
        <w:numPr>
          <w:ilvl w:val="3"/>
          <w:numId w:val="22"/>
        </w:numPr>
        <w:tabs>
          <w:tab w:val="left" w:pos="1964"/>
        </w:tabs>
        <w:spacing w:line="500" w:lineRule="exact"/>
        <w:ind w:left="0" w:firstLine="46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4"/>
          <w:sz w:val="24"/>
          <w:szCs w:val="24"/>
        </w:rPr>
        <w:t>综合比较表</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下表对几种常用管材的性能进行综合性的比较。</w:t>
      </w:r>
    </w:p>
    <w:p>
      <w:pPr>
        <w:spacing w:line="500" w:lineRule="exact"/>
        <w:ind w:firstLine="422" w:firstLineChars="200"/>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表4.10-1 常用管材性能比较表</w:t>
      </w:r>
    </w:p>
    <w:tbl>
      <w:tblPr>
        <w:tblStyle w:val="27"/>
        <w:tblW w:w="8303" w:type="dxa"/>
        <w:tblInd w:w="42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99"/>
        <w:gridCol w:w="2519"/>
        <w:gridCol w:w="2122"/>
        <w:gridCol w:w="236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 w:hRule="atLeast"/>
        </w:trPr>
        <w:tc>
          <w:tcPr>
            <w:tcW w:w="1299" w:type="dxa"/>
            <w:tcBorders>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性能</w:t>
            </w:r>
          </w:p>
        </w:tc>
        <w:tc>
          <w:tcPr>
            <w:tcW w:w="2519" w:type="dxa"/>
            <w:tcBorders>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（PVC-U）双壁波纹管</w:t>
            </w:r>
          </w:p>
        </w:tc>
        <w:tc>
          <w:tcPr>
            <w:tcW w:w="2122" w:type="dxa"/>
            <w:tcBorders>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HDPE 管</w:t>
            </w:r>
          </w:p>
        </w:tc>
        <w:tc>
          <w:tcPr>
            <w:tcW w:w="2363" w:type="dxa"/>
            <w:tcBorders>
              <w:left w:val="single" w:color="000000" w:sz="4" w:space="0"/>
              <w:bottom w:val="single" w:color="000000" w:sz="4"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钢筋混凝土管</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trPr>
        <w:tc>
          <w:tcPr>
            <w:tcW w:w="1299" w:type="dxa"/>
            <w:tcBorders>
              <w:top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使用寿命</w:t>
            </w:r>
          </w:p>
        </w:tc>
        <w:tc>
          <w:tcPr>
            <w:tcW w:w="2519"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长</w:t>
            </w:r>
          </w:p>
        </w:tc>
        <w:tc>
          <w:tcPr>
            <w:tcW w:w="2122"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长</w:t>
            </w:r>
          </w:p>
        </w:tc>
        <w:tc>
          <w:tcPr>
            <w:tcW w:w="2363" w:type="dxa"/>
            <w:tcBorders>
              <w:top w:val="single" w:color="000000" w:sz="4" w:space="0"/>
              <w:left w:val="single" w:color="000000" w:sz="4" w:space="0"/>
              <w:bottom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长</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trPr>
        <w:tc>
          <w:tcPr>
            <w:tcW w:w="1299" w:type="dxa"/>
            <w:tcBorders>
              <w:top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抗渗性能</w:t>
            </w:r>
          </w:p>
        </w:tc>
        <w:tc>
          <w:tcPr>
            <w:tcW w:w="2519"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强</w:t>
            </w:r>
          </w:p>
        </w:tc>
        <w:tc>
          <w:tcPr>
            <w:tcW w:w="2122"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强</w:t>
            </w:r>
          </w:p>
        </w:tc>
        <w:tc>
          <w:tcPr>
            <w:tcW w:w="2363" w:type="dxa"/>
            <w:tcBorders>
              <w:top w:val="single" w:color="000000" w:sz="4" w:space="0"/>
              <w:left w:val="single" w:color="000000" w:sz="4" w:space="0"/>
              <w:bottom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较差</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1299" w:type="dxa"/>
            <w:tcBorders>
              <w:top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防腐能力</w:t>
            </w:r>
          </w:p>
        </w:tc>
        <w:tc>
          <w:tcPr>
            <w:tcW w:w="2519"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强</w:t>
            </w:r>
          </w:p>
        </w:tc>
        <w:tc>
          <w:tcPr>
            <w:tcW w:w="2122"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强</w:t>
            </w:r>
          </w:p>
        </w:tc>
        <w:tc>
          <w:tcPr>
            <w:tcW w:w="2363" w:type="dxa"/>
            <w:tcBorders>
              <w:top w:val="single" w:color="000000" w:sz="4" w:space="0"/>
              <w:left w:val="single" w:color="000000" w:sz="4" w:space="0"/>
              <w:bottom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较强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51" w:hRule="atLeast"/>
        </w:trPr>
        <w:tc>
          <w:tcPr>
            <w:tcW w:w="1299" w:type="dxa"/>
            <w:tcBorders>
              <w:top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承受外压</w:t>
            </w:r>
          </w:p>
        </w:tc>
        <w:tc>
          <w:tcPr>
            <w:tcW w:w="2519"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受外压较差易变形</w:t>
            </w:r>
          </w:p>
        </w:tc>
        <w:tc>
          <w:tcPr>
            <w:tcW w:w="2122"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承受外压能力较</w:t>
            </w:r>
          </w:p>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差、易变形</w:t>
            </w:r>
          </w:p>
        </w:tc>
        <w:tc>
          <w:tcPr>
            <w:tcW w:w="2363" w:type="dxa"/>
            <w:tcBorders>
              <w:top w:val="single" w:color="000000" w:sz="4" w:space="0"/>
              <w:left w:val="single" w:color="000000" w:sz="4" w:space="0"/>
              <w:bottom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能承受较大外压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1299" w:type="dxa"/>
            <w:tcBorders>
              <w:top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施工难易</w:t>
            </w:r>
          </w:p>
        </w:tc>
        <w:tc>
          <w:tcPr>
            <w:tcW w:w="2519"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方便</w:t>
            </w:r>
          </w:p>
        </w:tc>
        <w:tc>
          <w:tcPr>
            <w:tcW w:w="2122"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方便</w:t>
            </w:r>
          </w:p>
        </w:tc>
        <w:tc>
          <w:tcPr>
            <w:tcW w:w="2363" w:type="dxa"/>
            <w:tcBorders>
              <w:top w:val="single" w:color="000000" w:sz="4" w:space="0"/>
              <w:left w:val="single" w:color="000000" w:sz="4" w:space="0"/>
              <w:bottom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较难</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trPr>
        <w:tc>
          <w:tcPr>
            <w:tcW w:w="1299" w:type="dxa"/>
            <w:tcBorders>
              <w:top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施工方法</w:t>
            </w:r>
          </w:p>
        </w:tc>
        <w:tc>
          <w:tcPr>
            <w:tcW w:w="2519"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大开挖</w:t>
            </w:r>
          </w:p>
        </w:tc>
        <w:tc>
          <w:tcPr>
            <w:tcW w:w="2122"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大开挖</w:t>
            </w:r>
          </w:p>
        </w:tc>
        <w:tc>
          <w:tcPr>
            <w:tcW w:w="2363" w:type="dxa"/>
            <w:tcBorders>
              <w:top w:val="single" w:color="000000" w:sz="4" w:space="0"/>
              <w:left w:val="single" w:color="000000" w:sz="4" w:space="0"/>
              <w:bottom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大开挖、顶管</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54" w:hRule="atLeast"/>
        </w:trPr>
        <w:tc>
          <w:tcPr>
            <w:tcW w:w="1299" w:type="dxa"/>
            <w:tcBorders>
              <w:top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粗糙度（n</w:t>
            </w:r>
          </w:p>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值）</w:t>
            </w:r>
          </w:p>
        </w:tc>
        <w:tc>
          <w:tcPr>
            <w:tcW w:w="2519"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0.009-0.01</w:t>
            </w:r>
          </w:p>
        </w:tc>
        <w:tc>
          <w:tcPr>
            <w:tcW w:w="2122"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0.01</w:t>
            </w:r>
          </w:p>
        </w:tc>
        <w:tc>
          <w:tcPr>
            <w:tcW w:w="2363" w:type="dxa"/>
            <w:tcBorders>
              <w:top w:val="single" w:color="000000" w:sz="4" w:space="0"/>
              <w:left w:val="single" w:color="000000" w:sz="4" w:space="0"/>
              <w:bottom w:val="single" w:color="000000" w:sz="4"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p>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0.07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trPr>
        <w:tc>
          <w:tcPr>
            <w:tcW w:w="1299" w:type="dxa"/>
            <w:tcBorders>
              <w:top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水头损失</w:t>
            </w:r>
          </w:p>
        </w:tc>
        <w:tc>
          <w:tcPr>
            <w:tcW w:w="2519"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较小</w:t>
            </w:r>
          </w:p>
        </w:tc>
        <w:tc>
          <w:tcPr>
            <w:tcW w:w="2122"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较小</w:t>
            </w:r>
          </w:p>
        </w:tc>
        <w:tc>
          <w:tcPr>
            <w:tcW w:w="2363" w:type="dxa"/>
            <w:tcBorders>
              <w:top w:val="single" w:color="000000" w:sz="4" w:space="0"/>
              <w:left w:val="single" w:color="000000" w:sz="4" w:space="0"/>
              <w:bottom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较大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1299" w:type="dxa"/>
            <w:tcBorders>
              <w:top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管材重量</w:t>
            </w:r>
          </w:p>
        </w:tc>
        <w:tc>
          <w:tcPr>
            <w:tcW w:w="2519"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较轻</w:t>
            </w:r>
          </w:p>
        </w:tc>
        <w:tc>
          <w:tcPr>
            <w:tcW w:w="2122"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较轻</w:t>
            </w:r>
          </w:p>
        </w:tc>
        <w:tc>
          <w:tcPr>
            <w:tcW w:w="2363" w:type="dxa"/>
            <w:tcBorders>
              <w:top w:val="single" w:color="000000" w:sz="4" w:space="0"/>
              <w:left w:val="single" w:color="000000" w:sz="4" w:space="0"/>
              <w:bottom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较重</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 w:hRule="atLeast"/>
        </w:trPr>
        <w:tc>
          <w:tcPr>
            <w:tcW w:w="1299" w:type="dxa"/>
            <w:tcBorders>
              <w:top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管材运输</w:t>
            </w:r>
          </w:p>
        </w:tc>
        <w:tc>
          <w:tcPr>
            <w:tcW w:w="2519"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方便</w:t>
            </w:r>
          </w:p>
        </w:tc>
        <w:tc>
          <w:tcPr>
            <w:tcW w:w="2122"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方便</w:t>
            </w:r>
          </w:p>
        </w:tc>
        <w:tc>
          <w:tcPr>
            <w:tcW w:w="2363" w:type="dxa"/>
            <w:tcBorders>
              <w:top w:val="single" w:color="000000" w:sz="4" w:space="0"/>
              <w:left w:val="single" w:color="000000" w:sz="4" w:space="0"/>
              <w:bottom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运输较麻烦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1299" w:type="dxa"/>
            <w:tcBorders>
              <w:top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管材价格</w:t>
            </w:r>
          </w:p>
        </w:tc>
        <w:tc>
          <w:tcPr>
            <w:tcW w:w="2519"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便宜</w:t>
            </w:r>
          </w:p>
        </w:tc>
        <w:tc>
          <w:tcPr>
            <w:tcW w:w="2122"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便宜</w:t>
            </w:r>
          </w:p>
        </w:tc>
        <w:tc>
          <w:tcPr>
            <w:tcW w:w="2363" w:type="dxa"/>
            <w:tcBorders>
              <w:top w:val="single" w:color="000000" w:sz="4" w:space="0"/>
              <w:left w:val="single" w:color="000000" w:sz="4" w:space="0"/>
              <w:bottom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便宜</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1299" w:type="dxa"/>
            <w:tcBorders>
              <w:top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对基础要求</w:t>
            </w:r>
          </w:p>
        </w:tc>
        <w:tc>
          <w:tcPr>
            <w:tcW w:w="2519" w:type="dxa"/>
            <w:tcBorders>
              <w:top w:val="single" w:color="000000" w:sz="4" w:space="0"/>
              <w:left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较低</w:t>
            </w:r>
          </w:p>
        </w:tc>
        <w:tc>
          <w:tcPr>
            <w:tcW w:w="2122" w:type="dxa"/>
            <w:tcBorders>
              <w:top w:val="single" w:color="000000" w:sz="4" w:space="0"/>
              <w:left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较低</w:t>
            </w:r>
          </w:p>
        </w:tc>
        <w:tc>
          <w:tcPr>
            <w:tcW w:w="2363" w:type="dxa"/>
            <w:tcBorders>
              <w:top w:val="single" w:color="000000" w:sz="4" w:space="0"/>
              <w:lef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较高</w:t>
            </w:r>
          </w:p>
        </w:tc>
      </w:tr>
    </w:tbl>
    <w:p>
      <w:pPr>
        <w:pStyle w:val="32"/>
        <w:numPr>
          <w:ilvl w:val="2"/>
          <w:numId w:val="22"/>
        </w:numPr>
        <w:tabs>
          <w:tab w:val="left" w:pos="1964"/>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管材的确定</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管材的选用要因地制宜，合理选择管材对降低污水系统的造价和后期管道维护影响很大。一般应考虑技术、经济、施工条件和市场供应因素。根据以上管材比较结果，本报告推荐管材如下：</w:t>
      </w:r>
    </w:p>
    <w:p>
      <w:pPr>
        <w:pStyle w:val="32"/>
        <w:numPr>
          <w:ilvl w:val="3"/>
          <w:numId w:val="22"/>
        </w:numPr>
        <w:tabs>
          <w:tab w:val="left" w:pos="1978"/>
        </w:tabs>
        <w:spacing w:line="500" w:lineRule="exact"/>
        <w:ind w:left="0" w:firstLine="496" w:firstLineChars="200"/>
        <w:jc w:val="both"/>
        <w:rPr>
          <w:rFonts w:asciiTheme="minorEastAsia" w:hAnsiTheme="minorEastAsia" w:eastAsiaTheme="minorEastAsia" w:cstheme="minorEastAsia"/>
          <w:color w:val="auto"/>
          <w:spacing w:val="4"/>
          <w:sz w:val="24"/>
          <w:szCs w:val="24"/>
        </w:rPr>
      </w:pPr>
      <w:r>
        <w:rPr>
          <w:rFonts w:hint="eastAsia" w:asciiTheme="minorEastAsia" w:hAnsiTheme="minorEastAsia" w:eastAsiaTheme="minorEastAsia" w:cstheme="minorEastAsia"/>
          <w:color w:val="auto"/>
          <w:spacing w:val="4"/>
          <w:sz w:val="24"/>
          <w:szCs w:val="24"/>
        </w:rPr>
        <w:t>管径大于DN400推荐采用内衬树脂钢筋混凝土管；</w:t>
      </w:r>
    </w:p>
    <w:p>
      <w:pPr>
        <w:pStyle w:val="32"/>
        <w:numPr>
          <w:ilvl w:val="3"/>
          <w:numId w:val="22"/>
        </w:numPr>
        <w:tabs>
          <w:tab w:val="left" w:pos="1978"/>
        </w:tabs>
        <w:spacing w:line="500" w:lineRule="exact"/>
        <w:ind w:left="0" w:firstLine="496" w:firstLineChars="200"/>
        <w:jc w:val="both"/>
        <w:rPr>
          <w:rFonts w:asciiTheme="minorEastAsia" w:hAnsiTheme="minorEastAsia" w:eastAsiaTheme="minorEastAsia" w:cstheme="minorEastAsia"/>
          <w:color w:val="auto"/>
          <w:spacing w:val="4"/>
          <w:sz w:val="24"/>
          <w:szCs w:val="24"/>
        </w:rPr>
      </w:pPr>
      <w:r>
        <w:rPr>
          <w:rFonts w:hint="eastAsia" w:asciiTheme="minorEastAsia" w:hAnsiTheme="minorEastAsia" w:eastAsiaTheme="minorEastAsia" w:cstheme="minorEastAsia"/>
          <w:color w:val="auto"/>
          <w:spacing w:val="4"/>
          <w:sz w:val="24"/>
          <w:szCs w:val="24"/>
        </w:rPr>
        <w:t>管径小于或等于DN400建议采用PVC-U管或HDPE管；</w:t>
      </w:r>
    </w:p>
    <w:p>
      <w:pPr>
        <w:pStyle w:val="32"/>
        <w:numPr>
          <w:ilvl w:val="3"/>
          <w:numId w:val="22"/>
        </w:numPr>
        <w:tabs>
          <w:tab w:val="left" w:pos="1978"/>
        </w:tabs>
        <w:spacing w:line="500" w:lineRule="exact"/>
        <w:ind w:left="0" w:firstLine="496" w:firstLineChars="200"/>
        <w:jc w:val="both"/>
        <w:rPr>
          <w:rFonts w:asciiTheme="minorEastAsia" w:hAnsiTheme="minorEastAsia" w:eastAsiaTheme="minorEastAsia" w:cstheme="minorEastAsia"/>
          <w:color w:val="auto"/>
          <w:spacing w:val="4"/>
          <w:sz w:val="24"/>
          <w:szCs w:val="24"/>
        </w:rPr>
      </w:pPr>
      <w:r>
        <w:rPr>
          <w:rFonts w:hint="eastAsia" w:asciiTheme="minorEastAsia" w:hAnsiTheme="minorEastAsia" w:eastAsiaTheme="minorEastAsia" w:cstheme="minorEastAsia"/>
          <w:color w:val="auto"/>
          <w:spacing w:val="4"/>
          <w:sz w:val="24"/>
          <w:szCs w:val="24"/>
        </w:rPr>
        <w:t xml:space="preserve">局部穿越障碍物、过沟渠等特殊地段时采用钢管； </w:t>
      </w:r>
    </w:p>
    <w:p>
      <w:pPr>
        <w:pStyle w:val="32"/>
        <w:numPr>
          <w:ilvl w:val="3"/>
          <w:numId w:val="22"/>
        </w:numPr>
        <w:tabs>
          <w:tab w:val="left" w:pos="1978"/>
        </w:tabs>
        <w:spacing w:line="500" w:lineRule="exact"/>
        <w:ind w:left="0" w:firstLine="496" w:firstLineChars="200"/>
        <w:jc w:val="both"/>
        <w:rPr>
          <w:rFonts w:asciiTheme="minorEastAsia" w:hAnsiTheme="minorEastAsia" w:eastAsiaTheme="minorEastAsia" w:cstheme="minorEastAsia"/>
          <w:color w:val="auto"/>
          <w:spacing w:val="4"/>
          <w:sz w:val="24"/>
          <w:szCs w:val="24"/>
        </w:rPr>
      </w:pPr>
      <w:r>
        <w:rPr>
          <w:rFonts w:hint="eastAsia" w:asciiTheme="minorEastAsia" w:hAnsiTheme="minorEastAsia" w:eastAsiaTheme="minorEastAsia" w:cstheme="minorEastAsia"/>
          <w:color w:val="auto"/>
          <w:spacing w:val="4"/>
          <w:sz w:val="24"/>
          <w:szCs w:val="24"/>
        </w:rPr>
        <w:t>压力管道采用钢管。</w:t>
      </w:r>
    </w:p>
    <w:p>
      <w:pPr>
        <w:pStyle w:val="32"/>
        <w:numPr>
          <w:ilvl w:val="3"/>
          <w:numId w:val="22"/>
        </w:numPr>
        <w:tabs>
          <w:tab w:val="left" w:pos="1978"/>
        </w:tabs>
        <w:spacing w:line="500" w:lineRule="exact"/>
        <w:ind w:left="0" w:firstLine="496" w:firstLineChars="200"/>
        <w:jc w:val="both"/>
        <w:rPr>
          <w:rFonts w:asciiTheme="minorEastAsia" w:hAnsiTheme="minorEastAsia" w:eastAsiaTheme="minorEastAsia" w:cstheme="minorEastAsia"/>
          <w:color w:val="auto"/>
          <w:spacing w:val="4"/>
          <w:sz w:val="24"/>
          <w:szCs w:val="24"/>
        </w:rPr>
        <w:sectPr>
          <w:footerReference r:id="rId10" w:type="default"/>
          <w:type w:val="nextColumn"/>
          <w:pgSz w:w="11910" w:h="16840"/>
          <w:pgMar w:top="1418" w:right="1418" w:bottom="1418" w:left="1701" w:header="0" w:footer="512" w:gutter="0"/>
          <w:cols w:space="720" w:num="1"/>
        </w:sectPr>
      </w:pPr>
    </w:p>
    <w:p>
      <w:pPr>
        <w:pStyle w:val="2"/>
        <w:ind w:left="0"/>
        <w:jc w:val="center"/>
        <w:rPr>
          <w:color w:val="auto"/>
        </w:rPr>
      </w:pPr>
      <w:bookmarkStart w:id="76" w:name="五_、项目建设方案"/>
      <w:bookmarkEnd w:id="76"/>
      <w:bookmarkStart w:id="77" w:name="_Toc27706"/>
      <w:bookmarkStart w:id="78" w:name="_Toc29036"/>
      <w:r>
        <w:rPr>
          <w:rFonts w:hint="eastAsia"/>
          <w:color w:val="auto"/>
        </w:rPr>
        <w:t>五 、项目</w:t>
      </w:r>
      <w:r>
        <w:rPr>
          <w:rFonts w:hint="eastAsia"/>
          <w:color w:val="auto"/>
          <w:lang w:val="en-US"/>
        </w:rPr>
        <w:t>设计</w:t>
      </w:r>
      <w:r>
        <w:rPr>
          <w:rFonts w:hint="eastAsia"/>
          <w:color w:val="auto"/>
        </w:rPr>
        <w:t>方案</w:t>
      </w:r>
      <w:bookmarkEnd w:id="77"/>
      <w:bookmarkEnd w:id="78"/>
    </w:p>
    <w:p>
      <w:pPr>
        <w:spacing w:line="500" w:lineRule="exact"/>
        <w:jc w:val="both"/>
        <w:outlineLvl w:val="1"/>
        <w:rPr>
          <w:rFonts w:asciiTheme="minorEastAsia" w:hAnsiTheme="minorEastAsia" w:eastAsiaTheme="minorEastAsia" w:cstheme="minorEastAsia"/>
          <w:b/>
          <w:bCs/>
          <w:color w:val="auto"/>
          <w:sz w:val="24"/>
          <w:szCs w:val="24"/>
          <w:lang w:val="en-US"/>
        </w:rPr>
      </w:pPr>
      <w:bookmarkStart w:id="79" w:name="_Toc7613"/>
      <w:bookmarkStart w:id="80" w:name="_Toc1978"/>
      <w:r>
        <w:rPr>
          <w:rFonts w:hint="eastAsia" w:ascii="黑体" w:hAnsi="黑体" w:eastAsia="黑体" w:cs="黑体"/>
          <w:b/>
          <w:color w:val="auto"/>
          <w:sz w:val="28"/>
          <w:szCs w:val="28"/>
        </w:rPr>
        <w:t>5.</w:t>
      </w:r>
      <w:r>
        <w:rPr>
          <w:rFonts w:hint="eastAsia" w:ascii="黑体" w:hAnsi="黑体" w:eastAsia="黑体" w:cs="黑体"/>
          <w:b/>
          <w:bCs/>
          <w:color w:val="auto"/>
          <w:sz w:val="28"/>
          <w:szCs w:val="28"/>
        </w:rPr>
        <w:t xml:space="preserve">1 </w:t>
      </w:r>
      <w:r>
        <w:rPr>
          <w:rFonts w:hint="eastAsia" w:asciiTheme="minorEastAsia" w:hAnsiTheme="minorEastAsia" w:eastAsiaTheme="minorEastAsia" w:cstheme="minorEastAsia"/>
          <w:b/>
          <w:bCs/>
          <w:color w:val="auto"/>
          <w:sz w:val="24"/>
          <w:szCs w:val="24"/>
          <w:lang w:val="en-US"/>
        </w:rPr>
        <w:t>设计原则</w:t>
      </w:r>
      <w:bookmarkEnd w:id="79"/>
    </w:p>
    <w:p>
      <w:pPr>
        <w:spacing w:line="500" w:lineRule="exact"/>
        <w:ind w:firstLine="496" w:firstLineChars="200"/>
        <w:jc w:val="both"/>
        <w:outlineLvl w:val="1"/>
        <w:rPr>
          <w:rFonts w:asciiTheme="minorEastAsia" w:hAnsiTheme="minorEastAsia" w:eastAsiaTheme="minorEastAsia" w:cstheme="minorEastAsia"/>
          <w:color w:val="auto"/>
          <w:spacing w:val="4"/>
          <w:sz w:val="24"/>
          <w:szCs w:val="24"/>
          <w:lang w:val="en-US"/>
        </w:rPr>
      </w:pPr>
      <w:bookmarkStart w:id="81" w:name="_Toc1804"/>
      <w:bookmarkStart w:id="82" w:name="_Toc18370"/>
      <w:r>
        <w:rPr>
          <w:rFonts w:hint="eastAsia" w:asciiTheme="minorEastAsia" w:hAnsiTheme="minorEastAsia" w:eastAsiaTheme="minorEastAsia" w:cstheme="minorEastAsia"/>
          <w:color w:val="auto"/>
          <w:spacing w:val="4"/>
          <w:sz w:val="24"/>
          <w:szCs w:val="24"/>
          <w:lang w:val="en-US"/>
        </w:rPr>
        <w:t>（1）污水管道设计应结合污水处理站的地理位置，以就近接入、减少投资为原则。</w:t>
      </w:r>
      <w:bookmarkEnd w:id="81"/>
      <w:bookmarkEnd w:id="82"/>
    </w:p>
    <w:p>
      <w:pPr>
        <w:spacing w:line="500" w:lineRule="exact"/>
        <w:ind w:firstLine="496" w:firstLineChars="200"/>
        <w:jc w:val="both"/>
        <w:outlineLvl w:val="1"/>
        <w:rPr>
          <w:rFonts w:asciiTheme="minorEastAsia" w:hAnsiTheme="minorEastAsia" w:eastAsiaTheme="minorEastAsia" w:cstheme="minorEastAsia"/>
          <w:color w:val="auto"/>
          <w:spacing w:val="4"/>
          <w:sz w:val="24"/>
          <w:szCs w:val="24"/>
          <w:lang w:val="en-US"/>
        </w:rPr>
      </w:pPr>
      <w:bookmarkStart w:id="83" w:name="_Toc3465"/>
      <w:bookmarkStart w:id="84" w:name="_Toc22137"/>
      <w:r>
        <w:rPr>
          <w:rFonts w:hint="eastAsia" w:asciiTheme="minorEastAsia" w:hAnsiTheme="minorEastAsia" w:eastAsiaTheme="minorEastAsia" w:cstheme="minorEastAsia"/>
          <w:color w:val="auto"/>
          <w:spacing w:val="4"/>
          <w:sz w:val="24"/>
          <w:szCs w:val="24"/>
          <w:lang w:val="en-US"/>
        </w:rPr>
        <w:t>（2）宜近远期结合，力求做到近期可行，远期合理。</w:t>
      </w:r>
      <w:bookmarkEnd w:id="83"/>
      <w:bookmarkEnd w:id="84"/>
    </w:p>
    <w:p>
      <w:pPr>
        <w:spacing w:line="500" w:lineRule="exact"/>
        <w:ind w:firstLine="496" w:firstLineChars="200"/>
        <w:jc w:val="both"/>
        <w:outlineLvl w:val="1"/>
        <w:rPr>
          <w:rFonts w:asciiTheme="minorEastAsia" w:hAnsiTheme="minorEastAsia" w:eastAsiaTheme="minorEastAsia" w:cstheme="minorEastAsia"/>
          <w:color w:val="auto"/>
          <w:spacing w:val="4"/>
          <w:sz w:val="24"/>
          <w:szCs w:val="24"/>
          <w:lang w:val="en-US"/>
        </w:rPr>
      </w:pPr>
      <w:bookmarkStart w:id="85" w:name="_Toc19265"/>
      <w:bookmarkStart w:id="86" w:name="_Toc16610"/>
      <w:r>
        <w:rPr>
          <w:rFonts w:hint="eastAsia" w:asciiTheme="minorEastAsia" w:hAnsiTheme="minorEastAsia" w:eastAsiaTheme="minorEastAsia" w:cstheme="minorEastAsia"/>
          <w:color w:val="auto"/>
          <w:spacing w:val="4"/>
          <w:sz w:val="24"/>
          <w:szCs w:val="24"/>
          <w:lang w:val="en-US"/>
        </w:rPr>
        <w:t>（3）管道布置时，力求符合道路的地形趋势，顺坡排水，尽量避免穿越河流等障碍物，减少管道迂回往返，确保良好的水力条件并降低工程造价。</w:t>
      </w:r>
      <w:bookmarkEnd w:id="85"/>
      <w:bookmarkEnd w:id="86"/>
    </w:p>
    <w:p>
      <w:pPr>
        <w:pStyle w:val="32"/>
        <w:numPr>
          <w:ilvl w:val="0"/>
          <w:numId w:val="0"/>
        </w:numPr>
        <w:tabs>
          <w:tab w:val="left" w:pos="1978"/>
        </w:tabs>
        <w:spacing w:line="500" w:lineRule="exact"/>
        <w:ind w:left="440"/>
        <w:jc w:val="both"/>
        <w:rPr>
          <w:rFonts w:asciiTheme="minorEastAsia" w:hAnsiTheme="minorEastAsia" w:eastAsiaTheme="minorEastAsia" w:cstheme="minorEastAsia"/>
          <w:color w:val="auto"/>
          <w:spacing w:val="4"/>
          <w:sz w:val="24"/>
          <w:szCs w:val="24"/>
          <w:lang w:val="en-US"/>
        </w:rPr>
      </w:pPr>
      <w:r>
        <w:rPr>
          <w:rFonts w:hint="eastAsia" w:asciiTheme="minorEastAsia" w:hAnsiTheme="minorEastAsia" w:eastAsiaTheme="minorEastAsia" w:cstheme="minorEastAsia"/>
          <w:color w:val="auto"/>
          <w:spacing w:val="4"/>
          <w:sz w:val="24"/>
          <w:szCs w:val="24"/>
          <w:lang w:val="en-US"/>
        </w:rPr>
        <w:t>（4）污水管网布置宜充分利用地形地势，尽可能采用重力流，减少提升。</w:t>
      </w:r>
    </w:p>
    <w:p>
      <w:pPr>
        <w:pStyle w:val="32"/>
        <w:numPr>
          <w:ilvl w:val="0"/>
          <w:numId w:val="0"/>
        </w:numPr>
        <w:tabs>
          <w:tab w:val="left" w:pos="1978"/>
        </w:tabs>
        <w:spacing w:line="500" w:lineRule="exact"/>
        <w:ind w:left="440"/>
        <w:jc w:val="both"/>
        <w:rPr>
          <w:rFonts w:asciiTheme="minorEastAsia" w:hAnsiTheme="minorEastAsia" w:eastAsiaTheme="minorEastAsia" w:cstheme="minorEastAsia"/>
          <w:color w:val="auto"/>
          <w:spacing w:val="4"/>
          <w:sz w:val="24"/>
          <w:szCs w:val="24"/>
          <w:lang w:val="en-US"/>
        </w:rPr>
      </w:pPr>
      <w:r>
        <w:rPr>
          <w:rFonts w:hint="eastAsia" w:asciiTheme="minorEastAsia" w:hAnsiTheme="minorEastAsia" w:eastAsiaTheme="minorEastAsia" w:cstheme="minorEastAsia"/>
          <w:color w:val="auto"/>
          <w:spacing w:val="4"/>
          <w:sz w:val="24"/>
          <w:szCs w:val="24"/>
          <w:lang w:val="en-US"/>
        </w:rPr>
        <w:t>（5）根据污水管道现状及敷设条件，合理控制污水截污管的埋深。</w:t>
      </w:r>
    </w:p>
    <w:p>
      <w:pPr>
        <w:pStyle w:val="32"/>
        <w:numPr>
          <w:ilvl w:val="0"/>
          <w:numId w:val="0"/>
        </w:numPr>
        <w:tabs>
          <w:tab w:val="left" w:pos="1978"/>
        </w:tabs>
        <w:spacing w:line="500" w:lineRule="exact"/>
        <w:ind w:left="44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color w:val="auto"/>
          <w:spacing w:val="4"/>
          <w:sz w:val="24"/>
          <w:szCs w:val="24"/>
          <w:lang w:val="en-US"/>
        </w:rPr>
        <w:t>（6）依据村内实际排水总量，选择合适的截污管径。</w:t>
      </w:r>
    </w:p>
    <w:p>
      <w:pPr>
        <w:spacing w:line="500" w:lineRule="exact"/>
        <w:jc w:val="both"/>
        <w:outlineLvl w:val="1"/>
        <w:rPr>
          <w:color w:val="auto"/>
          <w:lang w:val="en-US"/>
        </w:rPr>
      </w:pPr>
      <w:bookmarkStart w:id="87" w:name="_Toc5440"/>
      <w:r>
        <w:rPr>
          <w:rFonts w:hint="eastAsia" w:ascii="黑体" w:hAnsi="黑体" w:eastAsia="黑体" w:cs="黑体"/>
          <w:b/>
          <w:color w:val="auto"/>
          <w:sz w:val="28"/>
          <w:szCs w:val="28"/>
        </w:rPr>
        <w:t>5.</w:t>
      </w:r>
      <w:r>
        <w:rPr>
          <w:rFonts w:hint="eastAsia" w:ascii="黑体" w:hAnsi="黑体" w:eastAsia="黑体" w:cs="黑体"/>
          <w:b/>
          <w:bCs/>
          <w:color w:val="auto"/>
          <w:sz w:val="28"/>
          <w:szCs w:val="28"/>
          <w:lang w:val="en-US"/>
        </w:rPr>
        <w:t>2</w:t>
      </w:r>
      <w:r>
        <w:rPr>
          <w:rFonts w:hint="eastAsia" w:ascii="黑体" w:hAnsi="黑体" w:eastAsia="黑体" w:cs="黑体"/>
          <w:b/>
          <w:bCs/>
          <w:color w:val="auto"/>
          <w:sz w:val="28"/>
          <w:szCs w:val="28"/>
        </w:rPr>
        <w:t xml:space="preserve"> </w:t>
      </w:r>
      <w:bookmarkEnd w:id="80"/>
      <w:r>
        <w:rPr>
          <w:rFonts w:hint="eastAsia" w:asciiTheme="minorEastAsia" w:hAnsiTheme="minorEastAsia" w:eastAsiaTheme="minorEastAsia" w:cstheme="minorEastAsia"/>
          <w:b/>
          <w:bCs/>
          <w:color w:val="auto"/>
          <w:sz w:val="24"/>
          <w:szCs w:val="24"/>
          <w:lang w:val="en-US"/>
        </w:rPr>
        <w:t>方案内容</w:t>
      </w:r>
      <w:bookmarkEnd w:id="87"/>
    </w:p>
    <w:p>
      <w:pPr>
        <w:pStyle w:val="10"/>
        <w:spacing w:line="500" w:lineRule="exact"/>
        <w:ind w:firstLine="460" w:firstLineChars="200"/>
        <w:jc w:val="both"/>
        <w:rPr>
          <w:rFonts w:asciiTheme="minorEastAsia" w:hAnsiTheme="minorEastAsia" w:eastAsiaTheme="minorEastAsia" w:cstheme="minorEastAsia"/>
          <w:color w:val="auto"/>
          <w:spacing w:val="-13"/>
          <w:sz w:val="24"/>
          <w:szCs w:val="24"/>
          <w:highlight w:val="none"/>
          <w:lang w:val="en-US"/>
        </w:rPr>
      </w:pPr>
      <w:r>
        <w:rPr>
          <w:rFonts w:hint="eastAsia" w:asciiTheme="minorEastAsia" w:hAnsiTheme="minorEastAsia" w:eastAsiaTheme="minorEastAsia" w:cstheme="minorEastAsia"/>
          <w:color w:val="auto"/>
          <w:spacing w:val="-5"/>
          <w:sz w:val="24"/>
          <w:szCs w:val="24"/>
        </w:rPr>
        <w:t>罗定市自然村约</w:t>
      </w:r>
      <w:r>
        <w:rPr>
          <w:rFonts w:hint="eastAsia" w:asciiTheme="minorEastAsia" w:hAnsiTheme="minorEastAsia" w:eastAsiaTheme="minorEastAsia" w:cstheme="minorEastAsia"/>
          <w:color w:val="auto"/>
          <w:sz w:val="24"/>
          <w:szCs w:val="24"/>
          <w:lang w:eastAsia="zh-CN"/>
        </w:rPr>
        <w:t>3754</w:t>
      </w:r>
      <w:r>
        <w:rPr>
          <w:rFonts w:hint="eastAsia" w:asciiTheme="minorEastAsia" w:hAnsiTheme="minorEastAsia" w:eastAsiaTheme="minorEastAsia" w:cstheme="minorEastAsia"/>
          <w:color w:val="auto"/>
          <w:spacing w:val="-5"/>
          <w:sz w:val="24"/>
          <w:szCs w:val="24"/>
        </w:rPr>
        <w:t>个，个数较多，农村污水处理设施的建设难以一时在全市范围内铺开，因此</w:t>
      </w:r>
      <w:r>
        <w:rPr>
          <w:rFonts w:hint="eastAsia" w:asciiTheme="minorEastAsia" w:hAnsiTheme="minorEastAsia" w:eastAsiaTheme="minorEastAsia" w:cstheme="minorEastAsia"/>
          <w:color w:val="auto"/>
          <w:spacing w:val="-5"/>
          <w:sz w:val="24"/>
          <w:szCs w:val="24"/>
          <w:lang w:val="en-US" w:eastAsia="zh-CN"/>
        </w:rPr>
        <w:t>筛</w:t>
      </w:r>
      <w:r>
        <w:rPr>
          <w:rFonts w:hint="eastAsia" w:asciiTheme="minorEastAsia" w:hAnsiTheme="minorEastAsia" w:eastAsiaTheme="minorEastAsia" w:cstheme="minorEastAsia"/>
          <w:color w:val="auto"/>
          <w:spacing w:val="-5"/>
          <w:sz w:val="24"/>
          <w:szCs w:val="24"/>
          <w:highlight w:val="none"/>
          <w:lang w:val="en-US" w:eastAsia="zh-CN"/>
        </w:rPr>
        <w:t>选了1494条自然村作为本项目实施名单，涉及村子数量较多</w:t>
      </w:r>
      <w:r>
        <w:rPr>
          <w:rFonts w:hint="eastAsia" w:asciiTheme="minorEastAsia" w:hAnsiTheme="minorEastAsia" w:eastAsiaTheme="minorEastAsia" w:cstheme="minorEastAsia"/>
          <w:color w:val="auto"/>
          <w:spacing w:val="-5"/>
          <w:sz w:val="24"/>
          <w:szCs w:val="24"/>
          <w:highlight w:val="none"/>
          <w:lang w:eastAsia="zh-CN"/>
        </w:rPr>
        <w:t>。</w:t>
      </w:r>
      <w:r>
        <w:rPr>
          <w:rFonts w:hint="eastAsia" w:asciiTheme="minorEastAsia" w:hAnsiTheme="minorEastAsia" w:eastAsiaTheme="minorEastAsia" w:cstheme="minorEastAsia"/>
          <w:color w:val="auto"/>
          <w:spacing w:val="-5"/>
          <w:sz w:val="24"/>
          <w:szCs w:val="24"/>
          <w:highlight w:val="none"/>
        </w:rPr>
        <w:t>并优先考虑村民意愿高、选址易落实的自然村，作为罗定市农村污水处理设施建设项目的实施范围。在实施过程中应考虑连片农村污水治理模式，距离相近、人口聚集的几个自然村可以共建一处污水处理点，实现节约投资、管理便利的目的。按以上原则，本项目农村污水处</w:t>
      </w:r>
      <w:r>
        <w:rPr>
          <w:rFonts w:hint="eastAsia" w:asciiTheme="minorEastAsia" w:hAnsiTheme="minorEastAsia" w:eastAsiaTheme="minorEastAsia" w:cstheme="minorEastAsia"/>
          <w:color w:val="auto"/>
          <w:spacing w:val="-4"/>
          <w:sz w:val="24"/>
          <w:szCs w:val="24"/>
          <w:highlight w:val="none"/>
        </w:rPr>
        <w:t>理设施</w:t>
      </w:r>
      <w:r>
        <w:rPr>
          <w:rFonts w:hint="eastAsia" w:asciiTheme="minorEastAsia" w:hAnsiTheme="minorEastAsia" w:eastAsiaTheme="minorEastAsia" w:cstheme="minorEastAsia"/>
          <w:color w:val="auto"/>
          <w:spacing w:val="-2"/>
          <w:sz w:val="24"/>
          <w:szCs w:val="24"/>
          <w:highlight w:val="none"/>
        </w:rPr>
        <w:t>共</w:t>
      </w:r>
      <w:r>
        <w:rPr>
          <w:rFonts w:hint="eastAsia" w:asciiTheme="minorEastAsia" w:hAnsiTheme="minorEastAsia" w:eastAsiaTheme="minorEastAsia" w:cstheme="minorEastAsia"/>
          <w:color w:val="auto"/>
          <w:spacing w:val="-5"/>
          <w:sz w:val="24"/>
          <w:szCs w:val="24"/>
          <w:highlight w:val="none"/>
        </w:rPr>
        <w:t>覆盖</w:t>
      </w:r>
      <w:r>
        <w:rPr>
          <w:rFonts w:hint="eastAsia" w:asciiTheme="minorEastAsia" w:hAnsiTheme="minorEastAsia" w:eastAsiaTheme="minorEastAsia" w:cstheme="minorEastAsia"/>
          <w:color w:val="auto"/>
          <w:sz w:val="24"/>
          <w:szCs w:val="24"/>
          <w:highlight w:val="none"/>
          <w:lang w:val="en-US" w:eastAsia="zh-CN"/>
        </w:rPr>
        <w:t>1494</w:t>
      </w:r>
      <w:r>
        <w:rPr>
          <w:rFonts w:hint="eastAsia" w:asciiTheme="minorEastAsia" w:hAnsiTheme="minorEastAsia" w:eastAsiaTheme="minorEastAsia" w:cstheme="minorEastAsia"/>
          <w:color w:val="auto"/>
          <w:spacing w:val="-16"/>
          <w:sz w:val="24"/>
          <w:szCs w:val="24"/>
          <w:highlight w:val="none"/>
        </w:rPr>
        <w:t>条</w:t>
      </w:r>
      <w:r>
        <w:rPr>
          <w:rFonts w:hint="eastAsia" w:asciiTheme="minorEastAsia" w:hAnsiTheme="minorEastAsia" w:eastAsiaTheme="minorEastAsia" w:cstheme="minorEastAsia"/>
          <w:color w:val="auto"/>
          <w:spacing w:val="-4"/>
          <w:sz w:val="24"/>
          <w:szCs w:val="24"/>
          <w:highlight w:val="none"/>
        </w:rPr>
        <w:t>自然村，服务人口约</w:t>
      </w:r>
      <w:r>
        <w:rPr>
          <w:rFonts w:hint="eastAsia" w:asciiTheme="minorEastAsia" w:hAnsiTheme="minorEastAsia" w:eastAsiaTheme="minorEastAsia" w:cstheme="minorEastAsia"/>
          <w:color w:val="auto"/>
          <w:sz w:val="24"/>
          <w:szCs w:val="24"/>
          <w:highlight w:val="none"/>
          <w:lang w:val="en-US" w:eastAsia="zh-CN"/>
        </w:rPr>
        <w:t>24.05</w:t>
      </w:r>
      <w:r>
        <w:rPr>
          <w:rFonts w:hint="eastAsia" w:asciiTheme="minorEastAsia" w:hAnsiTheme="minorEastAsia" w:eastAsiaTheme="minorEastAsia" w:cstheme="minorEastAsia"/>
          <w:color w:val="auto"/>
          <w:sz w:val="24"/>
          <w:szCs w:val="24"/>
          <w:highlight w:val="none"/>
          <w:lang w:eastAsia="zh-CN"/>
        </w:rPr>
        <w:t>万人</w:t>
      </w:r>
      <w:r>
        <w:rPr>
          <w:rFonts w:hint="eastAsia" w:asciiTheme="minorEastAsia" w:hAnsiTheme="minorEastAsia" w:eastAsiaTheme="minorEastAsia" w:cstheme="minorEastAsia"/>
          <w:color w:val="auto"/>
          <w:spacing w:val="-13"/>
          <w:sz w:val="24"/>
          <w:szCs w:val="24"/>
          <w:highlight w:val="none"/>
          <w:lang w:val="en-US"/>
        </w:rPr>
        <w:t>。</w:t>
      </w:r>
    </w:p>
    <w:p>
      <w:pPr>
        <w:spacing w:line="500" w:lineRule="exact"/>
        <w:jc w:val="both"/>
        <w:outlineLvl w:val="1"/>
        <w:rPr>
          <w:rFonts w:asciiTheme="minorEastAsia" w:hAnsiTheme="minorEastAsia" w:eastAsiaTheme="minorEastAsia" w:cstheme="minorEastAsia"/>
          <w:b/>
          <w:color w:val="auto"/>
          <w:sz w:val="24"/>
          <w:szCs w:val="24"/>
          <w:highlight w:val="none"/>
        </w:rPr>
      </w:pPr>
      <w:bookmarkStart w:id="88" w:name="_Toc2496"/>
      <w:r>
        <w:rPr>
          <w:rFonts w:hint="eastAsia" w:ascii="黑体" w:hAnsi="黑体" w:eastAsia="黑体" w:cs="黑体"/>
          <w:b/>
          <w:color w:val="auto"/>
          <w:sz w:val="28"/>
          <w:szCs w:val="28"/>
          <w:highlight w:val="none"/>
        </w:rPr>
        <w:t>5.</w:t>
      </w:r>
      <w:r>
        <w:rPr>
          <w:rFonts w:hint="eastAsia" w:ascii="黑体" w:hAnsi="黑体" w:eastAsia="黑体" w:cs="黑体"/>
          <w:b/>
          <w:color w:val="auto"/>
          <w:sz w:val="28"/>
          <w:szCs w:val="28"/>
          <w:highlight w:val="none"/>
          <w:lang w:val="en-US"/>
        </w:rPr>
        <w:t xml:space="preserve">3 </w:t>
      </w:r>
      <w:r>
        <w:rPr>
          <w:rFonts w:hint="eastAsia" w:asciiTheme="minorEastAsia" w:hAnsiTheme="minorEastAsia" w:eastAsiaTheme="minorEastAsia" w:cstheme="minorEastAsia"/>
          <w:b/>
          <w:color w:val="auto"/>
          <w:sz w:val="24"/>
          <w:szCs w:val="24"/>
          <w:highlight w:val="none"/>
          <w:lang w:val="en-US"/>
        </w:rPr>
        <w:t>方案片区划分</w:t>
      </w:r>
      <w:bookmarkEnd w:id="88"/>
    </w:p>
    <w:p>
      <w:pPr>
        <w:pStyle w:val="10"/>
        <w:spacing w:line="500" w:lineRule="exact"/>
        <w:ind w:firstLine="428" w:firstLineChars="200"/>
        <w:jc w:val="both"/>
        <w:rPr>
          <w:rFonts w:asciiTheme="minorEastAsia" w:hAnsiTheme="minorEastAsia" w:eastAsiaTheme="minorEastAsia" w:cstheme="minorEastAsia"/>
          <w:color w:val="auto"/>
          <w:spacing w:val="-25"/>
          <w:sz w:val="24"/>
          <w:szCs w:val="24"/>
          <w:lang w:val="en-US"/>
        </w:rPr>
      </w:pPr>
      <w:r>
        <w:rPr>
          <w:rFonts w:hint="eastAsia" w:asciiTheme="minorEastAsia" w:hAnsiTheme="minorEastAsia" w:eastAsiaTheme="minorEastAsia" w:cstheme="minorEastAsia"/>
          <w:color w:val="auto"/>
          <w:spacing w:val="-13"/>
          <w:sz w:val="24"/>
          <w:szCs w:val="24"/>
          <w:highlight w:val="none"/>
          <w:lang w:val="en-US"/>
        </w:rPr>
        <w:t>本次工程范围涉及附城街道、双东街道、素龙街道、满塘镇、围底镇、罗平镇、苹塘镇、华石镇、榃滨镇、连州镇、黎少镇、龙湾镇、加益镇、分界镇、太平镇、船步镇、金鸡镇、生江镇、泗纶镇、罗镜镇等20个镇街的镇（城）区范围及全市各镇街镇（城）区范围以内的约</w:t>
      </w:r>
      <w:r>
        <w:rPr>
          <w:rFonts w:hint="eastAsia" w:asciiTheme="minorEastAsia" w:hAnsiTheme="minorEastAsia" w:eastAsiaTheme="minorEastAsia" w:cstheme="minorEastAsia"/>
          <w:color w:val="auto"/>
          <w:spacing w:val="-13"/>
          <w:sz w:val="24"/>
          <w:szCs w:val="24"/>
          <w:highlight w:val="none"/>
          <w:lang w:val="en-US" w:eastAsia="zh-CN"/>
        </w:rPr>
        <w:t>1494</w:t>
      </w:r>
      <w:r>
        <w:rPr>
          <w:rFonts w:hint="eastAsia" w:asciiTheme="minorEastAsia" w:hAnsiTheme="minorEastAsia" w:eastAsiaTheme="minorEastAsia" w:cstheme="minorEastAsia"/>
          <w:color w:val="auto"/>
          <w:spacing w:val="-13"/>
          <w:sz w:val="24"/>
          <w:szCs w:val="24"/>
          <w:highlight w:val="none"/>
          <w:lang w:val="en-US"/>
        </w:rPr>
        <w:t>个自然村（罗城街道因不含自然村，不在本次实施范围内），范围内包含</w:t>
      </w:r>
      <w:r>
        <w:rPr>
          <w:rFonts w:hint="eastAsia" w:asciiTheme="minorEastAsia" w:hAnsiTheme="minorEastAsia" w:eastAsiaTheme="minorEastAsia" w:cstheme="minorEastAsia"/>
          <w:color w:val="auto"/>
          <w:spacing w:val="-25"/>
          <w:sz w:val="24"/>
          <w:szCs w:val="24"/>
          <w:highlight w:val="none"/>
          <w:lang w:val="en-US"/>
        </w:rPr>
        <w:t>罗境河、船步河、围底河、新榕河、</w:t>
      </w:r>
      <w:r>
        <w:rPr>
          <w:rFonts w:hint="eastAsia" w:asciiTheme="minorEastAsia" w:hAnsiTheme="minorEastAsia" w:eastAsiaTheme="minorEastAsia" w:cstheme="minorEastAsia"/>
          <w:color w:val="auto"/>
          <w:spacing w:val="-25"/>
          <w:sz w:val="24"/>
          <w:szCs w:val="24"/>
          <w:lang w:val="en-US"/>
        </w:rPr>
        <w:t>连州河、泗纶河、榃滨河、新乐河、罗定江等9大支流，为确保工程有序、有效、顺利进行，本次工程按9大支流划分四大流域片区，分别为罗境河流域片区（包含罗境河、新榕河、连州河）、围底河流域片区（包含船步河、围底河、罗定江）、泗纶河流域片区、榃滨河流域片区（包含榃滨河、新乐河），各流域片区沿途的镇区和自然村纳入该流域改造范围，具体划分如图5.3-1。</w:t>
      </w:r>
    </w:p>
    <w:p>
      <w:pPr>
        <w:spacing w:line="500" w:lineRule="exact"/>
        <w:ind w:firstLine="422" w:firstLineChars="200"/>
        <w:jc w:val="center"/>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1"/>
          <w:szCs w:val="21"/>
          <w:lang w:val="en-US"/>
        </w:rPr>
        <w:drawing>
          <wp:anchor distT="0" distB="0" distL="114300" distR="114300" simplePos="0" relativeHeight="251673600" behindDoc="0" locked="0" layoutInCell="1" allowOverlap="1">
            <wp:simplePos x="0" y="0"/>
            <wp:positionH relativeFrom="column">
              <wp:posOffset>81915</wp:posOffset>
            </wp:positionH>
            <wp:positionV relativeFrom="paragraph">
              <wp:posOffset>361315</wp:posOffset>
            </wp:positionV>
            <wp:extent cx="5391150" cy="3376295"/>
            <wp:effectExtent l="0" t="0" r="0" b="0"/>
            <wp:wrapTopAndBottom/>
            <wp:docPr id="47" name="图片 47" descr="7b05f79c732ddf99484d84b61c7d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7b05f79c732ddf99484d84b61c7d498"/>
                    <pic:cNvPicPr>
                      <a:picLocks noChangeAspect="1"/>
                    </pic:cNvPicPr>
                  </pic:nvPicPr>
                  <pic:blipFill>
                    <a:blip r:embed="rId34"/>
                    <a:stretch>
                      <a:fillRect/>
                    </a:stretch>
                  </pic:blipFill>
                  <pic:spPr>
                    <a:xfrm>
                      <a:off x="0" y="0"/>
                      <a:ext cx="5391150" cy="3376295"/>
                    </a:xfrm>
                    <a:prstGeom prst="rect">
                      <a:avLst/>
                    </a:prstGeom>
                  </pic:spPr>
                </pic:pic>
              </a:graphicData>
            </a:graphic>
          </wp:anchor>
        </w:drawing>
      </w:r>
    </w:p>
    <w:p>
      <w:pPr>
        <w:spacing w:line="500" w:lineRule="exact"/>
        <w:ind w:firstLine="2319" w:firstLineChars="11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1"/>
          <w:szCs w:val="21"/>
          <w:lang w:val="en-US"/>
        </w:rPr>
        <w:t>图</w:t>
      </w:r>
      <w:r>
        <w:rPr>
          <w:rFonts w:hint="eastAsia" w:asciiTheme="minorEastAsia" w:hAnsiTheme="minorEastAsia" w:eastAsiaTheme="minorEastAsia" w:cstheme="minorEastAsia"/>
          <w:b/>
          <w:color w:val="auto"/>
          <w:sz w:val="21"/>
          <w:szCs w:val="21"/>
        </w:rPr>
        <w:t>5.</w:t>
      </w:r>
      <w:r>
        <w:rPr>
          <w:rFonts w:hint="eastAsia" w:asciiTheme="minorEastAsia" w:hAnsiTheme="minorEastAsia" w:eastAsiaTheme="minorEastAsia" w:cstheme="minorEastAsia"/>
          <w:b/>
          <w:color w:val="auto"/>
          <w:sz w:val="21"/>
          <w:szCs w:val="21"/>
          <w:lang w:val="en-US"/>
        </w:rPr>
        <w:t>3</w:t>
      </w:r>
      <w:r>
        <w:rPr>
          <w:rFonts w:hint="eastAsia" w:asciiTheme="minorEastAsia" w:hAnsiTheme="minorEastAsia" w:eastAsiaTheme="minorEastAsia" w:cstheme="minorEastAsia"/>
          <w:b/>
          <w:color w:val="auto"/>
          <w:sz w:val="21"/>
          <w:szCs w:val="21"/>
        </w:rPr>
        <w:t xml:space="preserve">-1  </w:t>
      </w:r>
      <w:r>
        <w:rPr>
          <w:rFonts w:hint="eastAsia" w:asciiTheme="minorEastAsia" w:hAnsiTheme="minorEastAsia" w:eastAsiaTheme="minorEastAsia" w:cstheme="minorEastAsia"/>
          <w:b/>
          <w:color w:val="auto"/>
          <w:sz w:val="21"/>
          <w:szCs w:val="21"/>
          <w:lang w:val="en-US"/>
        </w:rPr>
        <w:t>项目流域片区分布示意图</w:t>
      </w:r>
      <w:bookmarkStart w:id="89" w:name="_Toc23662"/>
    </w:p>
    <w:p>
      <w:pPr>
        <w:widowControl/>
        <w:autoSpaceDE/>
        <w:autoSpaceDN/>
        <w:jc w:val="center"/>
        <w:rPr>
          <w:rFonts w:ascii="黑体" w:hAnsi="黑体" w:eastAsia="黑体" w:cs="黑体"/>
          <w:b/>
          <w:bCs/>
          <w:color w:val="auto"/>
          <w:sz w:val="32"/>
          <w:szCs w:val="32"/>
        </w:rPr>
      </w:pPr>
      <w:r>
        <w:rPr>
          <w:color w:val="auto"/>
        </w:rPr>
        <w:br w:type="page"/>
      </w:r>
    </w:p>
    <w:p>
      <w:pPr>
        <w:pStyle w:val="2"/>
        <w:ind w:left="0"/>
        <w:jc w:val="center"/>
        <w:rPr>
          <w:color w:val="auto"/>
        </w:rPr>
      </w:pPr>
      <w:bookmarkStart w:id="90" w:name="_Toc24824"/>
      <w:r>
        <w:rPr>
          <w:rFonts w:hint="eastAsia"/>
          <w:color w:val="auto"/>
        </w:rPr>
        <w:t>六 、项目设计</w:t>
      </w:r>
      <w:bookmarkEnd w:id="89"/>
      <w:bookmarkEnd w:id="90"/>
    </w:p>
    <w:p>
      <w:pPr>
        <w:pStyle w:val="2"/>
        <w:numPr>
          <w:ilvl w:val="1"/>
          <w:numId w:val="27"/>
        </w:numPr>
        <w:tabs>
          <w:tab w:val="left" w:pos="1548"/>
        </w:tabs>
        <w:spacing w:before="0" w:line="500" w:lineRule="exact"/>
        <w:ind w:left="0" w:firstLine="0"/>
        <w:jc w:val="both"/>
        <w:rPr>
          <w:rFonts w:asciiTheme="minorEastAsia" w:hAnsiTheme="minorEastAsia" w:eastAsiaTheme="minorEastAsia" w:cstheme="minorEastAsia"/>
          <w:color w:val="auto"/>
          <w:sz w:val="24"/>
          <w:szCs w:val="24"/>
        </w:rPr>
      </w:pPr>
      <w:bookmarkStart w:id="91" w:name="6.1污水管渠设计"/>
      <w:bookmarkEnd w:id="91"/>
      <w:bookmarkStart w:id="92" w:name="_Toc26510"/>
      <w:bookmarkStart w:id="93" w:name="_Toc19764"/>
      <w:bookmarkStart w:id="94" w:name="_Toc11174"/>
      <w:bookmarkStart w:id="95" w:name="_Toc30873"/>
      <w:r>
        <w:rPr>
          <w:rFonts w:hint="eastAsia" w:asciiTheme="minorEastAsia" w:hAnsiTheme="minorEastAsia" w:eastAsiaTheme="minorEastAsia" w:cstheme="minorEastAsia"/>
          <w:color w:val="auto"/>
          <w:sz w:val="24"/>
          <w:szCs w:val="24"/>
        </w:rPr>
        <w:t>污水处理站设计</w:t>
      </w:r>
      <w:bookmarkEnd w:id="92"/>
      <w:bookmarkEnd w:id="93"/>
    </w:p>
    <w:p>
      <w:pPr>
        <w:pStyle w:val="32"/>
        <w:numPr>
          <w:ilvl w:val="2"/>
          <w:numId w:val="28"/>
        </w:numPr>
        <w:tabs>
          <w:tab w:val="left" w:pos="1796"/>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规范和标准</w:t>
      </w:r>
    </w:p>
    <w:p>
      <w:pPr>
        <w:pStyle w:val="32"/>
        <w:numPr>
          <w:ilvl w:val="0"/>
          <w:numId w:val="2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《室外排水设计规范》（GB50014-2006）（2016年版）</w:t>
      </w:r>
    </w:p>
    <w:p>
      <w:pPr>
        <w:pStyle w:val="32"/>
        <w:numPr>
          <w:ilvl w:val="0"/>
          <w:numId w:val="2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《给水排水设计手册·（城镇排水）》（第二版）</w:t>
      </w:r>
    </w:p>
    <w:p>
      <w:pPr>
        <w:pStyle w:val="32"/>
        <w:numPr>
          <w:ilvl w:val="0"/>
          <w:numId w:val="2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《城市排水工程规划规范》（GB50318-2000）</w:t>
      </w:r>
    </w:p>
    <w:p>
      <w:pPr>
        <w:pStyle w:val="32"/>
        <w:numPr>
          <w:ilvl w:val="0"/>
          <w:numId w:val="2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 xml:space="preserve">《广东省城镇污水处理技术与政策指引》（广东省建设厅） </w:t>
      </w:r>
    </w:p>
    <w:p>
      <w:pPr>
        <w:pStyle w:val="32"/>
        <w:numPr>
          <w:ilvl w:val="0"/>
          <w:numId w:val="2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《广东省农村生活污水处理技术指引》（广东省住建厅2007）</w:t>
      </w:r>
    </w:p>
    <w:p>
      <w:pPr>
        <w:pStyle w:val="32"/>
        <w:numPr>
          <w:ilvl w:val="0"/>
          <w:numId w:val="2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广东省《农村生活污水处理排放标准（DB44/2208-2019）》</w:t>
      </w:r>
    </w:p>
    <w:p>
      <w:pPr>
        <w:pStyle w:val="32"/>
        <w:numPr>
          <w:ilvl w:val="0"/>
          <w:numId w:val="2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 xml:space="preserve">《城市污水处理工程项目建设标准》（建标〔200177号） </w:t>
      </w:r>
    </w:p>
    <w:p>
      <w:pPr>
        <w:pStyle w:val="32"/>
        <w:numPr>
          <w:ilvl w:val="0"/>
          <w:numId w:val="2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《城市污水处理厂工程质量验收规范》（GB50334-2002）</w:t>
      </w:r>
      <w:r>
        <w:rPr>
          <w:rFonts w:hint="eastAsia" w:asciiTheme="minorEastAsia" w:hAnsiTheme="minorEastAsia" w:eastAsiaTheme="minorEastAsia" w:cstheme="minorEastAsia"/>
          <w:color w:val="auto"/>
          <w:spacing w:val="-1"/>
          <w:sz w:val="24"/>
          <w:szCs w:val="24"/>
        </w:rPr>
        <w:tab/>
      </w:r>
    </w:p>
    <w:p>
      <w:pPr>
        <w:pStyle w:val="32"/>
        <w:numPr>
          <w:ilvl w:val="0"/>
          <w:numId w:val="2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《城市生活垃圾处理和给水与污水处理工程项目建设用地指 标》（建标</w:t>
      </w:r>
    </w:p>
    <w:p>
      <w:pPr>
        <w:tabs>
          <w:tab w:val="left" w:pos="1541"/>
        </w:tabs>
        <w:spacing w:line="500" w:lineRule="exact"/>
        <w:ind w:left="567" w:firstLine="238" w:firstLineChars="100"/>
        <w:jc w:val="both"/>
        <w:rPr>
          <w:color w:val="auto"/>
        </w:rPr>
      </w:pPr>
      <w:r>
        <w:rPr>
          <w:rFonts w:hint="eastAsia" w:asciiTheme="minorEastAsia" w:hAnsiTheme="minorEastAsia" w:eastAsiaTheme="minorEastAsia" w:cstheme="minorEastAsia"/>
          <w:color w:val="auto"/>
          <w:spacing w:val="-1"/>
          <w:sz w:val="24"/>
          <w:szCs w:val="24"/>
        </w:rPr>
        <w:t>〔2005 〕157号）</w:t>
      </w:r>
    </w:p>
    <w:p>
      <w:pPr>
        <w:pStyle w:val="32"/>
        <w:numPr>
          <w:ilvl w:val="0"/>
          <w:numId w:val="2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 xml:space="preserve">《地表水环境质量标准》（GB3838-2002） </w:t>
      </w:r>
    </w:p>
    <w:p>
      <w:pPr>
        <w:pStyle w:val="32"/>
        <w:numPr>
          <w:ilvl w:val="0"/>
          <w:numId w:val="2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《污水综合排放标准》（GB8978-1996）</w:t>
      </w:r>
    </w:p>
    <w:p>
      <w:pPr>
        <w:pStyle w:val="32"/>
        <w:numPr>
          <w:ilvl w:val="0"/>
          <w:numId w:val="2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 xml:space="preserve">《城镇污水处理厂污染物排放标》（GB18918-2002） </w:t>
      </w:r>
    </w:p>
    <w:p>
      <w:pPr>
        <w:pStyle w:val="32"/>
        <w:numPr>
          <w:ilvl w:val="0"/>
          <w:numId w:val="2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 xml:space="preserve">《城市污水处理厂污水污泥排放标》（CJ3025-1993） </w:t>
      </w:r>
    </w:p>
    <w:p>
      <w:pPr>
        <w:pStyle w:val="32"/>
        <w:numPr>
          <w:ilvl w:val="0"/>
          <w:numId w:val="2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 xml:space="preserve">广东省《水污染物排放限值》（DB44/26—2001） </w:t>
      </w:r>
    </w:p>
    <w:p>
      <w:pPr>
        <w:pStyle w:val="32"/>
        <w:numPr>
          <w:ilvl w:val="0"/>
          <w:numId w:val="2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《环境空气质量标准》（GB3095-2012）</w:t>
      </w:r>
    </w:p>
    <w:p>
      <w:pPr>
        <w:pStyle w:val="32"/>
        <w:numPr>
          <w:ilvl w:val="0"/>
          <w:numId w:val="2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《农村生活污水处理项目建设与投资指南》（环境保护部）</w:t>
      </w:r>
    </w:p>
    <w:p>
      <w:pPr>
        <w:pStyle w:val="32"/>
        <w:numPr>
          <w:ilvl w:val="0"/>
          <w:numId w:val="2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《分地区农村生活污水处理技术指南》（建村〔2010〕149号）</w:t>
      </w:r>
    </w:p>
    <w:p>
      <w:pPr>
        <w:pStyle w:val="32"/>
        <w:numPr>
          <w:ilvl w:val="0"/>
          <w:numId w:val="2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《城镇污水处理厂污泥处理处置技术指南（试行）》（建科〔2011〕34号）</w:t>
      </w:r>
    </w:p>
    <w:p>
      <w:pPr>
        <w:pStyle w:val="32"/>
        <w:numPr>
          <w:ilvl w:val="0"/>
          <w:numId w:val="2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《城镇给水排水技术规范》（GB50788-2012）</w:t>
      </w:r>
    </w:p>
    <w:p>
      <w:pPr>
        <w:pStyle w:val="32"/>
        <w:numPr>
          <w:ilvl w:val="0"/>
          <w:numId w:val="2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《城镇污水再生利用工程设计规范》（GB50335-2016）</w:t>
      </w:r>
    </w:p>
    <w:p>
      <w:pPr>
        <w:pStyle w:val="32"/>
        <w:numPr>
          <w:ilvl w:val="0"/>
          <w:numId w:val="2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《镇（乡）村排水工程技术规程》（CJJ124-2008）</w:t>
      </w:r>
    </w:p>
    <w:p>
      <w:pPr>
        <w:pStyle w:val="32"/>
        <w:numPr>
          <w:ilvl w:val="2"/>
          <w:numId w:val="28"/>
        </w:numPr>
        <w:tabs>
          <w:tab w:val="left" w:pos="1796"/>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农村污水处理站设计</w:t>
      </w:r>
    </w:p>
    <w:p>
      <w:pPr>
        <w:pStyle w:val="32"/>
        <w:numPr>
          <w:ilvl w:val="3"/>
          <w:numId w:val="28"/>
        </w:numPr>
        <w:tabs>
          <w:tab w:val="left" w:pos="270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污水处理站进水水质</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根据对农村污水处理设施进水水质的分析，以及对进水综合水质的预测，确定本工程的设计进水水质见下表：</w:t>
      </w:r>
    </w:p>
    <w:p>
      <w:pPr>
        <w:spacing w:line="500" w:lineRule="exact"/>
        <w:ind w:firstLine="422" w:firstLineChars="200"/>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表6.2-1 设计进水水质（单位：mg/L）</w:t>
      </w:r>
    </w:p>
    <w:tbl>
      <w:tblPr>
        <w:tblStyle w:val="27"/>
        <w:tblW w:w="8303" w:type="dxa"/>
        <w:tblInd w:w="42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12"/>
        <w:gridCol w:w="1374"/>
        <w:gridCol w:w="1436"/>
        <w:gridCol w:w="1348"/>
        <w:gridCol w:w="1336"/>
        <w:gridCol w:w="149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 w:hRule="atLeast"/>
        </w:trPr>
        <w:tc>
          <w:tcPr>
            <w:tcW w:w="1312" w:type="dxa"/>
            <w:tcBorders>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污染物</w:t>
            </w:r>
          </w:p>
        </w:tc>
        <w:tc>
          <w:tcPr>
            <w:tcW w:w="1374" w:type="dxa"/>
            <w:tcBorders>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CODcr</w:t>
            </w:r>
          </w:p>
        </w:tc>
        <w:tc>
          <w:tcPr>
            <w:tcW w:w="1436" w:type="dxa"/>
            <w:tcBorders>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position w:val="2"/>
                <w:sz w:val="21"/>
                <w:szCs w:val="21"/>
              </w:rPr>
              <w:t>BOD</w:t>
            </w:r>
            <w:r>
              <w:rPr>
                <w:rFonts w:hint="eastAsia" w:asciiTheme="minorEastAsia" w:hAnsiTheme="minorEastAsia" w:eastAsiaTheme="minorEastAsia" w:cstheme="minorEastAsia"/>
                <w:b/>
                <w:color w:val="auto"/>
                <w:position w:val="2"/>
                <w:sz w:val="21"/>
                <w:szCs w:val="21"/>
                <w:vertAlign w:val="subscript"/>
              </w:rPr>
              <w:t>5</w:t>
            </w:r>
          </w:p>
        </w:tc>
        <w:tc>
          <w:tcPr>
            <w:tcW w:w="1348" w:type="dxa"/>
            <w:tcBorders>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SS</w:t>
            </w:r>
          </w:p>
        </w:tc>
        <w:tc>
          <w:tcPr>
            <w:tcW w:w="1336" w:type="dxa"/>
            <w:tcBorders>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氨氮</w:t>
            </w:r>
          </w:p>
        </w:tc>
        <w:tc>
          <w:tcPr>
            <w:tcW w:w="1497" w:type="dxa"/>
            <w:tcBorders>
              <w:left w:val="single" w:color="000000" w:sz="4" w:space="0"/>
              <w:bottom w:val="single" w:color="000000" w:sz="4"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TP</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1312" w:type="dxa"/>
            <w:tcBorders>
              <w:top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进水</w:t>
            </w:r>
          </w:p>
        </w:tc>
        <w:tc>
          <w:tcPr>
            <w:tcW w:w="1374" w:type="dxa"/>
            <w:tcBorders>
              <w:top w:val="single" w:color="000000" w:sz="4" w:space="0"/>
              <w:left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150</w:t>
            </w:r>
          </w:p>
        </w:tc>
        <w:tc>
          <w:tcPr>
            <w:tcW w:w="1436" w:type="dxa"/>
            <w:tcBorders>
              <w:top w:val="single" w:color="000000" w:sz="4" w:space="0"/>
              <w:left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100</w:t>
            </w:r>
          </w:p>
        </w:tc>
        <w:tc>
          <w:tcPr>
            <w:tcW w:w="1348" w:type="dxa"/>
            <w:tcBorders>
              <w:top w:val="single" w:color="000000" w:sz="4" w:space="0"/>
              <w:left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100</w:t>
            </w:r>
          </w:p>
        </w:tc>
        <w:tc>
          <w:tcPr>
            <w:tcW w:w="1336" w:type="dxa"/>
            <w:tcBorders>
              <w:top w:val="single" w:color="000000" w:sz="4" w:space="0"/>
              <w:left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w:t>
            </w:r>
          </w:p>
        </w:tc>
        <w:tc>
          <w:tcPr>
            <w:tcW w:w="1497" w:type="dxa"/>
            <w:tcBorders>
              <w:top w:val="single" w:color="000000" w:sz="4" w:space="0"/>
              <w:lef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3</w:t>
            </w:r>
          </w:p>
        </w:tc>
      </w:tr>
    </w:tbl>
    <w:p>
      <w:pPr>
        <w:pStyle w:val="32"/>
        <w:numPr>
          <w:ilvl w:val="3"/>
          <w:numId w:val="28"/>
        </w:numPr>
        <w:tabs>
          <w:tab w:val="left" w:pos="2063"/>
          <w:tab w:val="left" w:pos="2064"/>
        </w:tabs>
        <w:spacing w:before="120" w:beforeLines="50"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污水处理站出水水质</w:t>
      </w:r>
    </w:p>
    <w:p>
      <w:pPr>
        <w:spacing w:line="500" w:lineRule="exact"/>
        <w:ind w:firstLine="422" w:firstLineChars="200"/>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表6.2-2 农村污水处理站排放指标（单位：mg/L）</w:t>
      </w:r>
    </w:p>
    <w:tbl>
      <w:tblPr>
        <w:tblStyle w:val="27"/>
        <w:tblW w:w="8303" w:type="dxa"/>
        <w:tblInd w:w="42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78"/>
        <w:gridCol w:w="1348"/>
        <w:gridCol w:w="1421"/>
        <w:gridCol w:w="1301"/>
        <w:gridCol w:w="1461"/>
        <w:gridCol w:w="149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 w:hRule="atLeast"/>
        </w:trPr>
        <w:tc>
          <w:tcPr>
            <w:tcW w:w="1278" w:type="dxa"/>
            <w:tcBorders>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污染物</w:t>
            </w:r>
          </w:p>
        </w:tc>
        <w:tc>
          <w:tcPr>
            <w:tcW w:w="1348" w:type="dxa"/>
            <w:tcBorders>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CODcr</w:t>
            </w:r>
          </w:p>
        </w:tc>
        <w:tc>
          <w:tcPr>
            <w:tcW w:w="1421" w:type="dxa"/>
            <w:tcBorders>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position w:val="2"/>
                <w:sz w:val="21"/>
                <w:szCs w:val="21"/>
              </w:rPr>
              <w:t>BOD</w:t>
            </w:r>
            <w:r>
              <w:rPr>
                <w:rFonts w:hint="eastAsia" w:asciiTheme="minorEastAsia" w:hAnsiTheme="minorEastAsia" w:eastAsiaTheme="minorEastAsia" w:cstheme="minorEastAsia"/>
                <w:b/>
                <w:color w:val="auto"/>
                <w:position w:val="2"/>
                <w:sz w:val="21"/>
                <w:szCs w:val="21"/>
                <w:vertAlign w:val="subscript"/>
              </w:rPr>
              <w:t>5</w:t>
            </w:r>
          </w:p>
        </w:tc>
        <w:tc>
          <w:tcPr>
            <w:tcW w:w="1301" w:type="dxa"/>
            <w:tcBorders>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SS</w:t>
            </w:r>
          </w:p>
        </w:tc>
        <w:tc>
          <w:tcPr>
            <w:tcW w:w="1461" w:type="dxa"/>
            <w:tcBorders>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氨氮</w:t>
            </w:r>
          </w:p>
        </w:tc>
        <w:tc>
          <w:tcPr>
            <w:tcW w:w="1494" w:type="dxa"/>
            <w:tcBorders>
              <w:left w:val="single" w:color="000000" w:sz="4" w:space="0"/>
              <w:bottom w:val="single" w:color="000000" w:sz="4"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TP</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1278" w:type="dxa"/>
            <w:tcBorders>
              <w:top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出水</w:t>
            </w:r>
          </w:p>
        </w:tc>
        <w:tc>
          <w:tcPr>
            <w:tcW w:w="1348" w:type="dxa"/>
            <w:tcBorders>
              <w:top w:val="single" w:color="000000" w:sz="4" w:space="0"/>
              <w:left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60</w:t>
            </w:r>
          </w:p>
        </w:tc>
        <w:tc>
          <w:tcPr>
            <w:tcW w:w="1421" w:type="dxa"/>
            <w:tcBorders>
              <w:top w:val="single" w:color="000000" w:sz="4" w:space="0"/>
              <w:left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w:t>
            </w:r>
          </w:p>
        </w:tc>
        <w:tc>
          <w:tcPr>
            <w:tcW w:w="1301" w:type="dxa"/>
            <w:tcBorders>
              <w:top w:val="single" w:color="000000" w:sz="4" w:space="0"/>
              <w:left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w:t>
            </w:r>
          </w:p>
        </w:tc>
        <w:tc>
          <w:tcPr>
            <w:tcW w:w="1461" w:type="dxa"/>
            <w:tcBorders>
              <w:top w:val="single" w:color="000000" w:sz="4" w:space="0"/>
              <w:left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8（15）</w:t>
            </w:r>
          </w:p>
        </w:tc>
        <w:tc>
          <w:tcPr>
            <w:tcW w:w="1494" w:type="dxa"/>
            <w:tcBorders>
              <w:top w:val="single" w:color="000000" w:sz="4" w:space="0"/>
              <w:lef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w:t>
            </w:r>
          </w:p>
        </w:tc>
      </w:tr>
    </w:tbl>
    <w:p>
      <w:pPr>
        <w:spacing w:line="500" w:lineRule="exact"/>
        <w:ind w:firstLine="420" w:firstLineChars="200"/>
        <w:rPr>
          <w:rFonts w:asciiTheme="minorEastAsia" w:hAnsiTheme="minorEastAsia" w:eastAsiaTheme="minorEastAsia" w:cstheme="minorEastAsia"/>
          <w:bCs/>
          <w:color w:val="auto"/>
          <w:sz w:val="21"/>
          <w:szCs w:val="21"/>
        </w:rPr>
      </w:pPr>
      <w:r>
        <w:rPr>
          <w:rFonts w:hint="eastAsia" w:asciiTheme="minorEastAsia" w:hAnsiTheme="minorEastAsia" w:eastAsiaTheme="minorEastAsia" w:cstheme="minorEastAsia"/>
          <w:bCs/>
          <w:color w:val="auto"/>
          <w:sz w:val="21"/>
          <w:szCs w:val="21"/>
        </w:rPr>
        <w:t>备注：氨氮指标括号内的数值为水温≤12℃的控制指标</w:t>
      </w:r>
    </w:p>
    <w:p>
      <w:pPr>
        <w:pStyle w:val="32"/>
        <w:numPr>
          <w:ilvl w:val="3"/>
          <w:numId w:val="28"/>
        </w:numPr>
        <w:tabs>
          <w:tab w:val="left" w:pos="2063"/>
          <w:tab w:val="left" w:pos="2064"/>
        </w:tabs>
        <w:spacing w:before="120" w:beforeLines="50"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lang w:val="en-US" w:eastAsia="zh-CN"/>
        </w:rPr>
        <w:t>治理要求</w:t>
      </w:r>
    </w:p>
    <w:p>
      <w:pPr>
        <w:keepNext w:val="0"/>
        <w:keepLines w:val="0"/>
        <w:pageBreakBefore w:val="0"/>
        <w:widowControl w:val="0"/>
        <w:kinsoku/>
        <w:wordWrap/>
        <w:overflowPunct/>
        <w:topLinePunct w:val="0"/>
        <w:autoSpaceDE w:val="0"/>
        <w:autoSpaceDN w:val="0"/>
        <w:bidi w:val="0"/>
        <w:adjustRightInd/>
        <w:snapToGrid/>
        <w:spacing w:line="500" w:lineRule="exact"/>
        <w:ind w:left="0" w:firstLine="480" w:firstLineChars="200"/>
        <w:jc w:val="both"/>
        <w:textAlignment w:val="auto"/>
        <w:rPr>
          <w:rFonts w:hint="eastAsia" w:asciiTheme="minorEastAsia" w:hAnsiTheme="minorEastAsia" w:eastAsiaTheme="minorEastAsia" w:cstheme="minorEastAsia"/>
          <w:b w:val="0"/>
          <w:bCs/>
          <w:color w:val="auto"/>
          <w:sz w:val="24"/>
          <w:szCs w:val="24"/>
        </w:rPr>
      </w:pPr>
      <w:r>
        <w:rPr>
          <w:rFonts w:hint="eastAsia" w:asciiTheme="minorEastAsia" w:hAnsiTheme="minorEastAsia" w:eastAsiaTheme="minorEastAsia" w:cstheme="minorEastAsia"/>
          <w:b w:val="0"/>
          <w:bCs/>
          <w:color w:val="auto"/>
          <w:sz w:val="24"/>
          <w:szCs w:val="24"/>
          <w:lang w:val="en-US" w:eastAsia="zh-CN"/>
        </w:rPr>
        <w:t>本项目建设设施</w:t>
      </w:r>
      <w:r>
        <w:rPr>
          <w:rFonts w:hint="eastAsia" w:asciiTheme="minorEastAsia" w:hAnsiTheme="minorEastAsia" w:eastAsiaTheme="minorEastAsia" w:cstheme="minorEastAsia"/>
          <w:b w:val="0"/>
          <w:bCs/>
          <w:color w:val="auto"/>
          <w:sz w:val="24"/>
          <w:szCs w:val="24"/>
        </w:rPr>
        <w:t>生活污水经治理后应达到相应标准，出水水质参考执行出水水质参考执行《农村生活污水处理排放标准》（DB44/2208-2019）中的一级标准、二级标准或三级标准，见表</w:t>
      </w:r>
      <w:r>
        <w:rPr>
          <w:rFonts w:hint="eastAsia" w:asciiTheme="minorEastAsia" w:hAnsiTheme="minorEastAsia" w:eastAsiaTheme="minorEastAsia" w:cstheme="minorEastAsia"/>
          <w:b w:val="0"/>
          <w:bCs/>
          <w:color w:val="auto"/>
          <w:sz w:val="24"/>
          <w:szCs w:val="24"/>
          <w:lang w:val="en-US" w:eastAsia="zh-CN"/>
        </w:rPr>
        <w:t>6.2-3</w:t>
      </w:r>
      <w:r>
        <w:rPr>
          <w:rFonts w:hint="eastAsia" w:asciiTheme="minorEastAsia" w:hAnsiTheme="minorEastAsia" w:eastAsiaTheme="minorEastAsia" w:cstheme="minorEastAsia"/>
          <w:b w:val="0"/>
          <w:bCs/>
          <w:color w:val="auto"/>
          <w:sz w:val="24"/>
          <w:szCs w:val="24"/>
        </w:rPr>
        <w:t>。</w:t>
      </w:r>
    </w:p>
    <w:p>
      <w:pPr>
        <w:spacing w:line="500" w:lineRule="exact"/>
        <w:ind w:left="567"/>
        <w:jc w:val="both"/>
        <w:rPr>
          <w:rFonts w:hint="eastAsia" w:asciiTheme="minorEastAsia" w:hAnsiTheme="minorEastAsia" w:eastAsiaTheme="minorEastAsia" w:cstheme="minorEastAsia"/>
          <w:b w:val="0"/>
          <w:bCs/>
          <w:color w:val="auto"/>
          <w:sz w:val="24"/>
          <w:szCs w:val="24"/>
        </w:rPr>
      </w:pPr>
      <w:r>
        <w:rPr>
          <w:rFonts w:hint="eastAsia" w:asciiTheme="minorEastAsia" w:hAnsiTheme="minorEastAsia" w:eastAsiaTheme="minorEastAsia" w:cstheme="minorEastAsia"/>
          <w:b w:val="0"/>
          <w:bCs/>
          <w:color w:val="auto"/>
          <w:sz w:val="24"/>
          <w:szCs w:val="24"/>
        </w:rPr>
        <w:t>表6.2-3农村污水治理出水水质执行标准单位：mg/L（pH值除外）</w:t>
      </w:r>
    </w:p>
    <w:tbl>
      <w:tblPr>
        <w:tblStyle w:val="27"/>
        <w:tblW w:w="4999"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956"/>
        <w:gridCol w:w="2140"/>
        <w:gridCol w:w="1751"/>
        <w:gridCol w:w="2096"/>
        <w:gridCol w:w="206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jc w:val="center"/>
        </w:trPr>
        <w:tc>
          <w:tcPr>
            <w:tcW w:w="531" w:type="pct"/>
            <w:vMerge w:val="restart"/>
            <w:tcBorders>
              <w:top w:val="single" w:color="000000" w:sz="4" w:space="0"/>
              <w:left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b/>
                <w:bCs/>
                <w:color w:val="auto"/>
                <w:sz w:val="24"/>
                <w:szCs w:val="24"/>
              </w:rPr>
            </w:pPr>
            <w:r>
              <w:rPr>
                <w:rFonts w:hint="default"/>
                <w:b/>
                <w:bCs/>
                <w:color w:val="auto"/>
                <w:sz w:val="24"/>
                <w:szCs w:val="24"/>
              </w:rPr>
              <w:t>序号</w:t>
            </w:r>
          </w:p>
        </w:tc>
        <w:tc>
          <w:tcPr>
            <w:tcW w:w="1188" w:type="pct"/>
            <w:vMerge w:val="restart"/>
            <w:tcBorders>
              <w:top w:val="single" w:color="000000" w:sz="4" w:space="0"/>
              <w:left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b/>
                <w:bCs/>
                <w:color w:val="auto"/>
                <w:sz w:val="24"/>
                <w:szCs w:val="24"/>
                <w:lang w:eastAsia="zh-CN"/>
              </w:rPr>
            </w:pPr>
            <w:r>
              <w:rPr>
                <w:rFonts w:hint="default"/>
                <w:b/>
                <w:bCs/>
                <w:color w:val="auto"/>
                <w:sz w:val="24"/>
                <w:szCs w:val="24"/>
                <w:lang w:eastAsia="zh-CN"/>
              </w:rPr>
              <w:t>控制</w:t>
            </w:r>
            <w:r>
              <w:rPr>
                <w:rFonts w:hint="default"/>
                <w:b/>
                <w:bCs/>
                <w:color w:val="auto"/>
                <w:sz w:val="24"/>
                <w:szCs w:val="24"/>
              </w:rPr>
              <w:t>项目</w:t>
            </w:r>
            <w:r>
              <w:rPr>
                <w:rFonts w:hint="default"/>
                <w:b/>
                <w:bCs/>
                <w:color w:val="auto"/>
                <w:sz w:val="24"/>
                <w:szCs w:val="24"/>
                <w:lang w:eastAsia="zh-CN"/>
              </w:rPr>
              <w:t>名称</w:t>
            </w:r>
          </w:p>
        </w:tc>
        <w:tc>
          <w:tcPr>
            <w:tcW w:w="327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b/>
                <w:bCs/>
                <w:color w:val="auto"/>
                <w:sz w:val="24"/>
                <w:szCs w:val="24"/>
                <w:lang w:eastAsia="zh-CN"/>
              </w:rPr>
            </w:pPr>
            <w:r>
              <w:rPr>
                <w:rFonts w:hint="default"/>
                <w:b/>
                <w:bCs/>
                <w:color w:val="auto"/>
                <w:sz w:val="24"/>
                <w:szCs w:val="24"/>
                <w:lang w:eastAsia="zh-CN"/>
              </w:rPr>
              <w:t>限值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531" w:type="pct"/>
            <w:vMerge w:val="continue"/>
            <w:tcBorders>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b/>
                <w:bCs/>
                <w:color w:val="auto"/>
                <w:sz w:val="24"/>
                <w:szCs w:val="24"/>
              </w:rPr>
            </w:pPr>
          </w:p>
        </w:tc>
        <w:tc>
          <w:tcPr>
            <w:tcW w:w="1188" w:type="pct"/>
            <w:vMerge w:val="continue"/>
            <w:tcBorders>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b/>
                <w:bCs/>
                <w:color w:val="auto"/>
                <w:sz w:val="24"/>
                <w:szCs w:val="24"/>
              </w:rPr>
            </w:pPr>
          </w:p>
        </w:tc>
        <w:tc>
          <w:tcPr>
            <w:tcW w:w="9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b/>
                <w:bCs/>
                <w:color w:val="auto"/>
                <w:sz w:val="24"/>
                <w:szCs w:val="24"/>
                <w:lang w:eastAsia="zh-CN"/>
              </w:rPr>
            </w:pPr>
            <w:r>
              <w:rPr>
                <w:rFonts w:hint="default"/>
                <w:b/>
                <w:bCs/>
                <w:color w:val="auto"/>
                <w:sz w:val="24"/>
                <w:szCs w:val="24"/>
                <w:lang w:eastAsia="zh-CN"/>
              </w:rPr>
              <w:t>一级标准</w:t>
            </w:r>
          </w:p>
        </w:tc>
        <w:tc>
          <w:tcPr>
            <w:tcW w:w="11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b/>
                <w:bCs/>
                <w:color w:val="auto"/>
                <w:sz w:val="24"/>
                <w:szCs w:val="24"/>
              </w:rPr>
            </w:pPr>
            <w:r>
              <w:rPr>
                <w:rFonts w:hint="default"/>
                <w:b/>
                <w:bCs/>
                <w:color w:val="auto"/>
                <w:sz w:val="24"/>
                <w:szCs w:val="24"/>
                <w:lang w:eastAsia="zh-CN"/>
              </w:rPr>
              <w:t>二级标准</w:t>
            </w:r>
          </w:p>
        </w:tc>
        <w:tc>
          <w:tcPr>
            <w:tcW w:w="114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b/>
                <w:bCs/>
                <w:color w:val="auto"/>
                <w:sz w:val="24"/>
                <w:szCs w:val="24"/>
              </w:rPr>
            </w:pPr>
            <w:r>
              <w:rPr>
                <w:rFonts w:hint="default"/>
                <w:b/>
                <w:bCs/>
                <w:color w:val="auto"/>
                <w:sz w:val="24"/>
                <w:szCs w:val="24"/>
                <w:lang w:eastAsia="zh-CN"/>
              </w:rPr>
              <w:t>三级标准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color w:val="auto"/>
                <w:sz w:val="24"/>
                <w:szCs w:val="24"/>
                <w:lang w:val="en-US" w:eastAsia="zh-CN"/>
              </w:rPr>
            </w:pPr>
            <w:r>
              <w:rPr>
                <w:rFonts w:hint="default"/>
                <w:color w:val="auto"/>
                <w:sz w:val="24"/>
                <w:szCs w:val="24"/>
              </w:rPr>
              <w:t>1</w:t>
            </w:r>
          </w:p>
        </w:tc>
        <w:tc>
          <w:tcPr>
            <w:tcW w:w="11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color w:val="auto"/>
                <w:sz w:val="24"/>
                <w:szCs w:val="24"/>
                <w:lang w:val="en-US" w:eastAsia="zh-CN"/>
              </w:rPr>
            </w:pPr>
            <w:r>
              <w:rPr>
                <w:rFonts w:hint="default"/>
                <w:color w:val="auto"/>
                <w:sz w:val="24"/>
                <w:szCs w:val="24"/>
                <w:lang w:val="en-US" w:eastAsia="zh-CN"/>
              </w:rPr>
              <w:t>pH值（无量纲）</w:t>
            </w:r>
          </w:p>
        </w:tc>
        <w:tc>
          <w:tcPr>
            <w:tcW w:w="327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color w:val="auto"/>
                <w:sz w:val="24"/>
                <w:szCs w:val="24"/>
                <w:lang w:val="en-US" w:eastAsia="zh-CN"/>
              </w:rPr>
            </w:pPr>
            <w:r>
              <w:rPr>
                <w:rFonts w:hint="default"/>
                <w:color w:val="auto"/>
                <w:sz w:val="24"/>
                <w:szCs w:val="24"/>
                <w:lang w:val="en-US" w:eastAsia="zh-CN"/>
              </w:rPr>
              <w:t>6-9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jc w:val="center"/>
        </w:trPr>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color w:val="auto"/>
                <w:sz w:val="24"/>
                <w:szCs w:val="24"/>
                <w:lang w:val="en-US" w:eastAsia="zh-CN"/>
              </w:rPr>
            </w:pPr>
            <w:r>
              <w:rPr>
                <w:rFonts w:hint="default"/>
                <w:color w:val="auto"/>
                <w:sz w:val="24"/>
                <w:szCs w:val="24"/>
              </w:rPr>
              <w:t>2</w:t>
            </w:r>
          </w:p>
        </w:tc>
        <w:tc>
          <w:tcPr>
            <w:tcW w:w="11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color w:val="auto"/>
                <w:sz w:val="24"/>
                <w:szCs w:val="24"/>
                <w:lang w:val="en-US" w:eastAsia="zh-CN"/>
              </w:rPr>
            </w:pPr>
            <w:r>
              <w:rPr>
                <w:rFonts w:hint="default"/>
                <w:color w:val="auto"/>
                <w:sz w:val="24"/>
                <w:szCs w:val="24"/>
                <w:lang w:eastAsia="zh-CN"/>
              </w:rPr>
              <w:t>悬浮物</w:t>
            </w:r>
          </w:p>
        </w:tc>
        <w:tc>
          <w:tcPr>
            <w:tcW w:w="9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color w:val="auto"/>
                <w:sz w:val="24"/>
                <w:szCs w:val="24"/>
                <w:lang w:val="en-US" w:eastAsia="zh-CN"/>
              </w:rPr>
            </w:pPr>
            <w:r>
              <w:rPr>
                <w:rFonts w:hint="default"/>
                <w:color w:val="auto"/>
                <w:sz w:val="24"/>
                <w:szCs w:val="24"/>
                <w:lang w:val="en-US" w:eastAsia="zh-CN"/>
              </w:rPr>
              <w:t>20</w:t>
            </w:r>
          </w:p>
        </w:tc>
        <w:tc>
          <w:tcPr>
            <w:tcW w:w="11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color w:val="auto"/>
                <w:sz w:val="24"/>
                <w:szCs w:val="24"/>
                <w:lang w:val="en-US" w:eastAsia="zh-CN"/>
              </w:rPr>
            </w:pPr>
            <w:r>
              <w:rPr>
                <w:rFonts w:hint="default"/>
                <w:color w:val="auto"/>
                <w:sz w:val="24"/>
                <w:szCs w:val="24"/>
                <w:lang w:val="en-US" w:eastAsia="zh-CN"/>
              </w:rPr>
              <w:t>30</w:t>
            </w:r>
          </w:p>
        </w:tc>
        <w:tc>
          <w:tcPr>
            <w:tcW w:w="114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color w:val="auto"/>
                <w:sz w:val="24"/>
                <w:szCs w:val="24"/>
                <w:lang w:val="en-US" w:eastAsia="zh-CN"/>
              </w:rPr>
            </w:pPr>
            <w:r>
              <w:rPr>
                <w:rFonts w:hint="default"/>
                <w:color w:val="auto"/>
                <w:sz w:val="24"/>
                <w:szCs w:val="24"/>
                <w:lang w:val="en-US" w:eastAsia="zh-CN"/>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jc w:val="center"/>
        </w:trPr>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color w:val="auto"/>
                <w:sz w:val="24"/>
                <w:szCs w:val="24"/>
                <w:lang w:val="en-US" w:eastAsia="zh-CN"/>
              </w:rPr>
            </w:pPr>
            <w:r>
              <w:rPr>
                <w:rFonts w:hint="default"/>
                <w:color w:val="auto"/>
                <w:sz w:val="24"/>
                <w:szCs w:val="24"/>
              </w:rPr>
              <w:t>3</w:t>
            </w:r>
          </w:p>
        </w:tc>
        <w:tc>
          <w:tcPr>
            <w:tcW w:w="11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color w:val="auto"/>
                <w:sz w:val="24"/>
                <w:szCs w:val="24"/>
                <w:lang w:val="en-US" w:eastAsia="zh-CN"/>
              </w:rPr>
            </w:pPr>
            <w:r>
              <w:rPr>
                <w:rFonts w:hint="default"/>
                <w:color w:val="auto"/>
                <w:sz w:val="24"/>
                <w:szCs w:val="24"/>
                <w:lang w:eastAsia="zh-CN"/>
              </w:rPr>
              <w:t>化学需氧量</w:t>
            </w:r>
          </w:p>
        </w:tc>
        <w:tc>
          <w:tcPr>
            <w:tcW w:w="9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color w:val="auto"/>
                <w:sz w:val="24"/>
                <w:szCs w:val="24"/>
                <w:lang w:val="en-US" w:eastAsia="zh-CN"/>
              </w:rPr>
            </w:pPr>
            <w:r>
              <w:rPr>
                <w:rFonts w:hint="default"/>
                <w:color w:val="auto"/>
                <w:sz w:val="24"/>
                <w:szCs w:val="24"/>
                <w:lang w:val="en-US" w:eastAsia="zh-CN"/>
              </w:rPr>
              <w:t>60</w:t>
            </w:r>
          </w:p>
        </w:tc>
        <w:tc>
          <w:tcPr>
            <w:tcW w:w="11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color w:val="auto"/>
                <w:sz w:val="24"/>
                <w:szCs w:val="24"/>
                <w:lang w:val="en-US" w:eastAsia="zh-CN"/>
              </w:rPr>
            </w:pPr>
            <w:r>
              <w:rPr>
                <w:rFonts w:hint="default"/>
                <w:color w:val="auto"/>
                <w:sz w:val="24"/>
                <w:szCs w:val="24"/>
                <w:lang w:val="en-US" w:eastAsia="zh-CN"/>
              </w:rPr>
              <w:t>70</w:t>
            </w:r>
          </w:p>
        </w:tc>
        <w:tc>
          <w:tcPr>
            <w:tcW w:w="114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color w:val="auto"/>
                <w:sz w:val="24"/>
                <w:szCs w:val="24"/>
                <w:lang w:val="en-US" w:eastAsia="zh-CN"/>
              </w:rPr>
            </w:pPr>
            <w:r>
              <w:rPr>
                <w:rFonts w:hint="default"/>
                <w:color w:val="auto"/>
                <w:sz w:val="24"/>
                <w:szCs w:val="24"/>
                <w:lang w:val="en-US" w:eastAsia="zh-CN"/>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jc w:val="center"/>
        </w:trPr>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color w:val="auto"/>
                <w:sz w:val="24"/>
                <w:szCs w:val="24"/>
                <w:lang w:val="en-US" w:eastAsia="zh-CN"/>
              </w:rPr>
            </w:pPr>
            <w:r>
              <w:rPr>
                <w:rFonts w:hint="default"/>
                <w:color w:val="auto"/>
                <w:sz w:val="24"/>
                <w:szCs w:val="24"/>
              </w:rPr>
              <w:t>4</w:t>
            </w:r>
          </w:p>
        </w:tc>
        <w:tc>
          <w:tcPr>
            <w:tcW w:w="11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color w:val="auto"/>
                <w:sz w:val="24"/>
                <w:szCs w:val="24"/>
                <w:lang w:val="en-US" w:eastAsia="zh-CN"/>
              </w:rPr>
            </w:pPr>
            <w:r>
              <w:rPr>
                <w:rFonts w:hint="default"/>
                <w:color w:val="auto"/>
                <w:sz w:val="24"/>
                <w:szCs w:val="24"/>
                <w:lang w:eastAsia="zh-CN"/>
              </w:rPr>
              <w:t>氨氮①</w:t>
            </w:r>
          </w:p>
        </w:tc>
        <w:tc>
          <w:tcPr>
            <w:tcW w:w="9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color w:val="auto"/>
                <w:sz w:val="24"/>
                <w:szCs w:val="24"/>
                <w:lang w:val="en-US" w:eastAsia="zh-CN"/>
              </w:rPr>
            </w:pPr>
            <w:r>
              <w:rPr>
                <w:rFonts w:hint="default"/>
                <w:color w:val="auto"/>
                <w:sz w:val="24"/>
                <w:szCs w:val="24"/>
                <w:lang w:val="en-US" w:eastAsia="zh-CN"/>
              </w:rPr>
              <w:t>8（15）</w:t>
            </w:r>
          </w:p>
        </w:tc>
        <w:tc>
          <w:tcPr>
            <w:tcW w:w="11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color w:val="auto"/>
                <w:sz w:val="24"/>
                <w:szCs w:val="24"/>
                <w:lang w:val="en-US" w:eastAsia="zh-CN"/>
              </w:rPr>
            </w:pPr>
            <w:r>
              <w:rPr>
                <w:rFonts w:hint="default"/>
                <w:color w:val="auto"/>
                <w:sz w:val="24"/>
                <w:szCs w:val="24"/>
                <w:lang w:val="en-US" w:eastAsia="zh-CN"/>
              </w:rPr>
              <w:t>15</w:t>
            </w:r>
          </w:p>
        </w:tc>
        <w:tc>
          <w:tcPr>
            <w:tcW w:w="114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color w:val="auto"/>
                <w:sz w:val="24"/>
                <w:szCs w:val="24"/>
                <w:lang w:val="en-US" w:eastAsia="zh-CN"/>
              </w:rPr>
            </w:pPr>
            <w:r>
              <w:rPr>
                <w:rFonts w:hint="default"/>
                <w:color w:val="auto"/>
                <w:sz w:val="24"/>
                <w:szCs w:val="24"/>
                <w:lang w:val="en-US" w:eastAsia="zh-CN"/>
              </w:rPr>
              <w:t>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color w:val="auto"/>
                <w:sz w:val="24"/>
                <w:szCs w:val="24"/>
                <w:lang w:val="en-US" w:eastAsia="zh-CN"/>
              </w:rPr>
            </w:pPr>
            <w:r>
              <w:rPr>
                <w:rFonts w:hint="default"/>
                <w:color w:val="auto"/>
                <w:sz w:val="24"/>
                <w:szCs w:val="24"/>
              </w:rPr>
              <w:t>5</w:t>
            </w:r>
          </w:p>
        </w:tc>
        <w:tc>
          <w:tcPr>
            <w:tcW w:w="11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color w:val="auto"/>
                <w:sz w:val="24"/>
                <w:szCs w:val="24"/>
                <w:lang w:val="en-US" w:eastAsia="zh-CN"/>
              </w:rPr>
            </w:pPr>
            <w:r>
              <w:rPr>
                <w:rFonts w:hint="default"/>
                <w:color w:val="auto"/>
                <w:sz w:val="24"/>
                <w:szCs w:val="24"/>
                <w:lang w:val="en-US" w:eastAsia="zh-CN"/>
              </w:rPr>
              <w:t>动植物油②</w:t>
            </w:r>
          </w:p>
        </w:tc>
        <w:tc>
          <w:tcPr>
            <w:tcW w:w="9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color w:val="auto"/>
                <w:sz w:val="24"/>
                <w:szCs w:val="24"/>
                <w:lang w:val="en-US" w:eastAsia="zh-CN"/>
              </w:rPr>
            </w:pPr>
            <w:r>
              <w:rPr>
                <w:rFonts w:hint="default"/>
                <w:color w:val="auto"/>
                <w:sz w:val="24"/>
                <w:szCs w:val="24"/>
                <w:lang w:val="en-US" w:eastAsia="zh-CN"/>
              </w:rPr>
              <w:t>3</w:t>
            </w:r>
          </w:p>
        </w:tc>
        <w:tc>
          <w:tcPr>
            <w:tcW w:w="2306"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color w:val="auto"/>
                <w:sz w:val="24"/>
                <w:szCs w:val="24"/>
                <w:lang w:val="en-US" w:eastAsia="zh-CN"/>
              </w:rPr>
            </w:pPr>
            <w:r>
              <w:rPr>
                <w:rFonts w:hint="default"/>
                <w:color w:val="auto"/>
                <w:sz w:val="24"/>
                <w:szCs w:val="24"/>
                <w:lang w:val="en-US" w:eastAsia="zh-CN"/>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jc w:val="center"/>
        </w:trPr>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color w:val="auto"/>
                <w:sz w:val="24"/>
                <w:szCs w:val="24"/>
                <w:lang w:val="en-US" w:eastAsia="zh-CN"/>
              </w:rPr>
            </w:pPr>
            <w:r>
              <w:rPr>
                <w:rFonts w:hint="default"/>
                <w:color w:val="auto"/>
                <w:sz w:val="24"/>
                <w:szCs w:val="24"/>
              </w:rPr>
              <w:t>6</w:t>
            </w:r>
          </w:p>
        </w:tc>
        <w:tc>
          <w:tcPr>
            <w:tcW w:w="11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color w:val="auto"/>
                <w:sz w:val="24"/>
                <w:szCs w:val="24"/>
                <w:lang w:val="en-US" w:eastAsia="zh-CN"/>
              </w:rPr>
            </w:pPr>
            <w:r>
              <w:rPr>
                <w:rFonts w:hint="default"/>
                <w:color w:val="auto"/>
                <w:sz w:val="24"/>
                <w:szCs w:val="24"/>
                <w:lang w:eastAsia="zh-CN"/>
              </w:rPr>
              <w:t>总磷</w:t>
            </w:r>
            <w:r>
              <w:rPr>
                <w:rFonts w:hint="default"/>
                <w:color w:val="auto"/>
                <w:sz w:val="24"/>
                <w:szCs w:val="24"/>
                <w:lang w:val="en-US" w:eastAsia="zh-CN"/>
              </w:rPr>
              <w:t>③</w:t>
            </w:r>
          </w:p>
        </w:tc>
        <w:tc>
          <w:tcPr>
            <w:tcW w:w="9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color w:val="auto"/>
                <w:sz w:val="24"/>
                <w:szCs w:val="24"/>
                <w:lang w:val="en-US" w:eastAsia="zh-CN"/>
              </w:rPr>
            </w:pPr>
            <w:r>
              <w:rPr>
                <w:rFonts w:hint="default"/>
                <w:color w:val="auto"/>
                <w:sz w:val="24"/>
                <w:szCs w:val="24"/>
                <w:lang w:val="en-US" w:eastAsia="zh-CN"/>
              </w:rPr>
              <w:t>1</w:t>
            </w:r>
          </w:p>
        </w:tc>
        <w:tc>
          <w:tcPr>
            <w:tcW w:w="11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color w:val="auto"/>
                <w:sz w:val="24"/>
                <w:szCs w:val="24"/>
                <w:lang w:val="en-US" w:eastAsia="zh-CN"/>
              </w:rPr>
            </w:pPr>
            <w:r>
              <w:rPr>
                <w:rFonts w:hint="default"/>
                <w:color w:val="auto"/>
                <w:sz w:val="24"/>
                <w:szCs w:val="24"/>
                <w:lang w:val="en-US" w:eastAsia="zh-CN"/>
              </w:rPr>
              <w:t>/</w:t>
            </w:r>
          </w:p>
        </w:tc>
        <w:tc>
          <w:tcPr>
            <w:tcW w:w="114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color w:val="auto"/>
                <w:sz w:val="24"/>
                <w:szCs w:val="24"/>
                <w:lang w:val="en-US" w:eastAsia="zh-CN"/>
              </w:rPr>
            </w:pPr>
            <w:r>
              <w:rPr>
                <w:rFonts w:hint="default"/>
                <w:color w:val="auto"/>
                <w:sz w:val="24"/>
                <w:szCs w:val="24"/>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jc w:val="center"/>
        </w:trPr>
        <w:tc>
          <w:tcPr>
            <w:tcW w:w="5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color w:val="auto"/>
                <w:sz w:val="24"/>
                <w:szCs w:val="24"/>
                <w:lang w:val="en-US" w:eastAsia="zh-CN"/>
              </w:rPr>
            </w:pPr>
            <w:r>
              <w:rPr>
                <w:rFonts w:hint="default"/>
                <w:color w:val="auto"/>
                <w:sz w:val="24"/>
                <w:szCs w:val="24"/>
                <w:lang w:val="en-US" w:eastAsia="zh-CN"/>
              </w:rPr>
              <w:t>7</w:t>
            </w:r>
          </w:p>
        </w:tc>
        <w:tc>
          <w:tcPr>
            <w:tcW w:w="11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color w:val="auto"/>
                <w:sz w:val="24"/>
                <w:szCs w:val="24"/>
                <w:lang w:val="en-US" w:eastAsia="zh-CN"/>
              </w:rPr>
            </w:pPr>
            <w:r>
              <w:rPr>
                <w:rFonts w:hint="default"/>
                <w:color w:val="auto"/>
                <w:sz w:val="24"/>
                <w:szCs w:val="24"/>
                <w:lang w:eastAsia="zh-CN"/>
              </w:rPr>
              <w:t>总氮</w:t>
            </w:r>
            <w:r>
              <w:rPr>
                <w:rFonts w:hint="default"/>
                <w:color w:val="auto"/>
                <w:sz w:val="24"/>
                <w:szCs w:val="24"/>
                <w:lang w:val="en-US" w:eastAsia="zh-CN"/>
              </w:rPr>
              <w:t>④</w:t>
            </w:r>
          </w:p>
        </w:tc>
        <w:tc>
          <w:tcPr>
            <w:tcW w:w="97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color w:val="auto"/>
                <w:sz w:val="24"/>
                <w:szCs w:val="24"/>
                <w:lang w:val="en-US" w:eastAsia="zh-CN"/>
              </w:rPr>
            </w:pPr>
            <w:r>
              <w:rPr>
                <w:rFonts w:hint="default"/>
                <w:color w:val="auto"/>
                <w:sz w:val="24"/>
                <w:szCs w:val="24"/>
                <w:lang w:val="en-US" w:eastAsia="zh-CN"/>
              </w:rPr>
              <w:t>20</w:t>
            </w:r>
          </w:p>
        </w:tc>
        <w:tc>
          <w:tcPr>
            <w:tcW w:w="116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color w:val="auto"/>
                <w:sz w:val="24"/>
                <w:szCs w:val="24"/>
                <w:lang w:val="en-US" w:eastAsia="zh-CN"/>
              </w:rPr>
            </w:pPr>
            <w:r>
              <w:rPr>
                <w:rFonts w:hint="default"/>
                <w:color w:val="auto"/>
                <w:sz w:val="24"/>
                <w:szCs w:val="24"/>
                <w:lang w:val="en-US" w:eastAsia="zh-CN"/>
              </w:rPr>
              <w:t>/</w:t>
            </w:r>
          </w:p>
        </w:tc>
        <w:tc>
          <w:tcPr>
            <w:tcW w:w="114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center"/>
              <w:textAlignment w:val="auto"/>
              <w:rPr>
                <w:rFonts w:hint="default"/>
                <w:color w:val="auto"/>
                <w:sz w:val="24"/>
                <w:szCs w:val="24"/>
                <w:lang w:val="en-US" w:eastAsia="zh-CN"/>
              </w:rPr>
            </w:pPr>
            <w:r>
              <w:rPr>
                <w:rFonts w:hint="default"/>
                <w:color w:val="auto"/>
                <w:sz w:val="24"/>
                <w:szCs w:val="24"/>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jc w:val="center"/>
        </w:trPr>
        <w:tc>
          <w:tcPr>
            <w:tcW w:w="5000" w:type="pct"/>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12" w:lineRule="auto"/>
              <w:ind w:firstLine="0" w:firstLineChars="0"/>
              <w:jc w:val="left"/>
              <w:textAlignment w:val="auto"/>
              <w:rPr>
                <w:rFonts w:hint="default"/>
                <w:color w:val="auto"/>
                <w:sz w:val="24"/>
                <w:szCs w:val="24"/>
                <w:lang w:val="en-US" w:eastAsia="zh-CN"/>
              </w:rPr>
            </w:pPr>
            <w:r>
              <w:rPr>
                <w:rFonts w:hint="default"/>
                <w:color w:val="auto"/>
                <w:sz w:val="24"/>
                <w:szCs w:val="24"/>
                <w:lang w:val="en-US" w:eastAsia="zh-CN"/>
              </w:rPr>
              <w:t>注：①氨氮指标括号内的数值为水温≤12℃的控制指标；</w:t>
            </w:r>
          </w:p>
          <w:p>
            <w:pPr>
              <w:keepNext w:val="0"/>
              <w:keepLines w:val="0"/>
              <w:pageBreakBefore w:val="0"/>
              <w:widowControl w:val="0"/>
              <w:kinsoku/>
              <w:wordWrap/>
              <w:overflowPunct/>
              <w:topLinePunct w:val="0"/>
              <w:autoSpaceDE/>
              <w:autoSpaceDN/>
              <w:bidi w:val="0"/>
              <w:adjustRightInd/>
              <w:snapToGrid/>
              <w:spacing w:line="312" w:lineRule="auto"/>
              <w:ind w:firstLine="0" w:firstLineChars="0"/>
              <w:jc w:val="left"/>
              <w:textAlignment w:val="auto"/>
              <w:rPr>
                <w:rFonts w:hint="default"/>
                <w:color w:val="auto"/>
                <w:sz w:val="24"/>
                <w:szCs w:val="24"/>
                <w:lang w:val="en-US" w:eastAsia="zh-CN"/>
              </w:rPr>
            </w:pPr>
            <w:r>
              <w:rPr>
                <w:rFonts w:hint="default"/>
                <w:color w:val="auto"/>
                <w:sz w:val="24"/>
                <w:szCs w:val="24"/>
                <w:lang w:val="en-US" w:eastAsia="zh-CN"/>
              </w:rPr>
              <w:t>②动植物油指标仅针对含提供餐饮服务的农村旅游项目的生活污水处理设施执行；</w:t>
            </w:r>
          </w:p>
          <w:p>
            <w:pPr>
              <w:keepNext w:val="0"/>
              <w:keepLines w:val="0"/>
              <w:pageBreakBefore w:val="0"/>
              <w:widowControl w:val="0"/>
              <w:kinsoku/>
              <w:wordWrap/>
              <w:overflowPunct/>
              <w:topLinePunct w:val="0"/>
              <w:autoSpaceDE/>
              <w:autoSpaceDN/>
              <w:bidi w:val="0"/>
              <w:adjustRightInd/>
              <w:snapToGrid/>
              <w:spacing w:line="312" w:lineRule="auto"/>
              <w:ind w:firstLine="0" w:firstLineChars="0"/>
              <w:jc w:val="left"/>
              <w:textAlignment w:val="auto"/>
              <w:rPr>
                <w:rFonts w:hint="default"/>
                <w:color w:val="auto"/>
                <w:sz w:val="24"/>
                <w:szCs w:val="24"/>
                <w:lang w:val="en-US" w:eastAsia="zh-CN"/>
              </w:rPr>
            </w:pPr>
            <w:r>
              <w:rPr>
                <w:rFonts w:hint="default"/>
                <w:color w:val="auto"/>
                <w:sz w:val="24"/>
                <w:szCs w:val="24"/>
                <w:lang w:val="en-US" w:eastAsia="zh-CN"/>
              </w:rPr>
              <w:t>③总磷指标仅针对出水排入封闭水体或总磷超标的水体的的生活污水处理设施执行；</w:t>
            </w:r>
          </w:p>
          <w:p>
            <w:pPr>
              <w:keepNext w:val="0"/>
              <w:keepLines w:val="0"/>
              <w:pageBreakBefore w:val="0"/>
              <w:widowControl w:val="0"/>
              <w:kinsoku/>
              <w:wordWrap/>
              <w:overflowPunct/>
              <w:topLinePunct w:val="0"/>
              <w:autoSpaceDE/>
              <w:autoSpaceDN/>
              <w:bidi w:val="0"/>
              <w:adjustRightInd/>
              <w:snapToGrid/>
              <w:spacing w:line="312" w:lineRule="auto"/>
              <w:ind w:firstLine="0" w:firstLineChars="0"/>
              <w:jc w:val="left"/>
              <w:textAlignment w:val="auto"/>
              <w:rPr>
                <w:rFonts w:hint="default"/>
                <w:color w:val="auto"/>
                <w:sz w:val="24"/>
                <w:szCs w:val="24"/>
                <w:lang w:val="en-US" w:eastAsia="zh-CN"/>
              </w:rPr>
            </w:pPr>
            <w:r>
              <w:rPr>
                <w:rFonts w:hint="default"/>
                <w:color w:val="auto"/>
                <w:sz w:val="24"/>
                <w:szCs w:val="24"/>
                <w:lang w:val="en-US" w:eastAsia="zh-CN"/>
              </w:rPr>
              <w:t>④总氮指标仅针对出水排入封闭水体或总氮超标的水体的的生活污水处理设施执行。</w:t>
            </w:r>
          </w:p>
        </w:tc>
      </w:tr>
    </w:tbl>
    <w:p>
      <w:pPr>
        <w:bidi w:val="0"/>
        <w:rPr>
          <w:rFonts w:hint="eastAsia"/>
          <w:color w:val="auto"/>
        </w:rPr>
      </w:pPr>
      <w:r>
        <w:rPr>
          <w:rFonts w:hint="eastAsia"/>
          <w:color w:val="auto"/>
        </w:rPr>
        <w:t>1、出水排入环境功能明确的水体，执行表1中的一级标准。</w:t>
      </w:r>
    </w:p>
    <w:p>
      <w:pPr>
        <w:bidi w:val="0"/>
        <w:rPr>
          <w:rFonts w:hint="eastAsia"/>
          <w:color w:val="auto"/>
        </w:rPr>
      </w:pPr>
      <w:r>
        <w:rPr>
          <w:rFonts w:hint="eastAsia"/>
          <w:color w:val="auto"/>
        </w:rPr>
        <w:t>2、处理规模20m3/d及以上的设施出水排入环境功能未明确的水体，执行表1中的二级标准。</w:t>
      </w:r>
    </w:p>
    <w:p>
      <w:pPr>
        <w:bidi w:val="0"/>
        <w:rPr>
          <w:color w:val="auto"/>
        </w:rPr>
      </w:pPr>
      <w:r>
        <w:rPr>
          <w:rFonts w:hint="eastAsia"/>
          <w:color w:val="auto"/>
        </w:rPr>
        <w:t>3、处理规模小于20m3/d的设施出水排入环境功能未明确的水体，执行表1中的三级标准。</w:t>
      </w:r>
    </w:p>
    <w:p>
      <w:pPr>
        <w:pStyle w:val="32"/>
        <w:numPr>
          <w:ilvl w:val="3"/>
          <w:numId w:val="28"/>
        </w:numPr>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污水处理站选址</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污水处理站位置的选择，应符合新农村总体规划和农村生活污水综合整治规划等规划相关要求，并应符合现行国家标准《室外排水设计规范》（GB50014-2021）的有关规定。</w:t>
      </w:r>
    </w:p>
    <w:p>
      <w:pPr>
        <w:pStyle w:val="32"/>
        <w:numPr>
          <w:ilvl w:val="3"/>
          <w:numId w:val="28"/>
        </w:numPr>
        <w:tabs>
          <w:tab w:val="left" w:pos="176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处理工艺</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农村生活污水处理系统一般由预处理单元和生物处理单元构成，每个处理站占地约150平方～200平方（详见污水站点方案）。</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( 1）预处理单元：包括化粪池、格栅井、隔油池、沉淀池、集水池等。</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( 2）二级处理单元：生物处理单元包括活性污泥法、生物膜法、活性污泥和生物膜混合的方法，常用的工艺有厌氧、A2/O、接触氧化、人工湿地、MBR、BAF 等。</w:t>
      </w:r>
    </w:p>
    <w:p>
      <w:pPr>
        <w:pStyle w:val="10"/>
        <w:spacing w:line="500" w:lineRule="exact"/>
        <w:ind w:firstLine="432" w:firstLineChars="200"/>
        <w:jc w:val="both"/>
        <w:rPr>
          <w:rFonts w:hint="eastAsia" w:asciiTheme="minorEastAsia" w:hAnsiTheme="minorEastAsia" w:eastAsiaTheme="minorEastAsia" w:cstheme="minorEastAsia"/>
          <w:color w:val="auto"/>
          <w:spacing w:val="-10"/>
          <w:sz w:val="24"/>
          <w:szCs w:val="24"/>
          <w:lang w:val="en-US" w:eastAsia="zh-CN"/>
        </w:rPr>
      </w:pPr>
      <w:r>
        <w:rPr>
          <w:rFonts w:hint="eastAsia" w:asciiTheme="minorEastAsia" w:hAnsiTheme="minorEastAsia" w:eastAsiaTheme="minorEastAsia" w:cstheme="minorEastAsia"/>
          <w:color w:val="auto"/>
          <w:spacing w:val="-12"/>
          <w:sz w:val="24"/>
          <w:szCs w:val="24"/>
        </w:rPr>
        <w:t>为充分发挥投资人的技术和管理优势，由投资人自行确</w:t>
      </w:r>
      <w:r>
        <w:rPr>
          <w:rFonts w:hint="eastAsia" w:asciiTheme="minorEastAsia" w:hAnsiTheme="minorEastAsia" w:eastAsiaTheme="minorEastAsia" w:cstheme="minorEastAsia"/>
          <w:color w:val="auto"/>
          <w:spacing w:val="-10"/>
          <w:sz w:val="24"/>
          <w:szCs w:val="24"/>
        </w:rPr>
        <w:t>定污水处理站处理工艺，污水处理站必须拥有稳定、经济、容易管理和生态造型的特点。本项目</w:t>
      </w:r>
      <w:r>
        <w:rPr>
          <w:rFonts w:hint="eastAsia" w:asciiTheme="minorEastAsia" w:hAnsiTheme="minorEastAsia" w:eastAsiaTheme="minorEastAsia" w:cstheme="minorEastAsia"/>
          <w:color w:val="auto"/>
          <w:spacing w:val="-10"/>
          <w:sz w:val="24"/>
          <w:szCs w:val="24"/>
          <w:lang w:val="en-US" w:eastAsia="zh-CN"/>
        </w:rPr>
        <w:t>可</w:t>
      </w:r>
      <w:r>
        <w:rPr>
          <w:rFonts w:hint="eastAsia" w:asciiTheme="minorEastAsia" w:hAnsiTheme="minorEastAsia" w:eastAsiaTheme="minorEastAsia" w:cstheme="minorEastAsia"/>
          <w:color w:val="auto"/>
          <w:spacing w:val="-10"/>
          <w:sz w:val="24"/>
          <w:szCs w:val="24"/>
        </w:rPr>
        <w:t>按村内实际情况主体工艺选用①厌氧+人工湿地，②AAO工艺，③资源化利用作为本项目村庄生活污水的处理主要工艺</w:t>
      </w:r>
      <w:r>
        <w:rPr>
          <w:rFonts w:hint="eastAsia" w:asciiTheme="minorEastAsia" w:hAnsiTheme="minorEastAsia" w:eastAsiaTheme="minorEastAsia" w:cstheme="minorEastAsia"/>
          <w:color w:val="auto"/>
          <w:spacing w:val="-10"/>
          <w:sz w:val="24"/>
          <w:szCs w:val="24"/>
          <w:lang w:eastAsia="zh-CN"/>
        </w:rPr>
        <w:t>。</w:t>
      </w:r>
      <w:r>
        <w:rPr>
          <w:rFonts w:hint="eastAsia" w:asciiTheme="minorEastAsia" w:hAnsiTheme="minorEastAsia" w:eastAsiaTheme="minorEastAsia" w:cstheme="minorEastAsia"/>
          <w:color w:val="auto"/>
          <w:spacing w:val="-10"/>
          <w:sz w:val="24"/>
          <w:szCs w:val="24"/>
          <w:lang w:val="en-US" w:eastAsia="zh-CN"/>
        </w:rPr>
        <w:t>项目建设总名单如下：</w:t>
      </w:r>
    </w:p>
    <w:p>
      <w:pPr>
        <w:spacing w:line="500" w:lineRule="exact"/>
        <w:jc w:val="center"/>
        <w:rPr>
          <w:rFonts w:hint="default" w:asciiTheme="minorEastAsia" w:hAnsiTheme="minorEastAsia" w:eastAsiaTheme="minorEastAsia" w:cstheme="minorEastAsia"/>
          <w:b w:val="0"/>
          <w:bCs/>
          <w:color w:val="auto"/>
          <w:sz w:val="24"/>
          <w:szCs w:val="24"/>
          <w:highlight w:val="none"/>
          <w:lang w:val="en-US"/>
        </w:rPr>
      </w:pPr>
      <w:r>
        <w:rPr>
          <w:rFonts w:hint="eastAsia" w:asciiTheme="minorEastAsia" w:hAnsiTheme="minorEastAsia" w:eastAsiaTheme="minorEastAsia" w:cstheme="minorEastAsia"/>
          <w:b w:val="0"/>
          <w:bCs/>
          <w:color w:val="auto"/>
          <w:sz w:val="24"/>
          <w:szCs w:val="24"/>
          <w:highlight w:val="none"/>
        </w:rPr>
        <w:t>表6.2-</w:t>
      </w:r>
      <w:r>
        <w:rPr>
          <w:rFonts w:hint="eastAsia" w:asciiTheme="minorEastAsia" w:hAnsiTheme="minorEastAsia" w:eastAsiaTheme="minorEastAsia" w:cstheme="minorEastAsia"/>
          <w:b w:val="0"/>
          <w:bCs/>
          <w:color w:val="auto"/>
          <w:sz w:val="24"/>
          <w:szCs w:val="24"/>
          <w:highlight w:val="none"/>
          <w:lang w:val="en-US" w:eastAsia="zh-CN"/>
        </w:rPr>
        <w:t>4 项目建设总名单</w:t>
      </w:r>
    </w:p>
    <w:tbl>
      <w:tblPr>
        <w:tblStyle w:val="2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969"/>
        <w:gridCol w:w="3044"/>
        <w:gridCol w:w="29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5" w:hRule="atLeast"/>
        </w:trPr>
        <w:tc>
          <w:tcPr>
            <w:tcW w:w="1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序号</w:t>
            </w:r>
          </w:p>
        </w:tc>
        <w:tc>
          <w:tcPr>
            <w:tcW w:w="16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乡镇</w:t>
            </w:r>
          </w:p>
        </w:tc>
        <w:tc>
          <w:tcPr>
            <w:tcW w:w="166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自然村（个）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6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塘镇</w:t>
            </w:r>
          </w:p>
        </w:tc>
        <w:tc>
          <w:tcPr>
            <w:tcW w:w="1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6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船步镇</w:t>
            </w:r>
          </w:p>
        </w:tc>
        <w:tc>
          <w:tcPr>
            <w:tcW w:w="1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w:t>
            </w:r>
          </w:p>
        </w:tc>
        <w:tc>
          <w:tcPr>
            <w:tcW w:w="16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分界镇</w:t>
            </w:r>
          </w:p>
        </w:tc>
        <w:tc>
          <w:tcPr>
            <w:tcW w:w="1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w:t>
            </w:r>
          </w:p>
        </w:tc>
        <w:tc>
          <w:tcPr>
            <w:tcW w:w="16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附城街道</w:t>
            </w:r>
          </w:p>
        </w:tc>
        <w:tc>
          <w:tcPr>
            <w:tcW w:w="1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kern w:val="0"/>
                <w:sz w:val="22"/>
                <w:szCs w:val="22"/>
                <w:highlight w:val="none"/>
                <w:u w:val="none"/>
                <w:lang w:val="en-US" w:eastAsia="zh-CN" w:bidi="ar"/>
              </w:rPr>
              <w:t>95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6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华石镇</w:t>
            </w:r>
          </w:p>
        </w:tc>
        <w:tc>
          <w:tcPr>
            <w:tcW w:w="1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6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加益镇</w:t>
            </w:r>
          </w:p>
        </w:tc>
        <w:tc>
          <w:tcPr>
            <w:tcW w:w="1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kern w:val="0"/>
                <w:sz w:val="22"/>
                <w:szCs w:val="22"/>
                <w:highlight w:val="none"/>
                <w:u w:val="none"/>
                <w:lang w:val="en-US" w:eastAsia="zh-CN" w:bidi="ar"/>
              </w:rPr>
              <w:t>75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w:t>
            </w:r>
          </w:p>
        </w:tc>
        <w:tc>
          <w:tcPr>
            <w:tcW w:w="16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金鸡镇</w:t>
            </w:r>
          </w:p>
        </w:tc>
        <w:tc>
          <w:tcPr>
            <w:tcW w:w="1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w:t>
            </w:r>
          </w:p>
        </w:tc>
        <w:tc>
          <w:tcPr>
            <w:tcW w:w="16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黎少镇</w:t>
            </w:r>
          </w:p>
        </w:tc>
        <w:tc>
          <w:tcPr>
            <w:tcW w:w="1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kern w:val="0"/>
                <w:sz w:val="22"/>
                <w:szCs w:val="22"/>
                <w:highlight w:val="none"/>
                <w:u w:val="none"/>
                <w:lang w:val="en-US" w:eastAsia="zh-CN" w:bidi="ar"/>
              </w:rPr>
              <w:t>74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w:t>
            </w:r>
          </w:p>
        </w:tc>
        <w:tc>
          <w:tcPr>
            <w:tcW w:w="16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连州镇</w:t>
            </w:r>
          </w:p>
        </w:tc>
        <w:tc>
          <w:tcPr>
            <w:tcW w:w="1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kern w:val="0"/>
                <w:sz w:val="22"/>
                <w:szCs w:val="22"/>
                <w:highlight w:val="none"/>
                <w:u w:val="none"/>
                <w:lang w:val="en-US" w:eastAsia="zh-CN" w:bidi="ar"/>
              </w:rPr>
              <w:t>91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w:t>
            </w:r>
          </w:p>
        </w:tc>
        <w:tc>
          <w:tcPr>
            <w:tcW w:w="16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龙湾镇</w:t>
            </w:r>
          </w:p>
        </w:tc>
        <w:tc>
          <w:tcPr>
            <w:tcW w:w="1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kern w:val="0"/>
                <w:sz w:val="22"/>
                <w:szCs w:val="22"/>
                <w:highlight w:val="none"/>
                <w:u w:val="none"/>
                <w:lang w:val="en-US" w:eastAsia="zh-CN" w:bidi="ar"/>
              </w:rPr>
              <w:t>119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w:t>
            </w:r>
          </w:p>
        </w:tc>
        <w:tc>
          <w:tcPr>
            <w:tcW w:w="16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罗镜镇</w:t>
            </w:r>
          </w:p>
        </w:tc>
        <w:tc>
          <w:tcPr>
            <w:tcW w:w="1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kern w:val="0"/>
                <w:sz w:val="22"/>
                <w:szCs w:val="22"/>
                <w:highlight w:val="none"/>
                <w:u w:val="none"/>
                <w:lang w:val="en-US" w:eastAsia="zh-CN" w:bidi="ar"/>
              </w:rPr>
              <w:t>252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w:t>
            </w:r>
          </w:p>
        </w:tc>
        <w:tc>
          <w:tcPr>
            <w:tcW w:w="16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罗平镇</w:t>
            </w:r>
          </w:p>
        </w:tc>
        <w:tc>
          <w:tcPr>
            <w:tcW w:w="1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13</w:t>
            </w:r>
          </w:p>
        </w:tc>
        <w:tc>
          <w:tcPr>
            <w:tcW w:w="16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苹塘镇</w:t>
            </w:r>
          </w:p>
        </w:tc>
        <w:tc>
          <w:tcPr>
            <w:tcW w:w="1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14</w:t>
            </w:r>
          </w:p>
        </w:tc>
        <w:tc>
          <w:tcPr>
            <w:tcW w:w="16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生江镇</w:t>
            </w:r>
          </w:p>
        </w:tc>
        <w:tc>
          <w:tcPr>
            <w:tcW w:w="1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w:t>
            </w:r>
          </w:p>
        </w:tc>
        <w:tc>
          <w:tcPr>
            <w:tcW w:w="16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双东街道</w:t>
            </w:r>
          </w:p>
        </w:tc>
        <w:tc>
          <w:tcPr>
            <w:tcW w:w="1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kern w:val="0"/>
                <w:sz w:val="22"/>
                <w:szCs w:val="22"/>
                <w:highlight w:val="none"/>
                <w:u w:val="none"/>
                <w:lang w:val="en-US" w:eastAsia="zh-CN" w:bidi="ar"/>
              </w:rPr>
              <w:t>26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16</w:t>
            </w:r>
          </w:p>
        </w:tc>
        <w:tc>
          <w:tcPr>
            <w:tcW w:w="16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泗纶镇</w:t>
            </w:r>
          </w:p>
        </w:tc>
        <w:tc>
          <w:tcPr>
            <w:tcW w:w="1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kern w:val="0"/>
                <w:sz w:val="22"/>
                <w:szCs w:val="22"/>
                <w:highlight w:val="none"/>
                <w:u w:val="none"/>
                <w:lang w:val="en-US" w:eastAsia="zh-CN" w:bidi="ar"/>
              </w:rPr>
              <w:t>118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17</w:t>
            </w:r>
          </w:p>
        </w:tc>
        <w:tc>
          <w:tcPr>
            <w:tcW w:w="16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素龙街道</w:t>
            </w:r>
          </w:p>
        </w:tc>
        <w:tc>
          <w:tcPr>
            <w:tcW w:w="1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kern w:val="0"/>
                <w:sz w:val="22"/>
                <w:szCs w:val="22"/>
                <w:highlight w:val="none"/>
                <w:u w:val="none"/>
                <w:lang w:val="en-US" w:eastAsia="zh-CN" w:bidi="ar"/>
              </w:rPr>
              <w:t>67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18</w:t>
            </w:r>
          </w:p>
        </w:tc>
        <w:tc>
          <w:tcPr>
            <w:tcW w:w="16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太平镇</w:t>
            </w:r>
          </w:p>
        </w:tc>
        <w:tc>
          <w:tcPr>
            <w:tcW w:w="1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kern w:val="0"/>
                <w:sz w:val="22"/>
                <w:szCs w:val="22"/>
                <w:highlight w:val="none"/>
                <w:u w:val="none"/>
                <w:lang w:val="en-US" w:eastAsia="zh-CN" w:bidi="ar"/>
              </w:rPr>
              <w:t>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649"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19</w:t>
            </w:r>
          </w:p>
        </w:tc>
        <w:tc>
          <w:tcPr>
            <w:tcW w:w="16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榃滨镇</w:t>
            </w:r>
          </w:p>
        </w:tc>
        <w:tc>
          <w:tcPr>
            <w:tcW w:w="1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kern w:val="0"/>
                <w:sz w:val="22"/>
                <w:szCs w:val="22"/>
                <w:highlight w:val="none"/>
                <w:u w:val="none"/>
                <w:lang w:val="en-US" w:eastAsia="zh-CN" w:bidi="ar"/>
              </w:rPr>
              <w:t>26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w:t>
            </w:r>
          </w:p>
        </w:tc>
        <w:tc>
          <w:tcPr>
            <w:tcW w:w="16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围底镇</w:t>
            </w:r>
          </w:p>
        </w:tc>
        <w:tc>
          <w:tcPr>
            <w:tcW w:w="1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kern w:val="0"/>
                <w:sz w:val="22"/>
                <w:szCs w:val="22"/>
                <w:highlight w:val="none"/>
                <w:u w:val="none"/>
                <w:lang w:val="en-US" w:eastAsia="zh-CN" w:bidi="ar"/>
              </w:rPr>
              <w:t>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64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highlight w:val="none"/>
                <w:u w:val="none"/>
              </w:rPr>
            </w:pPr>
          </w:p>
        </w:tc>
        <w:tc>
          <w:tcPr>
            <w:tcW w:w="169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合计</w:t>
            </w:r>
          </w:p>
        </w:tc>
        <w:tc>
          <w:tcPr>
            <w:tcW w:w="16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sz w:val="22"/>
                <w:szCs w:val="22"/>
                <w:highlight w:val="none"/>
                <w:u w:val="none"/>
                <w:lang w:val="en-US"/>
              </w:rPr>
            </w:pPr>
            <w:r>
              <w:rPr>
                <w:rFonts w:hint="eastAsia" w:ascii="宋体" w:hAnsi="宋体" w:eastAsia="宋体" w:cs="宋体"/>
                <w:i w:val="0"/>
                <w:iCs w:val="0"/>
                <w:color w:val="000000"/>
                <w:kern w:val="0"/>
                <w:sz w:val="22"/>
                <w:szCs w:val="22"/>
                <w:highlight w:val="none"/>
                <w:u w:val="none"/>
                <w:lang w:val="en-US" w:eastAsia="zh-CN" w:bidi="ar"/>
              </w:rPr>
              <w:t>1494</w:t>
            </w:r>
          </w:p>
        </w:tc>
      </w:tr>
    </w:tbl>
    <w:p>
      <w:pPr>
        <w:ind w:firstLine="480" w:firstLineChars="200"/>
        <w:rPr>
          <w:rFonts w:hint="eastAsia" w:asciiTheme="minorEastAsia" w:hAnsiTheme="minorEastAsia" w:eastAsiaTheme="minorEastAsia" w:cstheme="minorEastAsia"/>
          <w:i w:val="0"/>
          <w:color w:val="auto"/>
          <w:sz w:val="24"/>
          <w:szCs w:val="24"/>
          <w:highlight w:val="none"/>
          <w:lang w:val="en-US" w:eastAsia="zh-CN" w:bidi="zh-CN"/>
        </w:rPr>
      </w:pPr>
      <w:r>
        <w:rPr>
          <w:rFonts w:hint="eastAsia" w:asciiTheme="minorEastAsia" w:hAnsiTheme="minorEastAsia" w:eastAsiaTheme="minorEastAsia" w:cstheme="minorEastAsia"/>
          <w:i w:val="0"/>
          <w:color w:val="auto"/>
          <w:sz w:val="24"/>
          <w:szCs w:val="24"/>
          <w:highlight w:val="none"/>
          <w:lang w:val="en-US" w:eastAsia="zh-CN" w:bidi="zh-CN"/>
        </w:rPr>
        <w:t>注：罗定市20个镇街，包含1494个自然村，各工艺选择可根据现场实际情况适当调整，具体以设计阶段为准！</w:t>
      </w:r>
    </w:p>
    <w:p>
      <w:pPr>
        <w:rPr>
          <w:rFonts w:hint="default"/>
          <w:color w:val="auto"/>
          <w:highlight w:val="none"/>
          <w:lang w:val="en-US"/>
        </w:rPr>
      </w:pPr>
    </w:p>
    <w:p>
      <w:pPr>
        <w:pStyle w:val="32"/>
        <w:numPr>
          <w:ilvl w:val="3"/>
          <w:numId w:val="28"/>
        </w:numPr>
        <w:tabs>
          <w:tab w:val="left" w:pos="1540"/>
          <w:tab w:val="left" w:pos="176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highlight w:val="none"/>
        </w:rPr>
        <w:t>预处理单元设计</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预处理包括化粪池、格栅、隔油池、集水池等。部分设施设计要求如下：</w:t>
      </w:r>
    </w:p>
    <w:p>
      <w:pPr>
        <w:pStyle w:val="32"/>
        <w:numPr>
          <w:ilvl w:val="0"/>
          <w:numId w:val="30"/>
        </w:numPr>
        <w:tabs>
          <w:tab w:val="left" w:pos="1976"/>
        </w:tabs>
        <w:spacing w:line="500" w:lineRule="exact"/>
        <w:ind w:left="0" w:firstLine="480" w:firstLineChars="200"/>
        <w:jc w:val="both"/>
        <w:rPr>
          <w:rFonts w:asciiTheme="minorEastAsia" w:hAnsiTheme="minorEastAsia" w:eastAsiaTheme="minorEastAsia" w:cstheme="minorEastAsia"/>
          <w:bCs/>
          <w:color w:val="auto"/>
          <w:sz w:val="24"/>
          <w:szCs w:val="24"/>
        </w:rPr>
      </w:pPr>
      <w:r>
        <w:rPr>
          <w:rFonts w:hint="eastAsia" w:asciiTheme="minorEastAsia" w:hAnsiTheme="minorEastAsia" w:eastAsiaTheme="minorEastAsia" w:cstheme="minorEastAsia"/>
          <w:bCs/>
          <w:color w:val="auto"/>
          <w:sz w:val="24"/>
          <w:szCs w:val="24"/>
        </w:rPr>
        <w:t>化粪池</w:t>
      </w:r>
    </w:p>
    <w:p>
      <w:pPr>
        <w:pStyle w:val="32"/>
        <w:numPr>
          <w:ilvl w:val="0"/>
          <w:numId w:val="31"/>
        </w:numPr>
        <w:tabs>
          <w:tab w:val="left" w:pos="1400"/>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化粪池设计参照《镇</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pacing w:val="-5"/>
          <w:sz w:val="24"/>
          <w:szCs w:val="24"/>
        </w:rPr>
        <w:t>乡</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pacing w:val="-6"/>
          <w:sz w:val="24"/>
          <w:szCs w:val="24"/>
        </w:rPr>
        <w:t>村排水工程技术规程》</w:t>
      </w:r>
      <w:r>
        <w:rPr>
          <w:rFonts w:hint="eastAsia" w:asciiTheme="minorEastAsia" w:hAnsiTheme="minorEastAsia" w:eastAsiaTheme="minorEastAsia" w:cstheme="minorEastAsia"/>
          <w:color w:val="auto"/>
          <w:spacing w:val="-4"/>
          <w:sz w:val="24"/>
          <w:szCs w:val="24"/>
        </w:rPr>
        <w:t>CJJ124-2008</w:t>
      </w:r>
      <w:r>
        <w:rPr>
          <w:rFonts w:hint="eastAsia" w:asciiTheme="minorEastAsia" w:hAnsiTheme="minorEastAsia" w:eastAsiaTheme="minorEastAsia" w:cstheme="minorEastAsia"/>
          <w:color w:val="auto"/>
          <w:sz w:val="24"/>
          <w:szCs w:val="24"/>
        </w:rPr>
        <w:t>。</w:t>
      </w:r>
    </w:p>
    <w:p>
      <w:pPr>
        <w:pStyle w:val="32"/>
        <w:numPr>
          <w:ilvl w:val="0"/>
          <w:numId w:val="31"/>
        </w:numPr>
        <w:tabs>
          <w:tab w:val="left" w:pos="1400"/>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 xml:space="preserve">化粪池的技术要求按国家建筑标准设计图集 </w:t>
      </w:r>
      <w:r>
        <w:rPr>
          <w:rFonts w:hint="eastAsia" w:asciiTheme="minorEastAsia" w:hAnsiTheme="minorEastAsia" w:eastAsiaTheme="minorEastAsia" w:cstheme="minorEastAsia"/>
          <w:color w:val="auto"/>
          <w:sz w:val="24"/>
          <w:szCs w:val="24"/>
        </w:rPr>
        <w:t>02S701《砖</w:t>
      </w:r>
      <w:r>
        <w:rPr>
          <w:rFonts w:hint="eastAsia" w:asciiTheme="minorEastAsia" w:hAnsiTheme="minorEastAsia" w:eastAsiaTheme="minorEastAsia" w:cstheme="minorEastAsia"/>
          <w:color w:val="auto"/>
          <w:spacing w:val="-5"/>
          <w:sz w:val="24"/>
          <w:szCs w:val="24"/>
        </w:rPr>
        <w:t>砌化粪池》、</w:t>
      </w:r>
      <w:r>
        <w:rPr>
          <w:rFonts w:hint="eastAsia" w:asciiTheme="minorEastAsia" w:hAnsiTheme="minorEastAsia" w:eastAsiaTheme="minorEastAsia" w:cstheme="minorEastAsia"/>
          <w:color w:val="auto"/>
          <w:sz w:val="24"/>
          <w:szCs w:val="24"/>
        </w:rPr>
        <w:t>03S702</w:t>
      </w:r>
      <w:r>
        <w:rPr>
          <w:rFonts w:hint="eastAsia" w:asciiTheme="minorEastAsia" w:hAnsiTheme="minorEastAsia" w:eastAsiaTheme="minorEastAsia" w:cstheme="minorEastAsia"/>
          <w:color w:val="auto"/>
          <w:spacing w:val="-5"/>
          <w:sz w:val="24"/>
          <w:szCs w:val="24"/>
        </w:rPr>
        <w:t>《钢筋混凝土化粪池》有关规定执行。</w:t>
      </w:r>
    </w:p>
    <w:p>
      <w:pPr>
        <w:pStyle w:val="32"/>
        <w:numPr>
          <w:ilvl w:val="0"/>
          <w:numId w:val="30"/>
        </w:numPr>
        <w:tabs>
          <w:tab w:val="left" w:pos="1901"/>
        </w:tabs>
        <w:spacing w:line="500" w:lineRule="exact"/>
        <w:ind w:left="0" w:firstLine="480" w:firstLineChars="200"/>
        <w:jc w:val="both"/>
        <w:rPr>
          <w:rFonts w:asciiTheme="minorEastAsia" w:hAnsiTheme="minorEastAsia" w:eastAsiaTheme="minorEastAsia" w:cstheme="minorEastAsia"/>
          <w:bCs/>
          <w:color w:val="auto"/>
          <w:sz w:val="24"/>
          <w:szCs w:val="24"/>
        </w:rPr>
      </w:pPr>
      <w:r>
        <w:rPr>
          <w:rFonts w:hint="eastAsia" w:asciiTheme="minorEastAsia" w:hAnsiTheme="minorEastAsia" w:eastAsiaTheme="minorEastAsia" w:cstheme="minorEastAsia"/>
          <w:bCs/>
          <w:color w:val="auto"/>
          <w:sz w:val="24"/>
          <w:szCs w:val="24"/>
        </w:rPr>
        <w:t>隔油池</w:t>
      </w:r>
    </w:p>
    <w:p>
      <w:pPr>
        <w:pStyle w:val="32"/>
        <w:numPr>
          <w:ilvl w:val="0"/>
          <w:numId w:val="32"/>
        </w:numPr>
        <w:tabs>
          <w:tab w:val="left" w:pos="1404"/>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 xml:space="preserve">如污水处理站需处理农家乐废水时应强化隔油池设置； </w:t>
      </w:r>
      <w:r>
        <w:rPr>
          <w:rFonts w:hint="eastAsia" w:asciiTheme="minorEastAsia" w:hAnsiTheme="minorEastAsia" w:eastAsiaTheme="minorEastAsia" w:cstheme="minorEastAsia"/>
          <w:color w:val="auto"/>
          <w:spacing w:val="-6"/>
          <w:sz w:val="24"/>
          <w:szCs w:val="24"/>
        </w:rPr>
        <w:t>其他废水处理可设计化粪池具有一定的隔油功能，或将隔油池与</w:t>
      </w:r>
      <w:r>
        <w:rPr>
          <w:rFonts w:hint="eastAsia" w:asciiTheme="minorEastAsia" w:hAnsiTheme="minorEastAsia" w:eastAsiaTheme="minorEastAsia" w:cstheme="minorEastAsia"/>
          <w:color w:val="auto"/>
          <w:spacing w:val="-5"/>
          <w:sz w:val="24"/>
          <w:szCs w:val="24"/>
        </w:rPr>
        <w:t>其他预处理池组合设计。</w:t>
      </w:r>
    </w:p>
    <w:p>
      <w:pPr>
        <w:pStyle w:val="32"/>
        <w:numPr>
          <w:ilvl w:val="0"/>
          <w:numId w:val="32"/>
        </w:numPr>
        <w:tabs>
          <w:tab w:val="left" w:pos="1404"/>
        </w:tabs>
        <w:spacing w:line="500" w:lineRule="exact"/>
        <w:ind w:left="0" w:firstLine="456" w:firstLineChars="200"/>
        <w:jc w:val="both"/>
        <w:rPr>
          <w:rFonts w:asciiTheme="minorEastAsia" w:hAnsiTheme="minorEastAsia" w:eastAsiaTheme="minorEastAsia" w:cstheme="minorEastAsia"/>
          <w:color w:val="auto"/>
          <w:spacing w:val="-6"/>
          <w:sz w:val="24"/>
          <w:szCs w:val="24"/>
        </w:rPr>
      </w:pPr>
      <w:r>
        <w:rPr>
          <w:rFonts w:hint="eastAsia" w:asciiTheme="minorEastAsia" w:hAnsiTheme="minorEastAsia" w:eastAsiaTheme="minorEastAsia" w:cstheme="minorEastAsia"/>
          <w:color w:val="auto"/>
          <w:spacing w:val="-6"/>
          <w:sz w:val="24"/>
          <w:szCs w:val="24"/>
        </w:rPr>
        <w:t>池底部应保持有0.01~0.02的底坡，贮泥斗深度一般为0.5m， 底宽不小于 0.4m，侧面倾角不应小于45°~60° 。</w:t>
      </w:r>
    </w:p>
    <w:p>
      <w:pPr>
        <w:pStyle w:val="32"/>
        <w:numPr>
          <w:ilvl w:val="0"/>
          <w:numId w:val="32"/>
        </w:numPr>
        <w:tabs>
          <w:tab w:val="left" w:pos="1404"/>
        </w:tabs>
        <w:spacing w:line="500" w:lineRule="exact"/>
        <w:ind w:left="0"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 xml:space="preserve">一般隔油池水面的油层厚度不应大于 </w:t>
      </w:r>
      <w:r>
        <w:rPr>
          <w:rFonts w:hint="eastAsia" w:asciiTheme="minorEastAsia" w:hAnsiTheme="minorEastAsia" w:eastAsiaTheme="minorEastAsia" w:cstheme="minorEastAsia"/>
          <w:color w:val="auto"/>
          <w:sz w:val="24"/>
          <w:szCs w:val="24"/>
        </w:rPr>
        <w:t>0.25m。</w:t>
      </w:r>
    </w:p>
    <w:p>
      <w:pPr>
        <w:pStyle w:val="32"/>
        <w:numPr>
          <w:ilvl w:val="0"/>
          <w:numId w:val="32"/>
        </w:numPr>
        <w:tabs>
          <w:tab w:val="left" w:pos="1404"/>
        </w:tabs>
        <w:spacing w:line="500" w:lineRule="exact"/>
        <w:ind w:left="0"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隔油池的进水端一般采用穿孔墙进水，在出水端采用溢</w:t>
      </w:r>
      <w:r>
        <w:rPr>
          <w:rFonts w:hint="eastAsia" w:asciiTheme="minorEastAsia" w:hAnsiTheme="minorEastAsia" w:eastAsiaTheme="minorEastAsia" w:cstheme="minorEastAsia"/>
          <w:color w:val="auto"/>
          <w:spacing w:val="-2"/>
          <w:sz w:val="24"/>
          <w:szCs w:val="24"/>
        </w:rPr>
        <w:t>流堰。</w:t>
      </w:r>
    </w:p>
    <w:p>
      <w:pPr>
        <w:pStyle w:val="32"/>
        <w:numPr>
          <w:ilvl w:val="0"/>
          <w:numId w:val="32"/>
        </w:numPr>
        <w:tabs>
          <w:tab w:val="left" w:pos="1404"/>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隔油池设计参照标准图</w:t>
      </w:r>
      <w:r>
        <w:rPr>
          <w:rFonts w:hint="eastAsia" w:asciiTheme="minorEastAsia" w:hAnsiTheme="minorEastAsia" w:eastAsiaTheme="minorEastAsia" w:cstheme="minorEastAsia"/>
          <w:color w:val="auto"/>
          <w:sz w:val="24"/>
          <w:szCs w:val="24"/>
        </w:rPr>
        <w:t>（S217-8-6）。</w:t>
      </w:r>
    </w:p>
    <w:p>
      <w:pPr>
        <w:pStyle w:val="32"/>
        <w:numPr>
          <w:ilvl w:val="0"/>
          <w:numId w:val="30"/>
        </w:numPr>
        <w:tabs>
          <w:tab w:val="left" w:pos="1834"/>
        </w:tabs>
        <w:spacing w:line="500" w:lineRule="exact"/>
        <w:ind w:left="0" w:firstLine="480" w:firstLineChars="200"/>
        <w:jc w:val="both"/>
        <w:rPr>
          <w:rFonts w:asciiTheme="minorEastAsia" w:hAnsiTheme="minorEastAsia" w:eastAsiaTheme="minorEastAsia" w:cstheme="minorEastAsia"/>
          <w:bCs/>
          <w:color w:val="auto"/>
          <w:sz w:val="24"/>
          <w:szCs w:val="24"/>
        </w:rPr>
      </w:pPr>
      <w:r>
        <w:rPr>
          <w:rFonts w:hint="eastAsia" w:asciiTheme="minorEastAsia" w:hAnsiTheme="minorEastAsia" w:eastAsiaTheme="minorEastAsia" w:cstheme="minorEastAsia"/>
          <w:bCs/>
          <w:color w:val="auto"/>
          <w:sz w:val="24"/>
          <w:szCs w:val="24"/>
        </w:rPr>
        <w:t>格栅</w:t>
      </w:r>
    </w:p>
    <w:p>
      <w:pPr>
        <w:pStyle w:val="32"/>
        <w:numPr>
          <w:ilvl w:val="0"/>
          <w:numId w:val="0"/>
        </w:numPr>
        <w:tabs>
          <w:tab w:val="left" w:pos="1404"/>
        </w:tabs>
        <w:spacing w:line="500" w:lineRule="exact"/>
        <w:ind w:left="468"/>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1）当污水量较大时，废水进入集水井之前应设置格栅，可</w:t>
      </w:r>
      <w:r>
        <w:rPr>
          <w:rFonts w:hint="eastAsia" w:asciiTheme="minorEastAsia" w:hAnsiTheme="minorEastAsia" w:eastAsiaTheme="minorEastAsia" w:cstheme="minorEastAsia"/>
          <w:color w:val="auto"/>
          <w:spacing w:val="-5"/>
          <w:sz w:val="24"/>
          <w:szCs w:val="24"/>
        </w:rPr>
        <w:t>与集水井或隔油池合建。</w:t>
      </w:r>
    </w:p>
    <w:p>
      <w:pPr>
        <w:pStyle w:val="32"/>
        <w:numPr>
          <w:ilvl w:val="0"/>
          <w:numId w:val="0"/>
        </w:numPr>
        <w:tabs>
          <w:tab w:val="left" w:pos="1404"/>
        </w:tabs>
        <w:spacing w:line="500" w:lineRule="exact"/>
        <w:ind w:left="468"/>
        <w:jc w:val="both"/>
        <w:rPr>
          <w:rFonts w:asciiTheme="minorEastAsia" w:hAnsiTheme="minorEastAsia" w:eastAsiaTheme="minorEastAsia" w:cstheme="minorEastAsia"/>
          <w:color w:val="auto"/>
          <w:sz w:val="24"/>
          <w:szCs w:val="24"/>
        </w:rPr>
      </w:pPr>
      <w:r>
        <w:rPr>
          <w:rFonts w:asciiTheme="minorEastAsia" w:hAnsiTheme="minorEastAsia" w:eastAsiaTheme="minorEastAsia" w:cstheme="minorEastAsia"/>
          <w:color w:val="auto"/>
          <w:spacing w:val="-6"/>
          <w:sz w:val="24"/>
          <w:szCs w:val="24"/>
        </w:rPr>
        <w:t>2</w:t>
      </w:r>
      <w:r>
        <w:rPr>
          <w:rFonts w:hint="eastAsia" w:asciiTheme="minorEastAsia" w:hAnsiTheme="minorEastAsia" w:eastAsiaTheme="minorEastAsia" w:cstheme="minorEastAsia"/>
          <w:color w:val="auto"/>
          <w:spacing w:val="-6"/>
          <w:sz w:val="24"/>
          <w:szCs w:val="24"/>
        </w:rPr>
        <w:t>）格栅根据处理规模选择，一般选用人工清除格栅，水量</w:t>
      </w:r>
      <w:r>
        <w:rPr>
          <w:rFonts w:hint="eastAsia" w:asciiTheme="minorEastAsia" w:hAnsiTheme="minorEastAsia" w:eastAsiaTheme="minorEastAsia" w:cstheme="minorEastAsia"/>
          <w:color w:val="auto"/>
          <w:spacing w:val="-5"/>
          <w:sz w:val="24"/>
          <w:szCs w:val="24"/>
        </w:rPr>
        <w:t>较大时采用机械格栅。</w:t>
      </w:r>
    </w:p>
    <w:p>
      <w:pPr>
        <w:pStyle w:val="32"/>
        <w:numPr>
          <w:ilvl w:val="0"/>
          <w:numId w:val="0"/>
        </w:numPr>
        <w:tabs>
          <w:tab w:val="left" w:pos="1404"/>
        </w:tabs>
        <w:spacing w:line="500" w:lineRule="exact"/>
        <w:ind w:left="470"/>
        <w:jc w:val="both"/>
        <w:rPr>
          <w:rFonts w:asciiTheme="minorEastAsia" w:hAnsiTheme="minorEastAsia" w:eastAsiaTheme="minorEastAsia" w:cstheme="minorEastAsia"/>
          <w:color w:val="auto"/>
          <w:sz w:val="24"/>
          <w:szCs w:val="24"/>
        </w:rPr>
      </w:pPr>
      <w:r>
        <w:rPr>
          <w:rFonts w:asciiTheme="minorEastAsia" w:hAnsiTheme="minorEastAsia" w:eastAsiaTheme="minorEastAsia" w:cstheme="minorEastAsia"/>
          <w:color w:val="auto"/>
          <w:spacing w:val="-6"/>
          <w:sz w:val="24"/>
          <w:szCs w:val="24"/>
        </w:rPr>
        <w:t>3</w:t>
      </w:r>
      <w:r>
        <w:rPr>
          <w:rFonts w:hint="eastAsia" w:asciiTheme="minorEastAsia" w:hAnsiTheme="minorEastAsia" w:eastAsiaTheme="minorEastAsia" w:cstheme="minorEastAsia"/>
          <w:color w:val="auto"/>
          <w:spacing w:val="-6"/>
          <w:sz w:val="24"/>
          <w:szCs w:val="24"/>
        </w:rPr>
        <w:t>）</w:t>
      </w:r>
      <w:r>
        <w:rPr>
          <w:rFonts w:hint="eastAsia" w:asciiTheme="minorEastAsia" w:hAnsiTheme="minorEastAsia" w:eastAsiaTheme="minorEastAsia" w:cstheme="minorEastAsia"/>
          <w:color w:val="auto"/>
          <w:spacing w:val="-5"/>
          <w:sz w:val="24"/>
          <w:szCs w:val="24"/>
        </w:rPr>
        <w:t>格栅的技术要求按《室外排水设计规范》GB50014-</w:t>
      </w:r>
      <w:r>
        <w:rPr>
          <w:rFonts w:hint="eastAsia" w:asciiTheme="minorEastAsia" w:hAnsiTheme="minorEastAsia" w:eastAsiaTheme="minorEastAsia" w:cstheme="minorEastAsia"/>
          <w:color w:val="auto"/>
          <w:sz w:val="24"/>
          <w:szCs w:val="24"/>
        </w:rPr>
        <w:t>2006）的有关规定执行。</w:t>
      </w:r>
    </w:p>
    <w:p>
      <w:pPr>
        <w:pStyle w:val="32"/>
        <w:numPr>
          <w:ilvl w:val="0"/>
          <w:numId w:val="30"/>
        </w:numPr>
        <w:tabs>
          <w:tab w:val="left" w:pos="1834"/>
        </w:tabs>
        <w:spacing w:line="500" w:lineRule="exact"/>
        <w:ind w:left="0" w:firstLine="480" w:firstLineChars="200"/>
        <w:jc w:val="both"/>
        <w:rPr>
          <w:rFonts w:asciiTheme="minorEastAsia" w:hAnsiTheme="minorEastAsia" w:eastAsiaTheme="minorEastAsia" w:cstheme="minorEastAsia"/>
          <w:bCs/>
          <w:color w:val="auto"/>
          <w:sz w:val="24"/>
          <w:szCs w:val="24"/>
        </w:rPr>
      </w:pPr>
      <w:r>
        <w:rPr>
          <w:rFonts w:hint="eastAsia" w:asciiTheme="minorEastAsia" w:hAnsiTheme="minorEastAsia" w:eastAsiaTheme="minorEastAsia" w:cstheme="minorEastAsia"/>
          <w:bCs/>
          <w:color w:val="auto"/>
          <w:sz w:val="24"/>
          <w:szCs w:val="24"/>
        </w:rPr>
        <w:t>沉砂池</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1）处理有一定规模废水或有一定数量散养家禽的住户废水集中处理时应强化沉砂池设置；其他情况废水处理可使设置的集水井具有一定的沉砂功能。</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2) 沉砂池的设计参照CJJ 64-2009 第3.3条的有关规定。</w:t>
      </w:r>
    </w:p>
    <w:p>
      <w:pPr>
        <w:pStyle w:val="32"/>
        <w:numPr>
          <w:ilvl w:val="0"/>
          <w:numId w:val="30"/>
        </w:numPr>
        <w:tabs>
          <w:tab w:val="left" w:pos="1976"/>
        </w:tabs>
        <w:spacing w:line="500" w:lineRule="exact"/>
        <w:ind w:left="0" w:firstLine="480" w:firstLineChars="200"/>
        <w:jc w:val="both"/>
        <w:rPr>
          <w:rFonts w:asciiTheme="minorEastAsia" w:hAnsiTheme="minorEastAsia" w:eastAsiaTheme="minorEastAsia" w:cstheme="minorEastAsia"/>
          <w:bCs/>
          <w:color w:val="auto"/>
          <w:sz w:val="24"/>
          <w:szCs w:val="24"/>
        </w:rPr>
      </w:pPr>
      <w:r>
        <w:rPr>
          <w:rFonts w:hint="eastAsia" w:asciiTheme="minorEastAsia" w:hAnsiTheme="minorEastAsia" w:eastAsiaTheme="minorEastAsia" w:cstheme="minorEastAsia"/>
          <w:bCs/>
          <w:color w:val="auto"/>
          <w:sz w:val="24"/>
          <w:szCs w:val="24"/>
        </w:rPr>
        <w:t>集水池</w:t>
      </w:r>
    </w:p>
    <w:p>
      <w:pPr>
        <w:pStyle w:val="32"/>
        <w:numPr>
          <w:ilvl w:val="0"/>
          <w:numId w:val="33"/>
        </w:numPr>
        <w:tabs>
          <w:tab w:val="left" w:pos="1359"/>
        </w:tabs>
        <w:spacing w:line="500" w:lineRule="exact"/>
        <w:ind w:left="0"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集水池前宜设置拦截漂浮物的设施，格栅井宜与集水池合建。</w:t>
      </w:r>
    </w:p>
    <w:p>
      <w:pPr>
        <w:pStyle w:val="32"/>
        <w:numPr>
          <w:ilvl w:val="0"/>
          <w:numId w:val="33"/>
        </w:numPr>
        <w:tabs>
          <w:tab w:val="left" w:pos="1368"/>
        </w:tabs>
        <w:spacing w:line="500" w:lineRule="exact"/>
        <w:ind w:left="0" w:firstLine="44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8"/>
          <w:sz w:val="24"/>
          <w:szCs w:val="24"/>
        </w:rPr>
        <w:t>集水池设计参照《镇</w:t>
      </w: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z w:val="24"/>
          <w:szCs w:val="24"/>
        </w:rPr>
        <w:t>乡</w:t>
      </w: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8"/>
          <w:sz w:val="24"/>
          <w:szCs w:val="24"/>
        </w:rPr>
        <w:t>村排水工程技术规程》CJJ 124-2008</w:t>
      </w:r>
      <w:r>
        <w:rPr>
          <w:rFonts w:hint="eastAsia" w:asciiTheme="minorEastAsia" w:hAnsiTheme="minorEastAsia" w:eastAsiaTheme="minorEastAsia" w:cstheme="minorEastAsia"/>
          <w:color w:val="auto"/>
          <w:sz w:val="24"/>
          <w:szCs w:val="24"/>
        </w:rPr>
        <w:t>。</w:t>
      </w:r>
    </w:p>
    <w:p>
      <w:pPr>
        <w:rPr>
          <w:color w:val="auto"/>
        </w:rPr>
      </w:pPr>
    </w:p>
    <w:p>
      <w:pPr>
        <w:pStyle w:val="32"/>
        <w:numPr>
          <w:ilvl w:val="3"/>
          <w:numId w:val="28"/>
        </w:numPr>
        <w:tabs>
          <w:tab w:val="left" w:pos="176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一、二处理单元设计</w:t>
      </w:r>
    </w:p>
    <w:p>
      <w:pPr>
        <w:pStyle w:val="10"/>
        <w:spacing w:line="500" w:lineRule="exact"/>
        <w:ind w:firstLine="420" w:firstLineChars="20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 xml:space="preserve">一、二处理单元根据工艺流程确定，部分处理设施设计要求如下： </w:t>
      </w:r>
    </w:p>
    <w:p>
      <w:pPr>
        <w:pStyle w:val="10"/>
        <w:spacing w:line="500" w:lineRule="exact"/>
        <w:ind w:firstLine="432" w:firstLineChars="200"/>
        <w:jc w:val="both"/>
        <w:rPr>
          <w:rFonts w:asciiTheme="minorEastAsia" w:hAnsiTheme="minorEastAsia" w:eastAsiaTheme="minorEastAsia" w:cstheme="minorEastAsia"/>
          <w:bCs/>
          <w:color w:val="auto"/>
          <w:sz w:val="24"/>
          <w:szCs w:val="24"/>
        </w:rPr>
      </w:pPr>
      <w:r>
        <w:rPr>
          <w:rFonts w:hint="eastAsia" w:asciiTheme="minorEastAsia" w:hAnsiTheme="minorEastAsia" w:eastAsiaTheme="minorEastAsia" w:cstheme="minorEastAsia"/>
          <w:bCs/>
          <w:color w:val="auto"/>
          <w:spacing w:val="-12"/>
          <w:sz w:val="24"/>
          <w:szCs w:val="24"/>
        </w:rPr>
        <w:t>(1）</w:t>
      </w:r>
      <w:r>
        <w:rPr>
          <w:rFonts w:hint="eastAsia" w:asciiTheme="minorEastAsia" w:hAnsiTheme="minorEastAsia" w:eastAsiaTheme="minorEastAsia" w:cstheme="minorEastAsia"/>
          <w:bCs/>
          <w:color w:val="auto"/>
          <w:spacing w:val="-10"/>
          <w:sz w:val="24"/>
          <w:szCs w:val="24"/>
        </w:rPr>
        <w:t>厌氧池</w:t>
      </w:r>
    </w:p>
    <w:p>
      <w:pPr>
        <w:pStyle w:val="32"/>
        <w:numPr>
          <w:ilvl w:val="0"/>
          <w:numId w:val="34"/>
        </w:numPr>
        <w:tabs>
          <w:tab w:val="left" w:pos="1412"/>
        </w:tabs>
        <w:spacing w:line="500" w:lineRule="exact"/>
        <w:ind w:left="0" w:firstLine="492"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厌氧反应池的类型和设计应根据污水种类和工艺路线确</w:t>
      </w:r>
      <w:r>
        <w:rPr>
          <w:rFonts w:hint="eastAsia" w:asciiTheme="minorEastAsia" w:hAnsiTheme="minorEastAsia" w:eastAsiaTheme="minorEastAsia" w:cstheme="minorEastAsia"/>
          <w:color w:val="auto"/>
          <w:spacing w:val="-2"/>
          <w:sz w:val="24"/>
          <w:szCs w:val="24"/>
        </w:rPr>
        <w:t>定。</w:t>
      </w:r>
    </w:p>
    <w:p>
      <w:pPr>
        <w:pStyle w:val="32"/>
        <w:numPr>
          <w:ilvl w:val="0"/>
          <w:numId w:val="34"/>
        </w:numPr>
        <w:tabs>
          <w:tab w:val="left" w:pos="1397"/>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厌氧反应池容积宜根据水力停留时间（HRT）</w:t>
      </w:r>
      <w:r>
        <w:rPr>
          <w:rFonts w:hint="eastAsia" w:asciiTheme="minorEastAsia" w:hAnsiTheme="minorEastAsia" w:eastAsiaTheme="minorEastAsia" w:cstheme="minorEastAsia"/>
          <w:color w:val="auto"/>
          <w:spacing w:val="-2"/>
          <w:sz w:val="24"/>
          <w:szCs w:val="24"/>
        </w:rPr>
        <w:t>确定。</w:t>
      </w:r>
    </w:p>
    <w:p>
      <w:pPr>
        <w:pStyle w:val="32"/>
        <w:numPr>
          <w:ilvl w:val="0"/>
          <w:numId w:val="34"/>
        </w:numPr>
        <w:tabs>
          <w:tab w:val="left" w:pos="1412"/>
        </w:tabs>
        <w:spacing w:line="500" w:lineRule="exact"/>
        <w:ind w:left="0" w:firstLine="50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厌氧反应池应达到水密性与气密性的要求，应采用不透</w:t>
      </w:r>
      <w:r>
        <w:rPr>
          <w:rFonts w:hint="eastAsia" w:asciiTheme="minorEastAsia" w:hAnsiTheme="minorEastAsia" w:eastAsiaTheme="minorEastAsia" w:cstheme="minorEastAsia"/>
          <w:color w:val="auto"/>
          <w:spacing w:val="5"/>
          <w:sz w:val="24"/>
          <w:szCs w:val="24"/>
        </w:rPr>
        <w:t>气、不透水的材料建造，内壁及管路应进行防腐；池内各池之间</w:t>
      </w:r>
      <w:r>
        <w:rPr>
          <w:rFonts w:hint="eastAsia" w:asciiTheme="minorEastAsia" w:hAnsiTheme="minorEastAsia" w:eastAsiaTheme="minorEastAsia" w:cstheme="minorEastAsia"/>
          <w:color w:val="auto"/>
          <w:spacing w:val="-5"/>
          <w:sz w:val="24"/>
          <w:szCs w:val="24"/>
        </w:rPr>
        <w:t>应设通气孔，以平衡各池压力，防止沼气局部积聚。</w:t>
      </w:r>
    </w:p>
    <w:p>
      <w:pPr>
        <w:pStyle w:val="32"/>
        <w:numPr>
          <w:ilvl w:val="0"/>
          <w:numId w:val="34"/>
        </w:numPr>
        <w:tabs>
          <w:tab w:val="left" w:pos="1412"/>
        </w:tabs>
        <w:spacing w:line="500" w:lineRule="exact"/>
        <w:ind w:left="0" w:firstLine="50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厌氧池填料选择：填料应质坚、耐腐蚀、高强度、比表</w:t>
      </w:r>
      <w:r>
        <w:rPr>
          <w:rFonts w:hint="eastAsia" w:asciiTheme="minorEastAsia" w:hAnsiTheme="minorEastAsia" w:eastAsiaTheme="minorEastAsia" w:cstheme="minorEastAsia"/>
          <w:color w:val="auto"/>
          <w:spacing w:val="5"/>
          <w:sz w:val="24"/>
          <w:szCs w:val="24"/>
        </w:rPr>
        <w:t>面积大、孔隙率高、适合就地取材，一般宜采用碎石、卵石、炉</w:t>
      </w:r>
      <w:r>
        <w:rPr>
          <w:rFonts w:hint="eastAsia" w:asciiTheme="minorEastAsia" w:hAnsiTheme="minorEastAsia" w:eastAsiaTheme="minorEastAsia" w:cstheme="minorEastAsia"/>
          <w:color w:val="auto"/>
          <w:spacing w:val="-1"/>
          <w:sz w:val="24"/>
          <w:szCs w:val="24"/>
        </w:rPr>
        <w:t>渣、焦炭等无机滤料。用作填料的塑料制品应抗老化，比表面积</w:t>
      </w:r>
      <w:r>
        <w:rPr>
          <w:rFonts w:hint="eastAsia" w:asciiTheme="minorEastAsia" w:hAnsiTheme="minorEastAsia" w:eastAsiaTheme="minorEastAsia" w:cstheme="minorEastAsia"/>
          <w:color w:val="auto"/>
          <w:spacing w:val="-5"/>
          <w:sz w:val="24"/>
          <w:szCs w:val="24"/>
        </w:rPr>
        <w:t>大，一般为</w:t>
      </w:r>
      <w:r>
        <w:rPr>
          <w:rFonts w:hint="eastAsia" w:asciiTheme="minorEastAsia" w:hAnsiTheme="minorEastAsia" w:eastAsiaTheme="minorEastAsia" w:cstheme="minorEastAsia"/>
          <w:color w:val="auto"/>
          <w:sz w:val="24"/>
          <w:szCs w:val="24"/>
        </w:rPr>
        <w:t>100~200</w:t>
      </w:r>
      <w:r>
        <w:rPr>
          <w:rFonts w:hint="eastAsia" w:asciiTheme="minorEastAsia" w:hAnsiTheme="minorEastAsia" w:eastAsiaTheme="minorEastAsia" w:cstheme="minorEastAsia"/>
          <w:color w:val="auto"/>
          <w:spacing w:val="-5"/>
          <w:sz w:val="24"/>
          <w:szCs w:val="24"/>
        </w:rPr>
        <w:t>m²/m³</w:t>
      </w:r>
      <w:r>
        <w:rPr>
          <w:rFonts w:hint="eastAsia" w:asciiTheme="minorEastAsia" w:hAnsiTheme="minorEastAsia" w:eastAsiaTheme="minorEastAsia" w:cstheme="minorEastAsia"/>
          <w:color w:val="auto"/>
          <w:spacing w:val="-6"/>
          <w:sz w:val="24"/>
          <w:szCs w:val="24"/>
        </w:rPr>
        <w:t>；孔隙率高，一般</w:t>
      </w:r>
      <w:r>
        <w:rPr>
          <w:rFonts w:hint="eastAsia" w:asciiTheme="minorEastAsia" w:hAnsiTheme="minorEastAsia" w:eastAsiaTheme="minorEastAsia" w:cstheme="minorEastAsia"/>
          <w:color w:val="auto"/>
          <w:spacing w:val="-4"/>
          <w:sz w:val="24"/>
          <w:szCs w:val="24"/>
        </w:rPr>
        <w:t>80%～90</w:t>
      </w:r>
      <w:r>
        <w:rPr>
          <w:rFonts w:hint="eastAsia" w:asciiTheme="minorEastAsia" w:hAnsiTheme="minorEastAsia" w:eastAsiaTheme="minorEastAsia" w:cstheme="minorEastAsia"/>
          <w:color w:val="auto"/>
          <w:spacing w:val="-2"/>
          <w:sz w:val="24"/>
          <w:szCs w:val="24"/>
        </w:rPr>
        <w:t>%。</w:t>
      </w:r>
    </w:p>
    <w:p>
      <w:pPr>
        <w:pStyle w:val="32"/>
        <w:numPr>
          <w:ilvl w:val="0"/>
          <w:numId w:val="34"/>
        </w:numPr>
        <w:tabs>
          <w:tab w:val="left" w:pos="1404"/>
        </w:tabs>
        <w:spacing w:line="500" w:lineRule="exact"/>
        <w:ind w:left="0" w:firstLine="468"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color w:val="auto"/>
          <w:spacing w:val="-3"/>
          <w:sz w:val="24"/>
          <w:szCs w:val="24"/>
        </w:rPr>
        <w:t>处理生活污水时，正常气温下，水力负荷以滤池面积算，宜为</w:t>
      </w:r>
      <w:r>
        <w:rPr>
          <w:rFonts w:hint="eastAsia" w:asciiTheme="minorEastAsia" w:hAnsiTheme="minorEastAsia" w:eastAsiaTheme="minorEastAsia" w:cstheme="minorEastAsia"/>
          <w:color w:val="auto"/>
          <w:sz w:val="24"/>
          <w:szCs w:val="24"/>
        </w:rPr>
        <w:t>1~3m³/（m²•d）</w:t>
      </w:r>
      <w:r>
        <w:rPr>
          <w:rFonts w:hint="eastAsia" w:asciiTheme="minorEastAsia" w:hAnsiTheme="minorEastAsia" w:eastAsiaTheme="minorEastAsia" w:cstheme="minorEastAsia"/>
          <w:color w:val="auto"/>
          <w:spacing w:val="-5"/>
          <w:sz w:val="24"/>
          <w:szCs w:val="24"/>
        </w:rPr>
        <w:t>，五日生化需氧量容积负荷以填料体积计，</w:t>
      </w:r>
      <w:r>
        <w:rPr>
          <w:rFonts w:hint="eastAsia" w:asciiTheme="minorEastAsia" w:hAnsiTheme="minorEastAsia" w:eastAsiaTheme="minorEastAsia" w:cstheme="minorEastAsia"/>
          <w:color w:val="auto"/>
          <w:sz w:val="24"/>
          <w:szCs w:val="24"/>
        </w:rPr>
        <w:t>宜为0.15～0.3kg BOD5/(m³•d)。</w:t>
      </w:r>
    </w:p>
    <w:p>
      <w:pPr>
        <w:pStyle w:val="32"/>
        <w:numPr>
          <w:ilvl w:val="0"/>
          <w:numId w:val="0"/>
        </w:numPr>
        <w:tabs>
          <w:tab w:val="left" w:pos="1404"/>
        </w:tabs>
        <w:spacing w:line="500" w:lineRule="exact"/>
        <w:ind w:left="480"/>
        <w:jc w:val="both"/>
        <w:rPr>
          <w:rFonts w:asciiTheme="minorEastAsia" w:hAnsiTheme="minorEastAsia" w:eastAsiaTheme="minorEastAsia" w:cstheme="minorEastAsia"/>
          <w:bCs/>
          <w:color w:val="auto"/>
          <w:sz w:val="24"/>
          <w:szCs w:val="24"/>
        </w:rPr>
      </w:pPr>
      <w:r>
        <w:rPr>
          <w:rFonts w:hint="eastAsia" w:asciiTheme="minorEastAsia" w:hAnsiTheme="minorEastAsia" w:eastAsiaTheme="minorEastAsia" w:cstheme="minorEastAsia"/>
          <w:bCs/>
          <w:color w:val="auto"/>
          <w:sz w:val="24"/>
          <w:szCs w:val="24"/>
        </w:rPr>
        <w:t>(2）人工湿地</w:t>
      </w:r>
    </w:p>
    <w:p>
      <w:pPr>
        <w:pStyle w:val="32"/>
        <w:numPr>
          <w:ilvl w:val="0"/>
          <w:numId w:val="35"/>
        </w:numPr>
        <w:tabs>
          <w:tab w:val="left" w:pos="1385"/>
        </w:tabs>
        <w:spacing w:line="500" w:lineRule="exact"/>
        <w:ind w:left="0" w:firstLine="44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8"/>
          <w:sz w:val="24"/>
          <w:szCs w:val="24"/>
        </w:rPr>
        <w:t>污水经人工湿地前应予处理。</w:t>
      </w:r>
    </w:p>
    <w:p>
      <w:pPr>
        <w:pStyle w:val="32"/>
        <w:numPr>
          <w:ilvl w:val="0"/>
          <w:numId w:val="35"/>
        </w:numPr>
        <w:tabs>
          <w:tab w:val="left" w:pos="1404"/>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人工湿地应选择潜流式人工湿地。一般采用垂直流湿地床多</w:t>
      </w:r>
      <w:r>
        <w:rPr>
          <w:rFonts w:hint="eastAsia" w:asciiTheme="minorEastAsia" w:hAnsiTheme="minorEastAsia" w:eastAsiaTheme="minorEastAsia" w:cstheme="minorEastAsia"/>
          <w:color w:val="auto"/>
          <w:spacing w:val="-4"/>
          <w:sz w:val="24"/>
          <w:szCs w:val="24"/>
        </w:rPr>
        <w:t>级串</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pacing w:val="-13"/>
          <w:sz w:val="24"/>
          <w:szCs w:val="24"/>
        </w:rPr>
        <w:t>并联。地形有利于垂直流湿地床与水平流湿地床组合的，也可采</w:t>
      </w:r>
      <w:r>
        <w:rPr>
          <w:rFonts w:hint="eastAsia" w:asciiTheme="minorEastAsia" w:hAnsiTheme="minorEastAsia" w:eastAsiaTheme="minorEastAsia" w:cstheme="minorEastAsia"/>
          <w:color w:val="auto"/>
          <w:spacing w:val="-8"/>
          <w:sz w:val="24"/>
          <w:szCs w:val="24"/>
        </w:rPr>
        <w:t>用垂直流湿地床与水平流湿地床组合形式。</w:t>
      </w:r>
    </w:p>
    <w:p>
      <w:pPr>
        <w:pStyle w:val="32"/>
        <w:numPr>
          <w:ilvl w:val="0"/>
          <w:numId w:val="35"/>
        </w:numPr>
        <w:tabs>
          <w:tab w:val="left" w:pos="1433"/>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人工湿地宜由进水管、出水管、透气管、砂砾或岩石填料构</w:t>
      </w:r>
      <w:r>
        <w:rPr>
          <w:rFonts w:hint="eastAsia" w:asciiTheme="minorEastAsia" w:hAnsiTheme="minorEastAsia" w:eastAsiaTheme="minorEastAsia" w:cstheme="minorEastAsia"/>
          <w:color w:val="auto"/>
          <w:spacing w:val="-8"/>
          <w:sz w:val="24"/>
          <w:szCs w:val="24"/>
        </w:rPr>
        <w:t>成的过滤层、底部不透水层和具有一定净化功能的水生植物组成。透</w:t>
      </w:r>
      <w:r>
        <w:rPr>
          <w:rFonts w:hint="eastAsia" w:asciiTheme="minorEastAsia" w:hAnsiTheme="minorEastAsia" w:eastAsiaTheme="minorEastAsia" w:cstheme="minorEastAsia"/>
          <w:color w:val="auto"/>
          <w:spacing w:val="-12"/>
          <w:sz w:val="24"/>
          <w:szCs w:val="24"/>
        </w:rPr>
        <w:t xml:space="preserve">气管宜埋入填料中，其管口应高出填料 </w:t>
      </w:r>
      <w:r>
        <w:rPr>
          <w:rFonts w:hint="eastAsia" w:asciiTheme="minorEastAsia" w:hAnsiTheme="minorEastAsia" w:eastAsiaTheme="minorEastAsia" w:cstheme="minorEastAsia"/>
          <w:color w:val="auto"/>
          <w:spacing w:val="-9"/>
          <w:sz w:val="24"/>
          <w:szCs w:val="24"/>
        </w:rPr>
        <w:t>300mm</w:t>
      </w:r>
      <w:r>
        <w:rPr>
          <w:rFonts w:hint="eastAsia" w:asciiTheme="minorEastAsia" w:hAnsiTheme="minorEastAsia" w:eastAsiaTheme="minorEastAsia" w:cstheme="minorEastAsia"/>
          <w:color w:val="auto"/>
          <w:sz w:val="24"/>
          <w:szCs w:val="24"/>
        </w:rPr>
        <w:t>。</w:t>
      </w:r>
    </w:p>
    <w:p>
      <w:pPr>
        <w:pStyle w:val="32"/>
        <w:numPr>
          <w:ilvl w:val="0"/>
          <w:numId w:val="35"/>
        </w:numPr>
        <w:tabs>
          <w:tab w:val="left" w:pos="1481"/>
        </w:tabs>
        <w:spacing w:line="500" w:lineRule="exact"/>
        <w:ind w:left="0" w:firstLine="42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3"/>
          <w:sz w:val="24"/>
          <w:szCs w:val="24"/>
        </w:rPr>
        <w:t xml:space="preserve">人工湿地的表面负荷 </w:t>
      </w:r>
      <w:r>
        <w:rPr>
          <w:rFonts w:hint="eastAsia" w:asciiTheme="minorEastAsia" w:hAnsiTheme="minorEastAsia" w:eastAsiaTheme="minorEastAsia" w:cstheme="minorEastAsia"/>
          <w:color w:val="auto"/>
          <w:spacing w:val="-5"/>
          <w:sz w:val="24"/>
          <w:szCs w:val="24"/>
        </w:rPr>
        <w:t>8~12g</w:t>
      </w:r>
      <w:r>
        <w:rPr>
          <w:rFonts w:hint="eastAsia" w:asciiTheme="minorEastAsia" w:hAnsiTheme="minorEastAsia" w:eastAsiaTheme="minorEastAsia" w:cstheme="minorEastAsia"/>
          <w:color w:val="auto"/>
          <w:spacing w:val="-4"/>
          <w:sz w:val="24"/>
          <w:szCs w:val="24"/>
        </w:rPr>
        <w:t>BOD/</w:t>
      </w:r>
      <w:r>
        <w:rPr>
          <w:rFonts w:hint="eastAsia" w:asciiTheme="minorEastAsia" w:hAnsiTheme="minorEastAsia" w:eastAsiaTheme="minorEastAsia" w:cstheme="minorEastAsia"/>
          <w:color w:val="auto"/>
          <w:spacing w:val="-9"/>
          <w:sz w:val="24"/>
          <w:szCs w:val="24"/>
        </w:rPr>
        <w:t>m²•d；水力停留时间</w:t>
      </w:r>
    </w:p>
    <w:p>
      <w:pPr>
        <w:pStyle w:val="10"/>
        <w:spacing w:line="500" w:lineRule="exact"/>
        <w:ind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4～7d</w:t>
      </w:r>
      <w:r>
        <w:rPr>
          <w:rFonts w:hint="eastAsia" w:asciiTheme="minorEastAsia" w:hAnsiTheme="minorEastAsia" w:eastAsiaTheme="minorEastAsia" w:cstheme="minorEastAsia"/>
          <w:color w:val="auto"/>
          <w:spacing w:val="-16"/>
          <w:sz w:val="24"/>
          <w:szCs w:val="24"/>
        </w:rPr>
        <w:t xml:space="preserve">； 湿地床层深度 </w:t>
      </w:r>
      <w:r>
        <w:rPr>
          <w:rFonts w:hint="eastAsia" w:asciiTheme="minorEastAsia" w:hAnsiTheme="minorEastAsia" w:eastAsiaTheme="minorEastAsia" w:cstheme="minorEastAsia"/>
          <w:color w:val="auto"/>
          <w:spacing w:val="-11"/>
          <w:sz w:val="24"/>
          <w:szCs w:val="24"/>
        </w:rPr>
        <w:t>0.8～1.0m</w:t>
      </w:r>
      <w:r>
        <w:rPr>
          <w:rFonts w:hint="eastAsia" w:asciiTheme="minorEastAsia" w:hAnsiTheme="minorEastAsia" w:eastAsiaTheme="minorEastAsia" w:cstheme="minorEastAsia"/>
          <w:color w:val="auto"/>
          <w:spacing w:val="-17"/>
          <w:sz w:val="24"/>
          <w:szCs w:val="24"/>
        </w:rPr>
        <w:t xml:space="preserve">；水力坡度 </w:t>
      </w:r>
      <w:r>
        <w:rPr>
          <w:rFonts w:hint="eastAsia" w:asciiTheme="minorEastAsia" w:hAnsiTheme="minorEastAsia" w:eastAsiaTheme="minorEastAsia" w:cstheme="minorEastAsia"/>
          <w:color w:val="auto"/>
          <w:spacing w:val="-11"/>
          <w:sz w:val="24"/>
          <w:szCs w:val="24"/>
        </w:rPr>
        <w:t>0.01~0.02</w:t>
      </w:r>
      <w:r>
        <w:rPr>
          <w:rFonts w:hint="eastAsia" w:asciiTheme="minorEastAsia" w:hAnsiTheme="minorEastAsia" w:eastAsiaTheme="minorEastAsia" w:cstheme="minorEastAsia"/>
          <w:color w:val="auto"/>
          <w:spacing w:val="-15"/>
          <w:sz w:val="24"/>
          <w:szCs w:val="24"/>
        </w:rPr>
        <w:t>，坡向出水一</w:t>
      </w:r>
      <w:r>
        <w:rPr>
          <w:rFonts w:hint="eastAsia" w:asciiTheme="minorEastAsia" w:hAnsiTheme="minorEastAsia" w:eastAsiaTheme="minorEastAsia" w:cstheme="minorEastAsia"/>
          <w:color w:val="auto"/>
          <w:spacing w:val="-10"/>
          <w:sz w:val="24"/>
          <w:szCs w:val="24"/>
        </w:rPr>
        <w:t>端；湿地床层自下而上各层填料分布：夯实粘土、防水土工膜、土</w:t>
      </w:r>
      <w:r>
        <w:rPr>
          <w:rFonts w:hint="eastAsia" w:asciiTheme="minorEastAsia" w:hAnsiTheme="minorEastAsia" w:eastAsiaTheme="minorEastAsia" w:cstheme="minorEastAsia"/>
          <w:color w:val="auto"/>
          <w:spacing w:val="-8"/>
          <w:sz w:val="24"/>
          <w:szCs w:val="24"/>
        </w:rPr>
        <w:t>壤、不同粒径和功能的砾石级配区、表层种植土。</w:t>
      </w:r>
    </w:p>
    <w:p>
      <w:pPr>
        <w:pStyle w:val="32"/>
        <w:numPr>
          <w:ilvl w:val="0"/>
          <w:numId w:val="35"/>
        </w:numPr>
        <w:tabs>
          <w:tab w:val="left" w:pos="1534"/>
        </w:tabs>
        <w:spacing w:line="500" w:lineRule="exact"/>
        <w:ind w:left="0"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湿地一般采用线性布水和集水，使进水均匀进入湿地，并均匀出水。布水集水系统可采用明渠、管道等。</w:t>
      </w:r>
    </w:p>
    <w:p>
      <w:pPr>
        <w:pStyle w:val="32"/>
        <w:numPr>
          <w:ilvl w:val="0"/>
          <w:numId w:val="35"/>
        </w:numPr>
        <w:tabs>
          <w:tab w:val="left" w:pos="1481"/>
        </w:tabs>
        <w:spacing w:line="500" w:lineRule="exact"/>
        <w:ind w:left="0" w:firstLine="43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1"/>
          <w:sz w:val="24"/>
          <w:szCs w:val="24"/>
        </w:rPr>
        <w:t>人工湿地植物应因地制宜地选择，总体要求要耐水、根系</w:t>
      </w:r>
      <w:r>
        <w:rPr>
          <w:rFonts w:hint="eastAsia" w:asciiTheme="minorEastAsia" w:hAnsiTheme="minorEastAsia" w:eastAsiaTheme="minorEastAsia" w:cstheme="minorEastAsia"/>
          <w:color w:val="auto"/>
          <w:spacing w:val="-13"/>
          <w:sz w:val="24"/>
          <w:szCs w:val="24"/>
        </w:rPr>
        <w:t>发达、多年生、耐寒、吸收氮、磷量大，兼顾观赏性、经济型。不同类型的湿地要根据其各自的池处理效率，对种植的植物种类进行</w:t>
      </w:r>
      <w:r>
        <w:rPr>
          <w:rFonts w:hint="eastAsia" w:asciiTheme="minorEastAsia" w:hAnsiTheme="minorEastAsia" w:eastAsiaTheme="minorEastAsia" w:cstheme="minorEastAsia"/>
          <w:color w:val="auto"/>
          <w:spacing w:val="-11"/>
          <w:sz w:val="24"/>
          <w:szCs w:val="24"/>
        </w:rPr>
        <w:t>合理搭配。</w:t>
      </w:r>
    </w:p>
    <w:p>
      <w:pPr>
        <w:pStyle w:val="32"/>
        <w:numPr>
          <w:ilvl w:val="0"/>
          <w:numId w:val="36"/>
        </w:numPr>
        <w:tabs>
          <w:tab w:val="left" w:pos="2004"/>
        </w:tabs>
        <w:spacing w:line="500" w:lineRule="exact"/>
        <w:ind w:left="0" w:firstLine="480" w:firstLineChars="200"/>
        <w:jc w:val="both"/>
        <w:rPr>
          <w:rFonts w:asciiTheme="minorEastAsia" w:hAnsiTheme="minorEastAsia" w:eastAsiaTheme="minorEastAsia" w:cstheme="minorEastAsia"/>
          <w:bCs/>
          <w:color w:val="auto"/>
          <w:sz w:val="24"/>
          <w:szCs w:val="24"/>
        </w:rPr>
      </w:pPr>
      <w:r>
        <w:rPr>
          <w:rFonts w:hint="eastAsia" w:asciiTheme="minorEastAsia" w:hAnsiTheme="minorEastAsia" w:eastAsiaTheme="minorEastAsia" w:cstheme="minorEastAsia"/>
          <w:bCs/>
          <w:color w:val="auto"/>
          <w:sz w:val="24"/>
          <w:szCs w:val="24"/>
        </w:rPr>
        <w:t>活性污泥法</w:t>
      </w:r>
    </w:p>
    <w:p>
      <w:pPr>
        <w:pStyle w:val="32"/>
        <w:numPr>
          <w:ilvl w:val="0"/>
          <w:numId w:val="37"/>
        </w:numPr>
        <w:tabs>
          <w:tab w:val="left" w:pos="1481"/>
        </w:tabs>
        <w:spacing w:line="500" w:lineRule="exact"/>
        <w:ind w:left="0" w:firstLine="420" w:firstLineChars="20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根据去除碳源污染物、脱氮、除磷等不同要求和外部环境</w:t>
      </w:r>
      <w:r>
        <w:rPr>
          <w:rFonts w:hint="eastAsia" w:asciiTheme="minorEastAsia" w:hAnsiTheme="minorEastAsia" w:eastAsiaTheme="minorEastAsia" w:cstheme="minorEastAsia"/>
          <w:color w:val="auto"/>
          <w:spacing w:val="-18"/>
          <w:sz w:val="24"/>
          <w:szCs w:val="24"/>
        </w:rPr>
        <w:t>条件，选择适宜的活性污泥处理工艺，如</w:t>
      </w:r>
      <w:r>
        <w:rPr>
          <w:rFonts w:hint="eastAsia" w:asciiTheme="minorEastAsia" w:hAnsiTheme="minorEastAsia" w:eastAsiaTheme="minorEastAsia" w:cstheme="minorEastAsia"/>
          <w:color w:val="auto"/>
          <w:spacing w:val="-12"/>
          <w:sz w:val="24"/>
          <w:szCs w:val="24"/>
        </w:rPr>
        <w:t>A2/O</w:t>
      </w:r>
      <w:r>
        <w:rPr>
          <w:rFonts w:hint="eastAsia" w:asciiTheme="minorEastAsia" w:hAnsiTheme="minorEastAsia" w:eastAsiaTheme="minorEastAsia" w:cstheme="minorEastAsia"/>
          <w:color w:val="auto"/>
          <w:spacing w:val="-11"/>
          <w:sz w:val="24"/>
          <w:szCs w:val="24"/>
        </w:rPr>
        <w:t>、氧化沟等。</w:t>
      </w:r>
      <w:r>
        <w:rPr>
          <w:rFonts w:hint="eastAsia" w:asciiTheme="minorEastAsia" w:hAnsiTheme="minorEastAsia" w:eastAsiaTheme="minorEastAsia" w:cstheme="minorEastAsia"/>
          <w:color w:val="auto"/>
          <w:spacing w:val="-15"/>
          <w:sz w:val="24"/>
          <w:szCs w:val="24"/>
        </w:rPr>
        <w:t>活性污泥法设计参照《室外排水设计规范》（GB50014-2006）中相关内容设计计算。</w:t>
      </w:r>
    </w:p>
    <w:p>
      <w:pPr>
        <w:pStyle w:val="32"/>
        <w:numPr>
          <w:ilvl w:val="0"/>
          <w:numId w:val="36"/>
        </w:numPr>
        <w:tabs>
          <w:tab w:val="left" w:pos="2141"/>
        </w:tabs>
        <w:spacing w:line="500" w:lineRule="exact"/>
        <w:ind w:left="0" w:firstLine="480" w:firstLineChars="200"/>
        <w:jc w:val="both"/>
        <w:rPr>
          <w:rFonts w:asciiTheme="minorEastAsia" w:hAnsiTheme="minorEastAsia" w:eastAsiaTheme="minorEastAsia" w:cstheme="minorEastAsia"/>
          <w:bCs/>
          <w:color w:val="auto"/>
          <w:sz w:val="24"/>
          <w:szCs w:val="24"/>
        </w:rPr>
      </w:pPr>
      <w:r>
        <w:rPr>
          <w:rFonts w:hint="eastAsia" w:asciiTheme="minorEastAsia" w:hAnsiTheme="minorEastAsia" w:eastAsiaTheme="minorEastAsia" w:cstheme="minorEastAsia"/>
          <w:bCs/>
          <w:color w:val="auto"/>
          <w:sz w:val="24"/>
          <w:szCs w:val="24"/>
        </w:rPr>
        <w:t>生物膜法</w:t>
      </w:r>
    </w:p>
    <w:p>
      <w:pPr>
        <w:pStyle w:val="32"/>
        <w:numPr>
          <w:ilvl w:val="1"/>
          <w:numId w:val="37"/>
        </w:numPr>
        <w:tabs>
          <w:tab w:val="left" w:pos="1589"/>
        </w:tabs>
        <w:spacing w:line="500" w:lineRule="exact"/>
        <w:ind w:left="0"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生物膜法适用于中小规模污水处理，宜使用运行方便、稳定性强、易管理的处理工艺，如接触氧化法、生物滤池等。</w:t>
      </w:r>
    </w:p>
    <w:p>
      <w:pPr>
        <w:pStyle w:val="32"/>
        <w:numPr>
          <w:ilvl w:val="0"/>
          <w:numId w:val="38"/>
        </w:numPr>
        <w:tabs>
          <w:tab w:val="left" w:pos="1481"/>
        </w:tabs>
        <w:spacing w:line="500" w:lineRule="exact"/>
        <w:ind w:left="0"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生物膜法处理污水可单独应用，也可与其他污水处理工艺</w:t>
      </w:r>
      <w:r>
        <w:rPr>
          <w:rFonts w:hint="eastAsia" w:asciiTheme="minorEastAsia" w:hAnsiTheme="minorEastAsia" w:eastAsiaTheme="minorEastAsia" w:cstheme="minorEastAsia"/>
          <w:color w:val="auto"/>
          <w:spacing w:val="-11"/>
          <w:sz w:val="24"/>
          <w:szCs w:val="24"/>
        </w:rPr>
        <w:t>组合应用。</w:t>
      </w:r>
    </w:p>
    <w:p>
      <w:pPr>
        <w:pStyle w:val="32"/>
        <w:numPr>
          <w:ilvl w:val="0"/>
          <w:numId w:val="38"/>
        </w:numPr>
        <w:tabs>
          <w:tab w:val="left" w:pos="1481"/>
        </w:tabs>
        <w:spacing w:line="500" w:lineRule="exact"/>
        <w:ind w:left="0"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污水进行生物膜法处理前，宜经沉淀处理。</w:t>
      </w:r>
    </w:p>
    <w:p>
      <w:pPr>
        <w:pStyle w:val="32"/>
        <w:numPr>
          <w:ilvl w:val="0"/>
          <w:numId w:val="38"/>
        </w:numPr>
        <w:tabs>
          <w:tab w:val="left" w:pos="1481"/>
        </w:tabs>
        <w:spacing w:line="500" w:lineRule="exact"/>
        <w:ind w:left="0"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生物膜法设计参照《室外排水设计规范》</w:t>
      </w:r>
      <w:r>
        <w:rPr>
          <w:rFonts w:hint="eastAsia" w:asciiTheme="minorEastAsia" w:hAnsiTheme="minorEastAsia" w:eastAsiaTheme="minorEastAsia" w:cstheme="minorEastAsia"/>
          <w:color w:val="auto"/>
          <w:spacing w:val="-11"/>
          <w:sz w:val="24"/>
          <w:szCs w:val="24"/>
        </w:rPr>
        <w:t xml:space="preserve">（GB50014-2006） </w:t>
      </w:r>
      <w:r>
        <w:rPr>
          <w:rFonts w:hint="eastAsia" w:asciiTheme="minorEastAsia" w:hAnsiTheme="minorEastAsia" w:eastAsiaTheme="minorEastAsia" w:cstheme="minorEastAsia"/>
          <w:color w:val="auto"/>
          <w:spacing w:val="-14"/>
          <w:sz w:val="24"/>
          <w:szCs w:val="24"/>
        </w:rPr>
        <w:t>中相关内容设计计算。</w:t>
      </w:r>
    </w:p>
    <w:p>
      <w:pPr>
        <w:pStyle w:val="32"/>
        <w:numPr>
          <w:ilvl w:val="3"/>
          <w:numId w:val="28"/>
        </w:numPr>
        <w:tabs>
          <w:tab w:val="left" w:pos="176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结构设计</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(1）规范和依据</w:t>
      </w:r>
    </w:p>
    <w:p>
      <w:pPr>
        <w:pStyle w:val="32"/>
        <w:numPr>
          <w:ilvl w:val="0"/>
          <w:numId w:val="0"/>
        </w:numPr>
        <w:tabs>
          <w:tab w:val="left" w:pos="956"/>
        </w:tabs>
        <w:spacing w:line="500" w:lineRule="exact"/>
        <w:ind w:left="45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1）《建筑结构可靠度设计统一标准》（GB50068-2001）；</w:t>
      </w:r>
    </w:p>
    <w:p>
      <w:pPr>
        <w:pStyle w:val="32"/>
        <w:numPr>
          <w:ilvl w:val="0"/>
          <w:numId w:val="0"/>
        </w:numPr>
        <w:tabs>
          <w:tab w:val="left" w:pos="956"/>
        </w:tabs>
        <w:spacing w:line="500" w:lineRule="exact"/>
        <w:ind w:left="45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2）《建筑结构荷载规范》（GB50009-2012）；</w:t>
      </w:r>
    </w:p>
    <w:p>
      <w:pPr>
        <w:pStyle w:val="32"/>
        <w:numPr>
          <w:ilvl w:val="0"/>
          <w:numId w:val="0"/>
        </w:numPr>
        <w:tabs>
          <w:tab w:val="left" w:pos="956"/>
        </w:tabs>
        <w:spacing w:line="500" w:lineRule="exact"/>
        <w:ind w:left="45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3）《给水排水工程构筑物结构设计规范》（GB50069-2002）；</w:t>
      </w:r>
    </w:p>
    <w:p>
      <w:pPr>
        <w:pStyle w:val="32"/>
        <w:numPr>
          <w:ilvl w:val="0"/>
          <w:numId w:val="0"/>
        </w:numPr>
        <w:tabs>
          <w:tab w:val="left" w:pos="956"/>
        </w:tabs>
        <w:spacing w:line="500" w:lineRule="exact"/>
        <w:ind w:left="45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4）《给水排水工程管道结构设计规范》（GB50332-2002）；</w:t>
      </w:r>
    </w:p>
    <w:p>
      <w:pPr>
        <w:pStyle w:val="32"/>
        <w:numPr>
          <w:ilvl w:val="0"/>
          <w:numId w:val="0"/>
        </w:numPr>
        <w:tabs>
          <w:tab w:val="left" w:pos="956"/>
        </w:tabs>
        <w:spacing w:line="500" w:lineRule="exact"/>
        <w:ind w:left="45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5）《建筑抗震设计规范》（GB50011-2010）；</w:t>
      </w:r>
    </w:p>
    <w:p>
      <w:pPr>
        <w:pStyle w:val="32"/>
        <w:numPr>
          <w:ilvl w:val="0"/>
          <w:numId w:val="0"/>
        </w:numPr>
        <w:tabs>
          <w:tab w:val="left" w:pos="956"/>
        </w:tabs>
        <w:spacing w:line="500" w:lineRule="exact"/>
        <w:ind w:left="45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6）《建筑工程抗震设防分类标准》（GB50223-2008）；</w:t>
      </w:r>
    </w:p>
    <w:p>
      <w:pPr>
        <w:pStyle w:val="32"/>
        <w:numPr>
          <w:ilvl w:val="0"/>
          <w:numId w:val="0"/>
        </w:numPr>
        <w:tabs>
          <w:tab w:val="left" w:pos="956"/>
        </w:tabs>
        <w:spacing w:line="500" w:lineRule="exact"/>
        <w:ind w:left="45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7）《室外给水排水和燃气热力工程抗震设 规范 》（GB50032-2003）；</w:t>
      </w:r>
    </w:p>
    <w:p>
      <w:pPr>
        <w:pStyle w:val="32"/>
        <w:numPr>
          <w:ilvl w:val="0"/>
          <w:numId w:val="0"/>
        </w:numPr>
        <w:tabs>
          <w:tab w:val="left" w:pos="956"/>
        </w:tabs>
        <w:spacing w:line="500" w:lineRule="exact"/>
        <w:ind w:left="45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8）《建筑地基基础设计规范》（GB50007-2011）；</w:t>
      </w:r>
    </w:p>
    <w:p>
      <w:pPr>
        <w:pStyle w:val="32"/>
        <w:numPr>
          <w:ilvl w:val="0"/>
          <w:numId w:val="0"/>
        </w:numPr>
        <w:tabs>
          <w:tab w:val="left" w:pos="956"/>
        </w:tabs>
        <w:spacing w:line="500" w:lineRule="exact"/>
        <w:ind w:left="45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9）《混凝土结构设计规范》（GB50010-2010）；</w:t>
      </w:r>
    </w:p>
    <w:p>
      <w:pPr>
        <w:pStyle w:val="32"/>
        <w:numPr>
          <w:ilvl w:val="0"/>
          <w:numId w:val="0"/>
        </w:numPr>
        <w:tabs>
          <w:tab w:val="left" w:pos="956"/>
        </w:tabs>
        <w:spacing w:line="500" w:lineRule="exact"/>
        <w:ind w:left="45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1</w:t>
      </w:r>
      <w:r>
        <w:rPr>
          <w:rFonts w:asciiTheme="minorEastAsia" w:hAnsiTheme="minorEastAsia" w:eastAsiaTheme="minorEastAsia" w:cstheme="minorEastAsia"/>
          <w:color w:val="auto"/>
          <w:spacing w:val="-15"/>
          <w:sz w:val="24"/>
          <w:szCs w:val="24"/>
        </w:rPr>
        <w:t>0</w:t>
      </w:r>
      <w:r>
        <w:rPr>
          <w:rFonts w:hint="eastAsia" w:asciiTheme="minorEastAsia" w:hAnsiTheme="minorEastAsia" w:eastAsiaTheme="minorEastAsia" w:cstheme="minorEastAsia"/>
          <w:color w:val="auto"/>
          <w:spacing w:val="-15"/>
          <w:sz w:val="24"/>
          <w:szCs w:val="24"/>
        </w:rPr>
        <w:t>）《砌体结构设计规范》（GB50003-2011）；</w:t>
      </w:r>
    </w:p>
    <w:p>
      <w:pPr>
        <w:pStyle w:val="32"/>
        <w:numPr>
          <w:ilvl w:val="0"/>
          <w:numId w:val="0"/>
        </w:numPr>
        <w:tabs>
          <w:tab w:val="left" w:pos="956"/>
        </w:tabs>
        <w:spacing w:line="500" w:lineRule="exact"/>
        <w:ind w:left="45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1</w:t>
      </w:r>
      <w:r>
        <w:rPr>
          <w:rFonts w:asciiTheme="minorEastAsia" w:hAnsiTheme="minorEastAsia" w:eastAsiaTheme="minorEastAsia" w:cstheme="minorEastAsia"/>
          <w:color w:val="auto"/>
          <w:spacing w:val="-15"/>
          <w:sz w:val="24"/>
          <w:szCs w:val="24"/>
        </w:rPr>
        <w:t>1</w:t>
      </w:r>
      <w:r>
        <w:rPr>
          <w:rFonts w:hint="eastAsia" w:asciiTheme="minorEastAsia" w:hAnsiTheme="minorEastAsia" w:eastAsiaTheme="minorEastAsia" w:cstheme="minorEastAsia"/>
          <w:color w:val="auto"/>
          <w:spacing w:val="-15"/>
          <w:sz w:val="24"/>
          <w:szCs w:val="24"/>
        </w:rPr>
        <w:t>）《建筑地基处理技术规范》（JGJ79-2012）；</w:t>
      </w:r>
    </w:p>
    <w:p>
      <w:pPr>
        <w:tabs>
          <w:tab w:val="left" w:pos="956"/>
        </w:tabs>
        <w:spacing w:line="500" w:lineRule="exact"/>
        <w:ind w:firstLine="420" w:firstLineChars="20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1</w:t>
      </w:r>
      <w:r>
        <w:rPr>
          <w:rFonts w:asciiTheme="minorEastAsia" w:hAnsiTheme="minorEastAsia" w:eastAsiaTheme="minorEastAsia" w:cstheme="minorEastAsia"/>
          <w:color w:val="auto"/>
          <w:spacing w:val="-15"/>
          <w:sz w:val="24"/>
          <w:szCs w:val="24"/>
        </w:rPr>
        <w:t>2</w:t>
      </w:r>
      <w:r>
        <w:rPr>
          <w:rFonts w:hint="eastAsia" w:asciiTheme="minorEastAsia" w:hAnsiTheme="minorEastAsia" w:eastAsiaTheme="minorEastAsia" w:cstheme="minorEastAsia"/>
          <w:color w:val="auto"/>
          <w:spacing w:val="-15"/>
          <w:sz w:val="24"/>
          <w:szCs w:val="24"/>
        </w:rPr>
        <w:t>）《给水排水混凝土构筑物变形缝设计规程》(CECS117： 2000)；</w:t>
      </w:r>
    </w:p>
    <w:p>
      <w:pPr>
        <w:pStyle w:val="32"/>
        <w:numPr>
          <w:ilvl w:val="0"/>
          <w:numId w:val="0"/>
        </w:numPr>
        <w:tabs>
          <w:tab w:val="left" w:pos="956"/>
        </w:tabs>
        <w:spacing w:line="500" w:lineRule="exact"/>
        <w:ind w:left="45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1</w:t>
      </w:r>
      <w:r>
        <w:rPr>
          <w:rFonts w:asciiTheme="minorEastAsia" w:hAnsiTheme="minorEastAsia" w:eastAsiaTheme="minorEastAsia" w:cstheme="minorEastAsia"/>
          <w:color w:val="auto"/>
          <w:spacing w:val="-15"/>
          <w:sz w:val="24"/>
          <w:szCs w:val="24"/>
        </w:rPr>
        <w:t>3</w:t>
      </w:r>
      <w:r>
        <w:rPr>
          <w:rFonts w:hint="eastAsia" w:asciiTheme="minorEastAsia" w:hAnsiTheme="minorEastAsia" w:eastAsiaTheme="minorEastAsia" w:cstheme="minorEastAsia"/>
          <w:color w:val="auto"/>
          <w:spacing w:val="-15"/>
          <w:sz w:val="24"/>
          <w:szCs w:val="24"/>
        </w:rPr>
        <w:t>）《混凝土碱含量限制标准》（CECS53:93）；</w:t>
      </w:r>
    </w:p>
    <w:p>
      <w:pPr>
        <w:pStyle w:val="32"/>
        <w:numPr>
          <w:ilvl w:val="0"/>
          <w:numId w:val="0"/>
        </w:numPr>
        <w:tabs>
          <w:tab w:val="left" w:pos="956"/>
        </w:tabs>
        <w:spacing w:line="500" w:lineRule="exact"/>
        <w:ind w:left="45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1</w:t>
      </w:r>
      <w:r>
        <w:rPr>
          <w:rFonts w:asciiTheme="minorEastAsia" w:hAnsiTheme="minorEastAsia" w:eastAsiaTheme="minorEastAsia" w:cstheme="minorEastAsia"/>
          <w:color w:val="auto"/>
          <w:spacing w:val="-15"/>
          <w:sz w:val="24"/>
          <w:szCs w:val="24"/>
        </w:rPr>
        <w:t>4</w:t>
      </w:r>
      <w:r>
        <w:rPr>
          <w:rFonts w:hint="eastAsia" w:asciiTheme="minorEastAsia" w:hAnsiTheme="minorEastAsia" w:eastAsiaTheme="minorEastAsia" w:cstheme="minorEastAsia"/>
          <w:color w:val="auto"/>
          <w:spacing w:val="-15"/>
          <w:sz w:val="24"/>
          <w:szCs w:val="24"/>
        </w:rPr>
        <w:t>）《混凝土外加剂应用技术规范》（GBJ50119-2013）；</w:t>
      </w:r>
    </w:p>
    <w:p>
      <w:pPr>
        <w:pStyle w:val="32"/>
        <w:numPr>
          <w:ilvl w:val="0"/>
          <w:numId w:val="0"/>
        </w:numPr>
        <w:tabs>
          <w:tab w:val="left" w:pos="956"/>
        </w:tabs>
        <w:spacing w:line="500" w:lineRule="exact"/>
        <w:ind w:left="45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1</w:t>
      </w:r>
      <w:r>
        <w:rPr>
          <w:rFonts w:asciiTheme="minorEastAsia" w:hAnsiTheme="minorEastAsia" w:eastAsiaTheme="minorEastAsia" w:cstheme="minorEastAsia"/>
          <w:color w:val="auto"/>
          <w:spacing w:val="-15"/>
          <w:sz w:val="24"/>
          <w:szCs w:val="24"/>
        </w:rPr>
        <w:t>5</w:t>
      </w:r>
      <w:r>
        <w:rPr>
          <w:rFonts w:hint="eastAsia" w:asciiTheme="minorEastAsia" w:hAnsiTheme="minorEastAsia" w:eastAsiaTheme="minorEastAsia" w:cstheme="minorEastAsia"/>
          <w:color w:val="auto"/>
          <w:spacing w:val="-15"/>
          <w:sz w:val="24"/>
          <w:szCs w:val="24"/>
        </w:rPr>
        <w:t>）《建筑基坑支护技术规程》（JGJ120-2012）；</w:t>
      </w:r>
    </w:p>
    <w:p>
      <w:pPr>
        <w:pStyle w:val="32"/>
        <w:numPr>
          <w:ilvl w:val="0"/>
          <w:numId w:val="0"/>
        </w:numPr>
        <w:tabs>
          <w:tab w:val="left" w:pos="956"/>
        </w:tabs>
        <w:spacing w:line="500" w:lineRule="exact"/>
        <w:ind w:left="45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1</w:t>
      </w:r>
      <w:r>
        <w:rPr>
          <w:rFonts w:asciiTheme="minorEastAsia" w:hAnsiTheme="minorEastAsia" w:eastAsiaTheme="minorEastAsia" w:cstheme="minorEastAsia"/>
          <w:color w:val="auto"/>
          <w:spacing w:val="-15"/>
          <w:sz w:val="24"/>
          <w:szCs w:val="24"/>
        </w:rPr>
        <w:t>6</w:t>
      </w:r>
      <w:r>
        <w:rPr>
          <w:rFonts w:hint="eastAsia" w:asciiTheme="minorEastAsia" w:hAnsiTheme="minorEastAsia" w:eastAsiaTheme="minorEastAsia" w:cstheme="minorEastAsia"/>
          <w:color w:val="auto"/>
          <w:spacing w:val="-15"/>
          <w:sz w:val="24"/>
          <w:szCs w:val="24"/>
        </w:rPr>
        <w:t>）《建筑桩基技术规范》（JGJ94-2008）；</w:t>
      </w:r>
    </w:p>
    <w:p>
      <w:pPr>
        <w:tabs>
          <w:tab w:val="left" w:pos="956"/>
        </w:tabs>
        <w:spacing w:line="500" w:lineRule="exact"/>
        <w:ind w:firstLine="420" w:firstLineChars="20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1</w:t>
      </w:r>
      <w:r>
        <w:rPr>
          <w:rFonts w:asciiTheme="minorEastAsia" w:hAnsiTheme="minorEastAsia" w:eastAsiaTheme="minorEastAsia" w:cstheme="minorEastAsia"/>
          <w:color w:val="auto"/>
          <w:spacing w:val="-15"/>
          <w:sz w:val="24"/>
          <w:szCs w:val="24"/>
        </w:rPr>
        <w:t>7</w:t>
      </w:r>
      <w:r>
        <w:rPr>
          <w:rFonts w:hint="eastAsia" w:asciiTheme="minorEastAsia" w:hAnsiTheme="minorEastAsia" w:eastAsiaTheme="minorEastAsia" w:cstheme="minorEastAsia"/>
          <w:color w:val="auto"/>
          <w:spacing w:val="-15"/>
          <w:sz w:val="24"/>
          <w:szCs w:val="24"/>
        </w:rPr>
        <w:t>）《泵站设计规范》（GB50265-2010）；</w:t>
      </w:r>
    </w:p>
    <w:p>
      <w:pPr>
        <w:pStyle w:val="32"/>
        <w:numPr>
          <w:ilvl w:val="0"/>
          <w:numId w:val="0"/>
        </w:numPr>
        <w:tabs>
          <w:tab w:val="left" w:pos="956"/>
        </w:tabs>
        <w:spacing w:line="500" w:lineRule="exact"/>
        <w:ind w:left="45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1</w:t>
      </w:r>
      <w:r>
        <w:rPr>
          <w:rFonts w:asciiTheme="minorEastAsia" w:hAnsiTheme="minorEastAsia" w:eastAsiaTheme="minorEastAsia" w:cstheme="minorEastAsia"/>
          <w:color w:val="auto"/>
          <w:spacing w:val="-15"/>
          <w:sz w:val="24"/>
          <w:szCs w:val="24"/>
        </w:rPr>
        <w:t>8</w:t>
      </w:r>
      <w:r>
        <w:rPr>
          <w:rFonts w:hint="eastAsia" w:asciiTheme="minorEastAsia" w:hAnsiTheme="minorEastAsia" w:eastAsiaTheme="minorEastAsia" w:cstheme="minorEastAsia"/>
          <w:color w:val="auto"/>
          <w:spacing w:val="-15"/>
          <w:sz w:val="24"/>
          <w:szCs w:val="24"/>
        </w:rPr>
        <w:t>）《 预应力混凝土管桩基础技术规程（ 广东省标 ）》DBJ/T15- 22-2008）；</w:t>
      </w:r>
    </w:p>
    <w:p>
      <w:pPr>
        <w:pStyle w:val="32"/>
        <w:numPr>
          <w:ilvl w:val="0"/>
          <w:numId w:val="0"/>
        </w:numPr>
        <w:tabs>
          <w:tab w:val="left" w:pos="956"/>
        </w:tabs>
        <w:spacing w:line="500" w:lineRule="exact"/>
        <w:ind w:left="45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1</w:t>
      </w:r>
      <w:r>
        <w:rPr>
          <w:rFonts w:asciiTheme="minorEastAsia" w:hAnsiTheme="minorEastAsia" w:eastAsiaTheme="minorEastAsia" w:cstheme="minorEastAsia"/>
          <w:color w:val="auto"/>
          <w:spacing w:val="-15"/>
          <w:sz w:val="24"/>
          <w:szCs w:val="24"/>
        </w:rPr>
        <w:t>9</w:t>
      </w:r>
      <w:r>
        <w:rPr>
          <w:rFonts w:hint="eastAsia" w:asciiTheme="minorEastAsia" w:hAnsiTheme="minorEastAsia" w:eastAsiaTheme="minorEastAsia" w:cstheme="minorEastAsia"/>
          <w:color w:val="auto"/>
          <w:spacing w:val="-15"/>
          <w:sz w:val="24"/>
          <w:szCs w:val="24"/>
        </w:rPr>
        <w:t>）《 给水排水工程埋地钢管管道结构设计规程 》CECS 141：2002）（CECS141:2002）；</w:t>
      </w:r>
    </w:p>
    <w:p>
      <w:pPr>
        <w:pStyle w:val="32"/>
        <w:numPr>
          <w:ilvl w:val="0"/>
          <w:numId w:val="0"/>
        </w:numPr>
        <w:tabs>
          <w:tab w:val="left" w:pos="956"/>
        </w:tabs>
        <w:spacing w:line="500" w:lineRule="exact"/>
        <w:ind w:left="45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2</w:t>
      </w:r>
      <w:r>
        <w:rPr>
          <w:rFonts w:asciiTheme="minorEastAsia" w:hAnsiTheme="minorEastAsia" w:eastAsiaTheme="minorEastAsia" w:cstheme="minorEastAsia"/>
          <w:color w:val="auto"/>
          <w:spacing w:val="-15"/>
          <w:sz w:val="24"/>
          <w:szCs w:val="24"/>
        </w:rPr>
        <w:t>0</w:t>
      </w:r>
      <w:r>
        <w:rPr>
          <w:rFonts w:hint="eastAsia" w:asciiTheme="minorEastAsia" w:hAnsiTheme="minorEastAsia" w:eastAsiaTheme="minorEastAsia" w:cstheme="minorEastAsia"/>
          <w:color w:val="auto"/>
          <w:spacing w:val="-15"/>
          <w:sz w:val="24"/>
          <w:szCs w:val="24"/>
        </w:rPr>
        <w:t>）《埋地聚乙烯排水管管道工程技术规程》（CECS164：2004）；</w:t>
      </w:r>
    </w:p>
    <w:p>
      <w:pPr>
        <w:pStyle w:val="32"/>
        <w:numPr>
          <w:ilvl w:val="0"/>
          <w:numId w:val="0"/>
        </w:numPr>
        <w:tabs>
          <w:tab w:val="left" w:pos="956"/>
        </w:tabs>
        <w:spacing w:line="500" w:lineRule="exact"/>
        <w:ind w:left="45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2</w:t>
      </w:r>
      <w:r>
        <w:rPr>
          <w:rFonts w:asciiTheme="minorEastAsia" w:hAnsiTheme="minorEastAsia" w:eastAsiaTheme="minorEastAsia" w:cstheme="minorEastAsia"/>
          <w:color w:val="auto"/>
          <w:spacing w:val="-15"/>
          <w:sz w:val="24"/>
          <w:szCs w:val="24"/>
        </w:rPr>
        <w:t>1</w:t>
      </w:r>
      <w:r>
        <w:rPr>
          <w:rFonts w:hint="eastAsia" w:asciiTheme="minorEastAsia" w:hAnsiTheme="minorEastAsia" w:eastAsiaTheme="minorEastAsia" w:cstheme="minorEastAsia"/>
          <w:color w:val="auto"/>
          <w:spacing w:val="-15"/>
          <w:sz w:val="24"/>
          <w:szCs w:val="24"/>
        </w:rPr>
        <w:t>）《混凝土水池软弱地基处理设计规范》(CECS86：2015)；</w:t>
      </w:r>
    </w:p>
    <w:p>
      <w:pPr>
        <w:pStyle w:val="32"/>
        <w:numPr>
          <w:ilvl w:val="0"/>
          <w:numId w:val="0"/>
        </w:numPr>
        <w:tabs>
          <w:tab w:val="left" w:pos="956"/>
        </w:tabs>
        <w:spacing w:line="500" w:lineRule="exact"/>
        <w:ind w:left="45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2</w:t>
      </w:r>
      <w:r>
        <w:rPr>
          <w:rFonts w:asciiTheme="minorEastAsia" w:hAnsiTheme="minorEastAsia" w:eastAsiaTheme="minorEastAsia" w:cstheme="minorEastAsia"/>
          <w:color w:val="auto"/>
          <w:spacing w:val="-15"/>
          <w:sz w:val="24"/>
          <w:szCs w:val="24"/>
        </w:rPr>
        <w:t>2</w:t>
      </w:r>
      <w:r>
        <w:rPr>
          <w:rFonts w:hint="eastAsia" w:asciiTheme="minorEastAsia" w:hAnsiTheme="minorEastAsia" w:eastAsiaTheme="minorEastAsia" w:cstheme="minorEastAsia"/>
          <w:color w:val="auto"/>
          <w:spacing w:val="-15"/>
          <w:sz w:val="24"/>
          <w:szCs w:val="24"/>
        </w:rPr>
        <w:t>）《给水排水工程钢筋混凝土沉井结构设计规程》（CECS 137:2002）；</w:t>
      </w:r>
    </w:p>
    <w:p>
      <w:pPr>
        <w:pStyle w:val="32"/>
        <w:numPr>
          <w:ilvl w:val="0"/>
          <w:numId w:val="0"/>
        </w:numPr>
        <w:tabs>
          <w:tab w:val="left" w:pos="956"/>
        </w:tabs>
        <w:spacing w:line="500" w:lineRule="exact"/>
        <w:ind w:left="45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2</w:t>
      </w:r>
      <w:r>
        <w:rPr>
          <w:rFonts w:asciiTheme="minorEastAsia" w:hAnsiTheme="minorEastAsia" w:eastAsiaTheme="minorEastAsia" w:cstheme="minorEastAsia"/>
          <w:color w:val="auto"/>
          <w:spacing w:val="-15"/>
          <w:sz w:val="24"/>
          <w:szCs w:val="24"/>
        </w:rPr>
        <w:t>3</w:t>
      </w:r>
      <w:r>
        <w:rPr>
          <w:rFonts w:hint="eastAsia" w:asciiTheme="minorEastAsia" w:hAnsiTheme="minorEastAsia" w:eastAsiaTheme="minorEastAsia" w:cstheme="minorEastAsia"/>
          <w:color w:val="auto"/>
          <w:spacing w:val="-15"/>
          <w:sz w:val="24"/>
          <w:szCs w:val="24"/>
        </w:rPr>
        <w:t>）建筑地基基础工程施工质量验收规范（GB50202-2002)；</w:t>
      </w:r>
    </w:p>
    <w:p>
      <w:pPr>
        <w:pStyle w:val="32"/>
        <w:numPr>
          <w:ilvl w:val="0"/>
          <w:numId w:val="0"/>
        </w:numPr>
        <w:tabs>
          <w:tab w:val="left" w:pos="956"/>
        </w:tabs>
        <w:spacing w:line="500" w:lineRule="exact"/>
        <w:ind w:left="45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2</w:t>
      </w:r>
      <w:r>
        <w:rPr>
          <w:rFonts w:asciiTheme="minorEastAsia" w:hAnsiTheme="minorEastAsia" w:eastAsiaTheme="minorEastAsia" w:cstheme="minorEastAsia"/>
          <w:color w:val="auto"/>
          <w:spacing w:val="-15"/>
          <w:sz w:val="24"/>
          <w:szCs w:val="24"/>
        </w:rPr>
        <w:t>4</w:t>
      </w:r>
      <w:r>
        <w:rPr>
          <w:rFonts w:hint="eastAsia" w:asciiTheme="minorEastAsia" w:hAnsiTheme="minorEastAsia" w:eastAsiaTheme="minorEastAsia" w:cstheme="minorEastAsia"/>
          <w:color w:val="auto"/>
          <w:spacing w:val="-15"/>
          <w:sz w:val="24"/>
          <w:szCs w:val="24"/>
        </w:rPr>
        <w:t>）中国地震动参数区划图 GB18306-2001) ；</w:t>
      </w:r>
    </w:p>
    <w:p>
      <w:pPr>
        <w:pStyle w:val="32"/>
        <w:numPr>
          <w:ilvl w:val="0"/>
          <w:numId w:val="0"/>
        </w:numPr>
        <w:tabs>
          <w:tab w:val="left" w:pos="956"/>
        </w:tabs>
        <w:spacing w:line="500" w:lineRule="exact"/>
        <w:ind w:left="45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2</w:t>
      </w:r>
      <w:r>
        <w:rPr>
          <w:rFonts w:asciiTheme="minorEastAsia" w:hAnsiTheme="minorEastAsia" w:eastAsiaTheme="minorEastAsia" w:cstheme="minorEastAsia"/>
          <w:color w:val="auto"/>
          <w:spacing w:val="-15"/>
          <w:sz w:val="24"/>
          <w:szCs w:val="24"/>
        </w:rPr>
        <w:t>5</w:t>
      </w:r>
      <w:r>
        <w:rPr>
          <w:rFonts w:hint="eastAsia" w:asciiTheme="minorEastAsia" w:hAnsiTheme="minorEastAsia" w:eastAsiaTheme="minorEastAsia" w:cstheme="minorEastAsia"/>
          <w:color w:val="auto"/>
          <w:spacing w:val="-15"/>
          <w:sz w:val="24"/>
          <w:szCs w:val="24"/>
        </w:rPr>
        <w:t>）中国地震烈度表（GB/T17742-2008)；</w:t>
      </w:r>
    </w:p>
    <w:p>
      <w:pPr>
        <w:pStyle w:val="32"/>
        <w:numPr>
          <w:ilvl w:val="0"/>
          <w:numId w:val="0"/>
        </w:numPr>
        <w:tabs>
          <w:tab w:val="left" w:pos="956"/>
        </w:tabs>
        <w:spacing w:line="500" w:lineRule="exact"/>
        <w:ind w:left="450"/>
        <w:jc w:val="both"/>
        <w:rPr>
          <w:rFonts w:asciiTheme="minorEastAsia" w:hAnsiTheme="minorEastAsia" w:eastAsiaTheme="minorEastAsia" w:cstheme="minorEastAsia"/>
          <w:color w:val="auto"/>
          <w:spacing w:val="-15"/>
          <w:sz w:val="24"/>
          <w:szCs w:val="24"/>
        </w:rPr>
      </w:pPr>
      <w:r>
        <w:rPr>
          <w:rFonts w:asciiTheme="minorEastAsia" w:hAnsiTheme="minorEastAsia" w:eastAsiaTheme="minorEastAsia" w:cstheme="minorEastAsia"/>
          <w:color w:val="auto"/>
          <w:spacing w:val="-15"/>
          <w:sz w:val="24"/>
          <w:szCs w:val="24"/>
        </w:rPr>
        <w:t>26</w:t>
      </w:r>
      <w:r>
        <w:rPr>
          <w:rFonts w:hint="eastAsia" w:asciiTheme="minorEastAsia" w:hAnsiTheme="minorEastAsia" w:eastAsiaTheme="minorEastAsia" w:cstheme="minorEastAsia"/>
          <w:color w:val="auto"/>
          <w:spacing w:val="-15"/>
          <w:sz w:val="24"/>
          <w:szCs w:val="24"/>
        </w:rPr>
        <w:t>）钢结构工程施工质量验收规范 (GB50205-2001)；</w:t>
      </w:r>
    </w:p>
    <w:p>
      <w:pPr>
        <w:pStyle w:val="32"/>
        <w:numPr>
          <w:ilvl w:val="0"/>
          <w:numId w:val="0"/>
        </w:numPr>
        <w:tabs>
          <w:tab w:val="left" w:pos="956"/>
        </w:tabs>
        <w:spacing w:line="500" w:lineRule="exact"/>
        <w:ind w:left="450"/>
        <w:jc w:val="both"/>
        <w:rPr>
          <w:rFonts w:asciiTheme="minorEastAsia" w:hAnsiTheme="minorEastAsia" w:eastAsiaTheme="minorEastAsia" w:cstheme="minorEastAsia"/>
          <w:color w:val="auto"/>
          <w:spacing w:val="-15"/>
          <w:sz w:val="24"/>
          <w:szCs w:val="24"/>
        </w:rPr>
      </w:pPr>
      <w:r>
        <w:rPr>
          <w:rFonts w:asciiTheme="minorEastAsia" w:hAnsiTheme="minorEastAsia" w:eastAsiaTheme="minorEastAsia" w:cstheme="minorEastAsia"/>
          <w:color w:val="auto"/>
          <w:spacing w:val="-15"/>
          <w:sz w:val="24"/>
          <w:szCs w:val="24"/>
        </w:rPr>
        <w:t>27</w:t>
      </w:r>
      <w:r>
        <w:rPr>
          <w:rFonts w:hint="eastAsia" w:asciiTheme="minorEastAsia" w:hAnsiTheme="minorEastAsia" w:eastAsiaTheme="minorEastAsia" w:cstheme="minorEastAsia"/>
          <w:color w:val="auto"/>
          <w:spacing w:val="-15"/>
          <w:sz w:val="24"/>
          <w:szCs w:val="24"/>
        </w:rPr>
        <w:t>）建筑基坑工程技术规范 (YB9258-97)；</w:t>
      </w:r>
    </w:p>
    <w:p>
      <w:pPr>
        <w:tabs>
          <w:tab w:val="left" w:pos="956"/>
        </w:tabs>
        <w:spacing w:line="500" w:lineRule="exact"/>
        <w:ind w:left="860" w:leftChars="200" w:hanging="420" w:hangingChars="20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2</w:t>
      </w:r>
      <w:r>
        <w:rPr>
          <w:rFonts w:asciiTheme="minorEastAsia" w:hAnsiTheme="minorEastAsia" w:eastAsiaTheme="minorEastAsia" w:cstheme="minorEastAsia"/>
          <w:color w:val="auto"/>
          <w:spacing w:val="-15"/>
          <w:sz w:val="24"/>
          <w:szCs w:val="24"/>
        </w:rPr>
        <w:t>8</w:t>
      </w:r>
      <w:r>
        <w:rPr>
          <w:rFonts w:hint="eastAsia" w:asciiTheme="minorEastAsia" w:hAnsiTheme="minorEastAsia" w:eastAsiaTheme="minorEastAsia" w:cstheme="minorEastAsia"/>
          <w:color w:val="auto"/>
          <w:spacing w:val="-15"/>
          <w:sz w:val="24"/>
          <w:szCs w:val="24"/>
        </w:rPr>
        <w:t>）建筑基坑支护工程技术规程（DBJ/T15-20-97) (29) 钢结构设计规范 (GB50017- 2003)；</w:t>
      </w:r>
    </w:p>
    <w:p>
      <w:pPr>
        <w:tabs>
          <w:tab w:val="left" w:pos="956"/>
        </w:tabs>
        <w:spacing w:line="500" w:lineRule="exact"/>
        <w:ind w:left="860" w:leftChars="200" w:hanging="420" w:hangingChars="20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2</w:t>
      </w:r>
      <w:r>
        <w:rPr>
          <w:rFonts w:asciiTheme="minorEastAsia" w:hAnsiTheme="minorEastAsia" w:eastAsiaTheme="minorEastAsia" w:cstheme="minorEastAsia"/>
          <w:color w:val="auto"/>
          <w:spacing w:val="-15"/>
          <w:sz w:val="24"/>
          <w:szCs w:val="24"/>
        </w:rPr>
        <w:t>9</w:t>
      </w:r>
      <w:r>
        <w:rPr>
          <w:rFonts w:hint="eastAsia" w:asciiTheme="minorEastAsia" w:hAnsiTheme="minorEastAsia" w:eastAsiaTheme="minorEastAsia" w:cstheme="minorEastAsia"/>
          <w:color w:val="auto"/>
          <w:spacing w:val="-15"/>
          <w:sz w:val="24"/>
          <w:szCs w:val="24"/>
        </w:rPr>
        <w:t>）住房和城乡建设部《建筑工程设计文件编制深度规定》DB62/T25-3012-2003年版）；</w:t>
      </w:r>
    </w:p>
    <w:p>
      <w:pPr>
        <w:tabs>
          <w:tab w:val="left" w:pos="956"/>
        </w:tabs>
        <w:spacing w:line="500" w:lineRule="exact"/>
        <w:ind w:firstLine="420" w:firstLineChars="20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3</w:t>
      </w:r>
      <w:r>
        <w:rPr>
          <w:rFonts w:asciiTheme="minorEastAsia" w:hAnsiTheme="minorEastAsia" w:eastAsiaTheme="minorEastAsia" w:cstheme="minorEastAsia"/>
          <w:color w:val="auto"/>
          <w:spacing w:val="-15"/>
          <w:sz w:val="24"/>
          <w:szCs w:val="24"/>
        </w:rPr>
        <w:t>0</w:t>
      </w:r>
      <w:r>
        <w:rPr>
          <w:rFonts w:hint="eastAsia" w:asciiTheme="minorEastAsia" w:hAnsiTheme="minorEastAsia" w:eastAsiaTheme="minorEastAsia" w:cstheme="minorEastAsia"/>
          <w:color w:val="auto"/>
          <w:spacing w:val="-15"/>
          <w:sz w:val="24"/>
          <w:szCs w:val="24"/>
        </w:rPr>
        <w:t>）给水排水工程构筑物结构设计规范（GB50069-2002)；</w:t>
      </w:r>
    </w:p>
    <w:p>
      <w:pPr>
        <w:pStyle w:val="32"/>
        <w:numPr>
          <w:ilvl w:val="0"/>
          <w:numId w:val="0"/>
        </w:numPr>
        <w:tabs>
          <w:tab w:val="left" w:pos="956"/>
        </w:tabs>
        <w:spacing w:line="500" w:lineRule="exact"/>
        <w:ind w:left="45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3</w:t>
      </w:r>
      <w:r>
        <w:rPr>
          <w:rFonts w:asciiTheme="minorEastAsia" w:hAnsiTheme="minorEastAsia" w:eastAsiaTheme="minorEastAsia" w:cstheme="minorEastAsia"/>
          <w:color w:val="auto"/>
          <w:spacing w:val="-15"/>
          <w:sz w:val="24"/>
          <w:szCs w:val="24"/>
        </w:rPr>
        <w:t>1</w:t>
      </w:r>
      <w:r>
        <w:rPr>
          <w:rFonts w:hint="eastAsia" w:asciiTheme="minorEastAsia" w:hAnsiTheme="minorEastAsia" w:eastAsiaTheme="minorEastAsia" w:cstheme="minorEastAsia"/>
          <w:color w:val="auto"/>
          <w:spacing w:val="-15"/>
          <w:sz w:val="24"/>
          <w:szCs w:val="24"/>
        </w:rPr>
        <w:t>）给水排水构筑物工程施工及验收规范（GB50141-2008)；</w:t>
      </w:r>
    </w:p>
    <w:p>
      <w:pPr>
        <w:tabs>
          <w:tab w:val="left" w:pos="956"/>
        </w:tabs>
        <w:spacing w:line="500" w:lineRule="exact"/>
        <w:ind w:firstLine="420" w:firstLineChars="20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3</w:t>
      </w:r>
      <w:r>
        <w:rPr>
          <w:rFonts w:asciiTheme="minorEastAsia" w:hAnsiTheme="minorEastAsia" w:eastAsiaTheme="minorEastAsia" w:cstheme="minorEastAsia"/>
          <w:color w:val="auto"/>
          <w:spacing w:val="-15"/>
          <w:sz w:val="24"/>
          <w:szCs w:val="24"/>
        </w:rPr>
        <w:t>2</w:t>
      </w:r>
      <w:r>
        <w:rPr>
          <w:rFonts w:hint="eastAsia" w:asciiTheme="minorEastAsia" w:hAnsiTheme="minorEastAsia" w:eastAsiaTheme="minorEastAsia" w:cstheme="minorEastAsia"/>
          <w:color w:val="auto"/>
          <w:spacing w:val="-15"/>
          <w:sz w:val="24"/>
          <w:szCs w:val="24"/>
        </w:rPr>
        <w:t>）给水排水工程管道结构设计规范（GB50332-2002）；</w:t>
      </w:r>
    </w:p>
    <w:p>
      <w:pPr>
        <w:tabs>
          <w:tab w:val="left" w:pos="956"/>
        </w:tabs>
        <w:spacing w:line="500" w:lineRule="exact"/>
        <w:ind w:firstLine="420" w:firstLineChars="20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3</w:t>
      </w:r>
      <w:r>
        <w:rPr>
          <w:rFonts w:asciiTheme="minorEastAsia" w:hAnsiTheme="minorEastAsia" w:eastAsiaTheme="minorEastAsia" w:cstheme="minorEastAsia"/>
          <w:color w:val="auto"/>
          <w:spacing w:val="-15"/>
          <w:sz w:val="24"/>
          <w:szCs w:val="24"/>
        </w:rPr>
        <w:t>3</w:t>
      </w:r>
      <w:r>
        <w:rPr>
          <w:rFonts w:hint="eastAsia" w:asciiTheme="minorEastAsia" w:hAnsiTheme="minorEastAsia" w:eastAsiaTheme="minorEastAsia" w:cstheme="minorEastAsia"/>
          <w:color w:val="auto"/>
          <w:spacing w:val="-15"/>
          <w:sz w:val="24"/>
          <w:szCs w:val="24"/>
        </w:rPr>
        <w:t>）混凝土和钢筋混凝土排水管（GB/T11836-2009）；</w:t>
      </w:r>
    </w:p>
    <w:p>
      <w:pPr>
        <w:pStyle w:val="32"/>
        <w:numPr>
          <w:ilvl w:val="0"/>
          <w:numId w:val="0"/>
        </w:numPr>
        <w:tabs>
          <w:tab w:val="left" w:pos="956"/>
        </w:tabs>
        <w:spacing w:line="500" w:lineRule="exact"/>
        <w:ind w:left="45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3</w:t>
      </w:r>
      <w:r>
        <w:rPr>
          <w:rFonts w:asciiTheme="minorEastAsia" w:hAnsiTheme="minorEastAsia" w:eastAsiaTheme="minorEastAsia" w:cstheme="minorEastAsia"/>
          <w:color w:val="auto"/>
          <w:spacing w:val="-15"/>
          <w:sz w:val="24"/>
          <w:szCs w:val="24"/>
        </w:rPr>
        <w:t>4</w:t>
      </w:r>
      <w:r>
        <w:rPr>
          <w:rFonts w:hint="eastAsia" w:asciiTheme="minorEastAsia" w:hAnsiTheme="minorEastAsia" w:eastAsiaTheme="minorEastAsia" w:cstheme="minorEastAsia"/>
          <w:color w:val="auto"/>
          <w:spacing w:val="-15"/>
          <w:sz w:val="24"/>
          <w:szCs w:val="24"/>
        </w:rPr>
        <w:t>）混凝土和钢筋混凝土内衬改性聚氯乙烯排水管道工程技术规程（DBJ15-53-2007)；</w:t>
      </w:r>
    </w:p>
    <w:p>
      <w:pPr>
        <w:tabs>
          <w:tab w:val="left" w:pos="956"/>
        </w:tabs>
        <w:spacing w:line="500" w:lineRule="exact"/>
        <w:ind w:firstLine="420" w:firstLineChars="20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3</w:t>
      </w:r>
      <w:r>
        <w:rPr>
          <w:rFonts w:asciiTheme="minorEastAsia" w:hAnsiTheme="minorEastAsia" w:eastAsiaTheme="minorEastAsia" w:cstheme="minorEastAsia"/>
          <w:color w:val="auto"/>
          <w:spacing w:val="-15"/>
          <w:sz w:val="24"/>
          <w:szCs w:val="24"/>
        </w:rPr>
        <w:t>5</w:t>
      </w:r>
      <w:r>
        <w:rPr>
          <w:rFonts w:hint="eastAsia" w:asciiTheme="minorEastAsia" w:hAnsiTheme="minorEastAsia" w:eastAsiaTheme="minorEastAsia" w:cstheme="minorEastAsia"/>
          <w:color w:val="auto"/>
          <w:spacing w:val="-15"/>
          <w:sz w:val="24"/>
          <w:szCs w:val="24"/>
        </w:rPr>
        <w:t>）给水排水工程顶管技术规程（CECS246-2008）；</w:t>
      </w:r>
    </w:p>
    <w:p>
      <w:pPr>
        <w:pStyle w:val="32"/>
        <w:numPr>
          <w:ilvl w:val="0"/>
          <w:numId w:val="0"/>
        </w:numPr>
        <w:tabs>
          <w:tab w:val="left" w:pos="956"/>
        </w:tabs>
        <w:spacing w:line="500" w:lineRule="exact"/>
        <w:ind w:left="45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3</w:t>
      </w:r>
      <w:r>
        <w:rPr>
          <w:rFonts w:asciiTheme="minorEastAsia" w:hAnsiTheme="minorEastAsia" w:eastAsiaTheme="minorEastAsia" w:cstheme="minorEastAsia"/>
          <w:color w:val="auto"/>
          <w:spacing w:val="-15"/>
          <w:sz w:val="24"/>
          <w:szCs w:val="24"/>
        </w:rPr>
        <w:t>6</w:t>
      </w:r>
      <w:r>
        <w:rPr>
          <w:rFonts w:hint="eastAsia" w:asciiTheme="minorEastAsia" w:hAnsiTheme="minorEastAsia" w:eastAsiaTheme="minorEastAsia" w:cstheme="minorEastAsia"/>
          <w:color w:val="auto"/>
          <w:spacing w:val="-15"/>
          <w:sz w:val="24"/>
          <w:szCs w:val="24"/>
        </w:rPr>
        <w:t>）水平定向钻法管道穿越工程技术规程（CECS382-2014）；</w:t>
      </w:r>
    </w:p>
    <w:p>
      <w:pPr>
        <w:tabs>
          <w:tab w:val="left" w:pos="956"/>
        </w:tabs>
        <w:spacing w:line="500" w:lineRule="exact"/>
        <w:ind w:firstLine="420" w:firstLineChars="20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3</w:t>
      </w:r>
      <w:r>
        <w:rPr>
          <w:rFonts w:asciiTheme="minorEastAsia" w:hAnsiTheme="minorEastAsia" w:eastAsiaTheme="minorEastAsia" w:cstheme="minorEastAsia"/>
          <w:color w:val="auto"/>
          <w:spacing w:val="-15"/>
          <w:sz w:val="24"/>
          <w:szCs w:val="24"/>
        </w:rPr>
        <w:t>7</w:t>
      </w:r>
      <w:r>
        <w:rPr>
          <w:rFonts w:hint="eastAsia" w:asciiTheme="minorEastAsia" w:hAnsiTheme="minorEastAsia" w:eastAsiaTheme="minorEastAsia" w:cstheme="minorEastAsia"/>
          <w:color w:val="auto"/>
          <w:spacing w:val="-15"/>
          <w:sz w:val="24"/>
          <w:szCs w:val="24"/>
        </w:rPr>
        <w:t>）市政工程勘察规范 (CJJ56-2012)；</w:t>
      </w:r>
    </w:p>
    <w:p>
      <w:pPr>
        <w:tabs>
          <w:tab w:val="left" w:pos="956"/>
        </w:tabs>
        <w:spacing w:line="500" w:lineRule="exact"/>
        <w:ind w:firstLine="420" w:firstLineChars="20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3</w:t>
      </w:r>
      <w:r>
        <w:rPr>
          <w:rFonts w:asciiTheme="minorEastAsia" w:hAnsiTheme="minorEastAsia" w:eastAsiaTheme="minorEastAsia" w:cstheme="minorEastAsia"/>
          <w:color w:val="auto"/>
          <w:spacing w:val="-15"/>
          <w:sz w:val="24"/>
          <w:szCs w:val="24"/>
        </w:rPr>
        <w:t>8</w:t>
      </w:r>
      <w:r>
        <w:rPr>
          <w:rFonts w:hint="eastAsia" w:asciiTheme="minorEastAsia" w:hAnsiTheme="minorEastAsia" w:eastAsiaTheme="minorEastAsia" w:cstheme="minorEastAsia"/>
          <w:color w:val="auto"/>
          <w:spacing w:val="-15"/>
          <w:sz w:val="24"/>
          <w:szCs w:val="24"/>
        </w:rPr>
        <w:t>）广东省标准《建筑地基基础设计规范》（DBJ15-31-2003）；</w:t>
      </w:r>
    </w:p>
    <w:p>
      <w:pPr>
        <w:pStyle w:val="32"/>
        <w:numPr>
          <w:ilvl w:val="0"/>
          <w:numId w:val="0"/>
        </w:numPr>
        <w:tabs>
          <w:tab w:val="left" w:pos="956"/>
        </w:tabs>
        <w:spacing w:line="500" w:lineRule="exact"/>
        <w:ind w:left="45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3</w:t>
      </w:r>
      <w:r>
        <w:rPr>
          <w:rFonts w:asciiTheme="minorEastAsia" w:hAnsiTheme="minorEastAsia" w:eastAsiaTheme="minorEastAsia" w:cstheme="minorEastAsia"/>
          <w:color w:val="auto"/>
          <w:spacing w:val="-15"/>
          <w:sz w:val="24"/>
          <w:szCs w:val="24"/>
        </w:rPr>
        <w:t>9</w:t>
      </w:r>
      <w:r>
        <w:rPr>
          <w:rFonts w:hint="eastAsia" w:asciiTheme="minorEastAsia" w:hAnsiTheme="minorEastAsia" w:eastAsiaTheme="minorEastAsia" w:cstheme="minorEastAsia"/>
          <w:color w:val="auto"/>
          <w:spacing w:val="-15"/>
          <w:sz w:val="24"/>
          <w:szCs w:val="24"/>
        </w:rPr>
        <w:t>）建筑边坡工程技术规范（GB50330-2013）；</w:t>
      </w:r>
    </w:p>
    <w:p>
      <w:pPr>
        <w:pStyle w:val="32"/>
        <w:numPr>
          <w:ilvl w:val="0"/>
          <w:numId w:val="0"/>
        </w:numPr>
        <w:tabs>
          <w:tab w:val="left" w:pos="956"/>
        </w:tabs>
        <w:spacing w:line="500" w:lineRule="exact"/>
        <w:ind w:left="45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4</w:t>
      </w:r>
      <w:r>
        <w:rPr>
          <w:rFonts w:asciiTheme="minorEastAsia" w:hAnsiTheme="minorEastAsia" w:eastAsiaTheme="minorEastAsia" w:cstheme="minorEastAsia"/>
          <w:color w:val="auto"/>
          <w:spacing w:val="-15"/>
          <w:sz w:val="24"/>
          <w:szCs w:val="24"/>
        </w:rPr>
        <w:t>0</w:t>
      </w:r>
      <w:r>
        <w:rPr>
          <w:rFonts w:hint="eastAsia" w:asciiTheme="minorEastAsia" w:hAnsiTheme="minorEastAsia" w:eastAsiaTheme="minorEastAsia" w:cstheme="minorEastAsia"/>
          <w:color w:val="auto"/>
          <w:spacing w:val="-15"/>
          <w:sz w:val="24"/>
          <w:szCs w:val="24"/>
        </w:rPr>
        <w:t>）钢结构施工及验收规范（GB50205-2001）。</w:t>
      </w:r>
    </w:p>
    <w:p>
      <w:pPr>
        <w:pStyle w:val="32"/>
        <w:numPr>
          <w:ilvl w:val="3"/>
          <w:numId w:val="28"/>
        </w:numPr>
        <w:tabs>
          <w:tab w:val="left" w:pos="176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农村污水收集管网结构设计</w:t>
      </w:r>
    </w:p>
    <w:p>
      <w:pPr>
        <w:pStyle w:val="32"/>
        <w:numPr>
          <w:ilvl w:val="0"/>
          <w:numId w:val="39"/>
        </w:numPr>
        <w:tabs>
          <w:tab w:val="left" w:pos="2002"/>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结构设计原则</w:t>
      </w:r>
    </w:p>
    <w:p>
      <w:pPr>
        <w:pStyle w:val="32"/>
        <w:numPr>
          <w:ilvl w:val="0"/>
          <w:numId w:val="40"/>
        </w:numPr>
        <w:tabs>
          <w:tab w:val="left" w:pos="1263"/>
        </w:tabs>
        <w:spacing w:line="500" w:lineRule="exact"/>
        <w:ind w:left="0"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结构设计力求技术先进，经济合理，安全适用，方便施工。</w:t>
      </w:r>
    </w:p>
    <w:p>
      <w:pPr>
        <w:pStyle w:val="32"/>
        <w:numPr>
          <w:ilvl w:val="0"/>
          <w:numId w:val="40"/>
        </w:numPr>
        <w:tabs>
          <w:tab w:val="left" w:pos="1263"/>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严格执行现行国家颁布的有关规范和规程。</w:t>
      </w:r>
    </w:p>
    <w:p>
      <w:pPr>
        <w:pStyle w:val="32"/>
        <w:numPr>
          <w:ilvl w:val="0"/>
          <w:numId w:val="40"/>
        </w:numPr>
        <w:tabs>
          <w:tab w:val="left" w:pos="1263"/>
        </w:tabs>
        <w:spacing w:line="500" w:lineRule="exact"/>
        <w:ind w:left="0" w:firstLine="456" w:firstLineChars="200"/>
        <w:jc w:val="both"/>
        <w:rPr>
          <w:rFonts w:asciiTheme="minorEastAsia" w:hAnsiTheme="minorEastAsia" w:eastAsiaTheme="minorEastAsia" w:cstheme="minorEastAsia"/>
          <w:color w:val="auto"/>
          <w:spacing w:val="-6"/>
          <w:sz w:val="24"/>
          <w:szCs w:val="24"/>
        </w:rPr>
      </w:pPr>
      <w:r>
        <w:rPr>
          <w:rFonts w:hint="eastAsia" w:asciiTheme="minorEastAsia" w:hAnsiTheme="minorEastAsia" w:eastAsiaTheme="minorEastAsia" w:cstheme="minorEastAsia"/>
          <w:color w:val="auto"/>
          <w:spacing w:val="-6"/>
          <w:sz w:val="24"/>
          <w:szCs w:val="24"/>
        </w:rPr>
        <w:t>管道设计按承载能力极限状态和正常使用极限状态设计；结构构件传力明确，受力可靠。除保证满足结构强度，刚度，稳定性，局部抗浮和整体抗浮要求外，并进行构件的抗裂、变形验算，满足防水抗渗及耐久性要求。</w:t>
      </w:r>
    </w:p>
    <w:p>
      <w:pPr>
        <w:pStyle w:val="32"/>
        <w:numPr>
          <w:ilvl w:val="0"/>
          <w:numId w:val="40"/>
        </w:numPr>
        <w:tabs>
          <w:tab w:val="left" w:pos="1263"/>
        </w:tabs>
        <w:spacing w:line="500" w:lineRule="exact"/>
        <w:ind w:left="0"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对结构整体或构件可能出现的最不利组合进行计算，验算承载能</w:t>
      </w:r>
      <w:r>
        <w:rPr>
          <w:rFonts w:hint="eastAsia" w:asciiTheme="minorEastAsia" w:hAnsiTheme="minorEastAsia" w:eastAsiaTheme="minorEastAsia" w:cstheme="minorEastAsia"/>
          <w:color w:val="auto"/>
          <w:spacing w:val="-5"/>
          <w:sz w:val="24"/>
          <w:szCs w:val="24"/>
        </w:rPr>
        <w:t>力极限状态及正常使用极限状态。</w:t>
      </w:r>
    </w:p>
    <w:p>
      <w:pPr>
        <w:pStyle w:val="32"/>
        <w:numPr>
          <w:ilvl w:val="0"/>
          <w:numId w:val="40"/>
        </w:numPr>
        <w:tabs>
          <w:tab w:val="left" w:pos="1263"/>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根据场地的工程地质，水文地质条件及工艺要求，通过对技术，经济，环保及使用功能等方面的综合比较，合理选择施工</w:t>
      </w:r>
      <w:r>
        <w:rPr>
          <w:rFonts w:hint="eastAsia" w:asciiTheme="minorEastAsia" w:hAnsiTheme="minorEastAsia" w:eastAsiaTheme="minorEastAsia" w:cstheme="minorEastAsia"/>
          <w:color w:val="auto"/>
          <w:spacing w:val="-5"/>
          <w:sz w:val="24"/>
          <w:szCs w:val="24"/>
        </w:rPr>
        <w:t>方法和结构形式。</w:t>
      </w:r>
    </w:p>
    <w:p>
      <w:pPr>
        <w:pStyle w:val="32"/>
        <w:numPr>
          <w:ilvl w:val="0"/>
          <w:numId w:val="39"/>
        </w:numPr>
        <w:tabs>
          <w:tab w:val="left" w:pos="2002"/>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设计参数</w:t>
      </w:r>
    </w:p>
    <w:p>
      <w:pPr>
        <w:pStyle w:val="32"/>
        <w:numPr>
          <w:ilvl w:val="0"/>
          <w:numId w:val="41"/>
        </w:numPr>
        <w:tabs>
          <w:tab w:val="left" w:pos="1263"/>
        </w:tabs>
        <w:spacing w:line="500" w:lineRule="exact"/>
        <w:ind w:left="0" w:firstLine="456" w:firstLineChars="200"/>
        <w:jc w:val="both"/>
        <w:rPr>
          <w:rFonts w:asciiTheme="minorEastAsia" w:hAnsiTheme="minorEastAsia" w:eastAsiaTheme="minorEastAsia" w:cstheme="minorEastAsia"/>
          <w:color w:val="auto"/>
          <w:spacing w:val="-6"/>
          <w:sz w:val="24"/>
          <w:szCs w:val="24"/>
        </w:rPr>
      </w:pPr>
      <w:r>
        <w:rPr>
          <w:rFonts w:hint="eastAsia" w:asciiTheme="minorEastAsia" w:hAnsiTheme="minorEastAsia" w:eastAsiaTheme="minorEastAsia" w:cstheme="minorEastAsia"/>
          <w:color w:val="auto"/>
          <w:spacing w:val="-6"/>
          <w:sz w:val="24"/>
          <w:szCs w:val="24"/>
        </w:rPr>
        <w:t>管道抗浮设计水位一般根据勘察部门和水文部门提供的数据采用；</w:t>
      </w:r>
    </w:p>
    <w:p>
      <w:pPr>
        <w:pStyle w:val="32"/>
        <w:numPr>
          <w:ilvl w:val="0"/>
          <w:numId w:val="41"/>
        </w:numPr>
        <w:tabs>
          <w:tab w:val="left" w:pos="1263"/>
        </w:tabs>
        <w:spacing w:line="500" w:lineRule="exact"/>
        <w:ind w:left="0" w:firstLine="456" w:firstLineChars="200"/>
        <w:jc w:val="both"/>
        <w:rPr>
          <w:rFonts w:asciiTheme="minorEastAsia" w:hAnsiTheme="minorEastAsia" w:eastAsiaTheme="minorEastAsia" w:cstheme="minorEastAsia"/>
          <w:color w:val="auto"/>
          <w:spacing w:val="-6"/>
          <w:sz w:val="24"/>
          <w:szCs w:val="24"/>
        </w:rPr>
      </w:pPr>
      <w:r>
        <w:rPr>
          <w:rFonts w:hint="eastAsia" w:asciiTheme="minorEastAsia" w:hAnsiTheme="minorEastAsia" w:eastAsiaTheme="minorEastAsia" w:cstheme="minorEastAsia"/>
          <w:color w:val="auto"/>
          <w:spacing w:val="-6"/>
          <w:sz w:val="24"/>
          <w:szCs w:val="24"/>
        </w:rPr>
        <w:t>荷载：地面堆载按10kPa，车辆荷载按公路Ⅰ级取值；</w:t>
      </w:r>
    </w:p>
    <w:p>
      <w:pPr>
        <w:pStyle w:val="32"/>
        <w:numPr>
          <w:ilvl w:val="0"/>
          <w:numId w:val="41"/>
        </w:numPr>
        <w:tabs>
          <w:tab w:val="left" w:pos="1263"/>
        </w:tabs>
        <w:spacing w:line="500" w:lineRule="exact"/>
        <w:ind w:left="0"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构筑物抗浮安全系数：Kf≥1.05；埋地管道抗浮稳定系数不低于</w:t>
      </w:r>
      <w:r>
        <w:rPr>
          <w:rFonts w:hint="eastAsia" w:asciiTheme="minorEastAsia" w:hAnsiTheme="minorEastAsia" w:eastAsiaTheme="minorEastAsia" w:cstheme="minorEastAsia"/>
          <w:color w:val="auto"/>
          <w:sz w:val="24"/>
          <w:szCs w:val="24"/>
        </w:rPr>
        <w:t>1.10；</w:t>
      </w:r>
    </w:p>
    <w:p>
      <w:pPr>
        <w:pStyle w:val="32"/>
        <w:numPr>
          <w:ilvl w:val="0"/>
          <w:numId w:val="41"/>
        </w:numPr>
        <w:tabs>
          <w:tab w:val="left" w:pos="1263"/>
        </w:tabs>
        <w:spacing w:line="500" w:lineRule="exact"/>
        <w:ind w:left="0"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管道设计按承载能力极限状态和正常使用极限状态设计；结构设计满足强度、裂缝宽度、变形等规范规定的各项指标要求。管道附属构筑物配筋均按裂缝宽度限值控制配筋，裂缝控制</w:t>
      </w:r>
      <w:r>
        <w:rPr>
          <w:rFonts w:hint="eastAsia" w:asciiTheme="minorEastAsia" w:hAnsiTheme="minorEastAsia" w:eastAsiaTheme="minorEastAsia" w:cstheme="minorEastAsia"/>
          <w:color w:val="auto"/>
          <w:spacing w:val="-3"/>
          <w:sz w:val="24"/>
          <w:szCs w:val="24"/>
        </w:rPr>
        <w:t>宽度〈0.2mm</w:t>
      </w:r>
      <w:r>
        <w:rPr>
          <w:rFonts w:hint="eastAsia" w:asciiTheme="minorEastAsia" w:hAnsiTheme="minorEastAsia" w:eastAsiaTheme="minorEastAsia" w:cstheme="minorEastAsia"/>
          <w:color w:val="auto"/>
          <w:spacing w:val="-5"/>
          <w:sz w:val="24"/>
          <w:szCs w:val="24"/>
        </w:rPr>
        <w:t>。柔性管道变形控制限值，化学建材管道在组合作用下的最大竖向变形不应超过</w:t>
      </w:r>
      <w:r>
        <w:rPr>
          <w:rFonts w:hint="eastAsia" w:asciiTheme="minorEastAsia" w:hAnsiTheme="minorEastAsia" w:eastAsiaTheme="minorEastAsia" w:cstheme="minorEastAsia"/>
          <w:color w:val="auto"/>
          <w:sz w:val="24"/>
          <w:szCs w:val="24"/>
        </w:rPr>
        <w:t>0.05D0</w:t>
      </w:r>
      <w:r>
        <w:rPr>
          <w:rFonts w:hint="eastAsia" w:asciiTheme="minorEastAsia" w:hAnsiTheme="minorEastAsia" w:eastAsiaTheme="minorEastAsia" w:cstheme="minorEastAsia"/>
          <w:color w:val="auto"/>
          <w:spacing w:val="-5"/>
          <w:sz w:val="24"/>
          <w:szCs w:val="24"/>
        </w:rPr>
        <w:t>；当采用水泥砂浆等刚性材料作为防腐内衬的金属管道，在组合作用下的最大竖向变形不应</w:t>
      </w:r>
      <w:r>
        <w:rPr>
          <w:rFonts w:hint="eastAsia" w:asciiTheme="minorEastAsia" w:hAnsiTheme="minorEastAsia" w:eastAsiaTheme="minorEastAsia" w:cstheme="minorEastAsia"/>
          <w:color w:val="auto"/>
          <w:spacing w:val="-1"/>
          <w:sz w:val="24"/>
          <w:szCs w:val="24"/>
        </w:rPr>
        <w:t>超过</w:t>
      </w:r>
      <w:r>
        <w:rPr>
          <w:rFonts w:hint="eastAsia" w:asciiTheme="minorEastAsia" w:hAnsiTheme="minorEastAsia" w:eastAsiaTheme="minorEastAsia" w:cstheme="minorEastAsia"/>
          <w:color w:val="auto"/>
          <w:sz w:val="24"/>
          <w:szCs w:val="24"/>
        </w:rPr>
        <w:t>0.02~0.03D0</w:t>
      </w:r>
      <w:r>
        <w:rPr>
          <w:rFonts w:hint="eastAsia" w:asciiTheme="minorEastAsia" w:hAnsiTheme="minorEastAsia" w:eastAsiaTheme="minorEastAsia" w:cstheme="minorEastAsia"/>
          <w:color w:val="auto"/>
          <w:spacing w:val="-5"/>
          <w:sz w:val="24"/>
          <w:szCs w:val="24"/>
        </w:rPr>
        <w:t xml:space="preserve">；当采用延性良好的防腐涂料作为内衬的金属管道，在组合作用下的最大竖向变形不应超过 </w:t>
      </w:r>
      <w:r>
        <w:rPr>
          <w:rFonts w:hint="eastAsia" w:asciiTheme="minorEastAsia" w:hAnsiTheme="minorEastAsia" w:eastAsiaTheme="minorEastAsia" w:cstheme="minorEastAsia"/>
          <w:color w:val="auto"/>
          <w:sz w:val="24"/>
          <w:szCs w:val="24"/>
        </w:rPr>
        <w:t>0.03~0.04D0；刚</w:t>
      </w:r>
      <w:r>
        <w:rPr>
          <w:rFonts w:hint="eastAsia" w:asciiTheme="minorEastAsia" w:hAnsiTheme="minorEastAsia" w:eastAsiaTheme="minorEastAsia" w:cstheme="minorEastAsia"/>
          <w:color w:val="auto"/>
          <w:spacing w:val="-5"/>
          <w:sz w:val="24"/>
          <w:szCs w:val="24"/>
        </w:rPr>
        <w:t>性管道，其混凝土结构构件在组合作用下，截面允许出现的最大裂缝宽度不应大于0.2mm（轴心受力或小偏心受拉时，截面计算按不允许裂缝出现控制）；</w:t>
      </w:r>
    </w:p>
    <w:p>
      <w:pPr>
        <w:pStyle w:val="32"/>
        <w:numPr>
          <w:ilvl w:val="0"/>
          <w:numId w:val="41"/>
        </w:numPr>
        <w:tabs>
          <w:tab w:val="left" w:pos="1263"/>
        </w:tabs>
        <w:spacing w:line="500" w:lineRule="exact"/>
        <w:ind w:left="0"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结构设计使用年限为</w:t>
      </w:r>
      <w:r>
        <w:rPr>
          <w:rFonts w:hint="eastAsia" w:asciiTheme="minorEastAsia" w:hAnsiTheme="minorEastAsia" w:eastAsiaTheme="minorEastAsia" w:cstheme="minorEastAsia"/>
          <w:color w:val="auto"/>
          <w:sz w:val="24"/>
          <w:szCs w:val="24"/>
        </w:rPr>
        <w:t>50</w:t>
      </w:r>
      <w:r>
        <w:rPr>
          <w:rFonts w:hint="eastAsia" w:asciiTheme="minorEastAsia" w:hAnsiTheme="minorEastAsia" w:eastAsiaTheme="minorEastAsia" w:cstheme="minorEastAsia"/>
          <w:color w:val="auto"/>
          <w:spacing w:val="-3"/>
          <w:sz w:val="24"/>
          <w:szCs w:val="24"/>
        </w:rPr>
        <w:t>年；</w:t>
      </w:r>
    </w:p>
    <w:p>
      <w:pPr>
        <w:pStyle w:val="32"/>
        <w:numPr>
          <w:ilvl w:val="0"/>
          <w:numId w:val="41"/>
        </w:numPr>
        <w:tabs>
          <w:tab w:val="left" w:pos="1263"/>
        </w:tabs>
        <w:spacing w:line="500" w:lineRule="exact"/>
        <w:ind w:left="0"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构</w:t>
      </w: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z w:val="24"/>
          <w:szCs w:val="24"/>
        </w:rPr>
        <w:t>建）</w:t>
      </w:r>
      <w:r>
        <w:rPr>
          <w:rFonts w:hint="eastAsia" w:asciiTheme="minorEastAsia" w:hAnsiTheme="minorEastAsia" w:eastAsiaTheme="minorEastAsia" w:cstheme="minorEastAsia"/>
          <w:color w:val="auto"/>
          <w:spacing w:val="-5"/>
          <w:sz w:val="24"/>
          <w:szCs w:val="24"/>
        </w:rPr>
        <w:t>筑物结构安全等级为二级；</w:t>
      </w:r>
    </w:p>
    <w:p>
      <w:pPr>
        <w:pStyle w:val="32"/>
        <w:numPr>
          <w:ilvl w:val="0"/>
          <w:numId w:val="41"/>
        </w:numPr>
        <w:tabs>
          <w:tab w:val="left" w:pos="1263"/>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场地抗震设防烈度为</w:t>
      </w:r>
      <w:r>
        <w:rPr>
          <w:rFonts w:hint="eastAsia" w:asciiTheme="minorEastAsia" w:hAnsiTheme="minorEastAsia" w:eastAsiaTheme="minorEastAsia" w:cstheme="minorEastAsia"/>
          <w:color w:val="auto"/>
          <w:sz w:val="24"/>
          <w:szCs w:val="24"/>
        </w:rPr>
        <w:t>7</w:t>
      </w:r>
      <w:r>
        <w:rPr>
          <w:rFonts w:hint="eastAsia" w:asciiTheme="minorEastAsia" w:hAnsiTheme="minorEastAsia" w:eastAsiaTheme="minorEastAsia" w:cstheme="minorEastAsia"/>
          <w:color w:val="auto"/>
          <w:spacing w:val="-3"/>
          <w:sz w:val="24"/>
          <w:szCs w:val="24"/>
        </w:rPr>
        <w:t>度，重要构</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pacing w:val="-3"/>
          <w:sz w:val="24"/>
          <w:szCs w:val="24"/>
        </w:rPr>
        <w:t>建）筑物抗震设防</w:t>
      </w:r>
      <w:r>
        <w:rPr>
          <w:rFonts w:hint="eastAsia" w:asciiTheme="minorEastAsia" w:hAnsiTheme="minorEastAsia" w:eastAsiaTheme="minorEastAsia" w:cstheme="minorEastAsia"/>
          <w:color w:val="auto"/>
          <w:spacing w:val="-5"/>
          <w:sz w:val="24"/>
          <w:szCs w:val="24"/>
        </w:rPr>
        <w:t>标准为乙类建筑，一般构</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pacing w:val="-3"/>
          <w:sz w:val="24"/>
          <w:szCs w:val="24"/>
        </w:rPr>
        <w:t>建</w:t>
      </w: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6"/>
          <w:sz w:val="24"/>
          <w:szCs w:val="24"/>
        </w:rPr>
        <w:t>筑物抗震设防标准为丙类建筑。</w:t>
      </w:r>
    </w:p>
    <w:p>
      <w:pPr>
        <w:pStyle w:val="32"/>
        <w:numPr>
          <w:ilvl w:val="3"/>
          <w:numId w:val="28"/>
        </w:numPr>
        <w:tabs>
          <w:tab w:val="left" w:pos="1760"/>
        </w:tabs>
        <w:spacing w:line="500" w:lineRule="exact"/>
        <w:ind w:left="0" w:firstLine="47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b/>
          <w:color w:val="auto"/>
          <w:spacing w:val="-1"/>
          <w:sz w:val="24"/>
          <w:szCs w:val="24"/>
        </w:rPr>
        <w:t>管道结构基本设计规定</w:t>
      </w:r>
    </w:p>
    <w:p>
      <w:pPr>
        <w:pStyle w:val="32"/>
        <w:numPr>
          <w:ilvl w:val="0"/>
          <w:numId w:val="0"/>
        </w:numPr>
        <w:tabs>
          <w:tab w:val="left" w:pos="1760"/>
        </w:tabs>
        <w:spacing w:line="500" w:lineRule="exact"/>
        <w:ind w:left="560"/>
        <w:jc w:val="both"/>
        <w:rPr>
          <w:rFonts w:asciiTheme="minorEastAsia" w:hAnsiTheme="minorEastAsia" w:eastAsiaTheme="minorEastAsia" w:cstheme="minorEastAsia"/>
          <w:bCs/>
          <w:color w:val="auto"/>
          <w:sz w:val="24"/>
          <w:szCs w:val="24"/>
        </w:rPr>
      </w:pPr>
      <w:r>
        <w:rPr>
          <w:rFonts w:hint="eastAsia" w:asciiTheme="minorEastAsia" w:hAnsiTheme="minorEastAsia" w:eastAsiaTheme="minorEastAsia" w:cstheme="minorEastAsia"/>
          <w:bCs/>
          <w:color w:val="auto"/>
          <w:spacing w:val="-1"/>
          <w:sz w:val="24"/>
          <w:szCs w:val="24"/>
        </w:rPr>
        <w:t>（1）</w:t>
      </w:r>
      <w:r>
        <w:rPr>
          <w:rFonts w:hint="eastAsia" w:asciiTheme="minorEastAsia" w:hAnsiTheme="minorEastAsia" w:eastAsiaTheme="minorEastAsia" w:cstheme="minorEastAsia"/>
          <w:bCs/>
          <w:color w:val="auto"/>
          <w:spacing w:val="-5"/>
          <w:sz w:val="24"/>
          <w:szCs w:val="24"/>
        </w:rPr>
        <w:t>材质标准及计算指标</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钢筋混凝土管的质量及设计参数应符合现行国家标准《混凝土和钢筋混凝土排水管》（GB/T 11836-2009）的要求。</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钢筋混凝土内衬改性聚氯乙烯排水管质量及设计参数应符合广东省标准《混凝土和钢筋混凝土内衬改性聚氯乙烯排水管道工程技术规程》(DBJ15-53-2007）相关要求。</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埋地钢管质量及设计参数应符合《给水排水工程埋地钢管管道结构设计规程》(CECS 141-2002）相关要求。</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拖管用PE管管材应符合《给水用聚乙烯（PE）管材》(GB/T</w:t>
      </w:r>
      <w:r>
        <w:rPr>
          <w:rFonts w:asciiTheme="minorEastAsia" w:hAnsiTheme="minorEastAsia" w:eastAsiaTheme="minorEastAsia" w:cstheme="minorEastAsia"/>
          <w:color w:val="auto"/>
          <w:sz w:val="24"/>
          <w:szCs w:val="24"/>
        </w:rPr>
        <w:t xml:space="preserve"> </w:t>
      </w:r>
      <w:r>
        <w:rPr>
          <w:rFonts w:hint="eastAsia" w:asciiTheme="minorEastAsia" w:hAnsiTheme="minorEastAsia" w:eastAsiaTheme="minorEastAsia" w:cstheme="minorEastAsia"/>
          <w:color w:val="auto"/>
          <w:sz w:val="24"/>
          <w:szCs w:val="24"/>
        </w:rPr>
        <w:t>13663-2000）相关要求。</w:t>
      </w:r>
    </w:p>
    <w:p>
      <w:pPr>
        <w:pStyle w:val="32"/>
        <w:numPr>
          <w:ilvl w:val="0"/>
          <w:numId w:val="0"/>
        </w:numPr>
        <w:tabs>
          <w:tab w:val="left" w:pos="1760"/>
        </w:tabs>
        <w:spacing w:line="500" w:lineRule="exact"/>
        <w:ind w:left="560"/>
        <w:jc w:val="both"/>
        <w:rPr>
          <w:rFonts w:asciiTheme="minorEastAsia" w:hAnsiTheme="minorEastAsia" w:eastAsiaTheme="minorEastAsia" w:cstheme="minorEastAsia"/>
          <w:bCs/>
          <w:color w:val="auto"/>
          <w:spacing w:val="-1"/>
          <w:sz w:val="24"/>
          <w:szCs w:val="24"/>
        </w:rPr>
      </w:pPr>
      <w:r>
        <w:rPr>
          <w:rFonts w:hint="eastAsia" w:asciiTheme="minorEastAsia" w:hAnsiTheme="minorEastAsia" w:eastAsiaTheme="minorEastAsia" w:cstheme="minorEastAsia"/>
          <w:bCs/>
          <w:color w:val="auto"/>
          <w:spacing w:val="-1"/>
          <w:sz w:val="24"/>
          <w:szCs w:val="24"/>
        </w:rPr>
        <w:t>（2）管道结构上的作用</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管道的管顶竖向土压力标准值，应根据管道的刚度和敷设条件分别计算确定。</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对于开槽敷设的管道，管顶竖向土压力标准值应按下式计算：</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当设计地面高于原状地面，管顶竖向土压力标准值应按下式计算：</w:t>
      </w:r>
    </w:p>
    <w:p>
      <w:pPr>
        <w:pStyle w:val="10"/>
        <w:spacing w:line="500" w:lineRule="exact"/>
        <w:ind w:firstLine="480" w:firstLineChars="200"/>
        <w:jc w:val="center"/>
        <w:rPr>
          <w:rFonts w:asciiTheme="minorEastAsia" w:hAnsiTheme="minorEastAsia" w:eastAsiaTheme="minorEastAsia" w:cstheme="minorEastAsia"/>
          <w:color w:val="auto"/>
          <w:sz w:val="24"/>
          <w:szCs w:val="24"/>
          <w:lang w:val="en-US"/>
        </w:rPr>
      </w:pPr>
      <w:r>
        <w:rPr>
          <w:rFonts w:hint="eastAsia" w:asciiTheme="minorEastAsia" w:hAnsiTheme="minorEastAsia" w:eastAsiaTheme="minorEastAsia" w:cstheme="minorEastAsia"/>
          <w:color w:val="auto"/>
          <w:sz w:val="24"/>
          <w:szCs w:val="24"/>
          <w:lang w:val="en-US"/>
        </w:rPr>
        <w:t>Fsv,k=Cc</w:t>
      </w:r>
      <w:r>
        <w:rPr>
          <w:rFonts w:hint="eastAsia" w:asciiTheme="minorEastAsia" w:hAnsiTheme="minorEastAsia" w:eastAsiaTheme="minorEastAsia" w:cstheme="minorEastAsia"/>
          <w:color w:val="auto"/>
          <w:sz w:val="24"/>
          <w:szCs w:val="24"/>
        </w:rPr>
        <w:t>γ</w:t>
      </w:r>
      <w:r>
        <w:rPr>
          <w:rFonts w:hint="eastAsia" w:asciiTheme="minorEastAsia" w:hAnsiTheme="minorEastAsia" w:eastAsiaTheme="minorEastAsia" w:cstheme="minorEastAsia"/>
          <w:color w:val="auto"/>
          <w:sz w:val="24"/>
          <w:szCs w:val="24"/>
          <w:lang w:val="en-US"/>
        </w:rPr>
        <w:t>sHsBc</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 xml:space="preserve">式中：Fsv,k—每延长米管道上管顶的竖向土压力标准值； </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Cc—填埋式土压力系数，与HS/BC管底地基土及回填土的力学性能有关，一般可取 1.20~1.40 计算；</w:t>
      </w:r>
    </w:p>
    <w:p>
      <w:pPr>
        <w:pStyle w:val="10"/>
        <w:tabs>
          <w:tab w:val="left" w:pos="4720"/>
        </w:tabs>
        <w:spacing w:line="500" w:lineRule="exact"/>
        <w:ind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γs—</w:t>
      </w:r>
      <w:r>
        <w:rPr>
          <w:rFonts w:hint="eastAsia" w:asciiTheme="minorEastAsia" w:hAnsiTheme="minorEastAsia" w:eastAsiaTheme="minorEastAsia" w:cstheme="minorEastAsia"/>
          <w:color w:val="auto"/>
          <w:spacing w:val="-5"/>
          <w:sz w:val="24"/>
          <w:szCs w:val="24"/>
        </w:rPr>
        <w:t>回</w:t>
      </w:r>
      <w:r>
        <w:rPr>
          <w:rFonts w:hint="eastAsia" w:asciiTheme="minorEastAsia" w:hAnsiTheme="minorEastAsia" w:eastAsiaTheme="minorEastAsia" w:cstheme="minorEastAsia"/>
          <w:color w:val="auto"/>
          <w:spacing w:val="-3"/>
          <w:sz w:val="24"/>
          <w:szCs w:val="24"/>
        </w:rPr>
        <w:t>填</w:t>
      </w:r>
      <w:r>
        <w:rPr>
          <w:rFonts w:hint="eastAsia" w:asciiTheme="minorEastAsia" w:hAnsiTheme="minorEastAsia" w:eastAsiaTheme="minorEastAsia" w:cstheme="minorEastAsia"/>
          <w:color w:val="auto"/>
          <w:spacing w:val="-5"/>
          <w:sz w:val="24"/>
          <w:szCs w:val="24"/>
        </w:rPr>
        <w:t>土</w:t>
      </w:r>
      <w:r>
        <w:rPr>
          <w:rFonts w:hint="eastAsia" w:asciiTheme="minorEastAsia" w:hAnsiTheme="minorEastAsia" w:eastAsiaTheme="minorEastAsia" w:cstheme="minorEastAsia"/>
          <w:color w:val="auto"/>
          <w:spacing w:val="-3"/>
          <w:sz w:val="24"/>
          <w:szCs w:val="24"/>
        </w:rPr>
        <w:t>的</w:t>
      </w:r>
      <w:r>
        <w:rPr>
          <w:rFonts w:hint="eastAsia" w:asciiTheme="minorEastAsia" w:hAnsiTheme="minorEastAsia" w:eastAsiaTheme="minorEastAsia" w:cstheme="minorEastAsia"/>
          <w:color w:val="auto"/>
          <w:spacing w:val="-5"/>
          <w:sz w:val="24"/>
          <w:szCs w:val="24"/>
        </w:rPr>
        <w:t>重力</w:t>
      </w:r>
      <w:r>
        <w:rPr>
          <w:rFonts w:hint="eastAsia" w:asciiTheme="minorEastAsia" w:hAnsiTheme="minorEastAsia" w:eastAsiaTheme="minorEastAsia" w:cstheme="minorEastAsia"/>
          <w:color w:val="auto"/>
          <w:spacing w:val="-3"/>
          <w:sz w:val="24"/>
          <w:szCs w:val="24"/>
        </w:rPr>
        <w:t>密</w:t>
      </w:r>
      <w:r>
        <w:rPr>
          <w:rFonts w:hint="eastAsia" w:asciiTheme="minorEastAsia" w:hAnsiTheme="minorEastAsia" w:eastAsiaTheme="minorEastAsia" w:cstheme="minorEastAsia"/>
          <w:color w:val="auto"/>
          <w:spacing w:val="-5"/>
          <w:sz w:val="24"/>
          <w:szCs w:val="24"/>
        </w:rPr>
        <w:t>度</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z w:val="24"/>
          <w:szCs w:val="24"/>
        </w:rPr>
        <w:tab/>
      </w:r>
    </w:p>
    <w:p>
      <w:pPr>
        <w:pStyle w:val="10"/>
        <w:tabs>
          <w:tab w:val="left" w:pos="4720"/>
        </w:tabs>
        <w:spacing w:line="500" w:lineRule="exact"/>
        <w:ind w:firstLine="472"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2"/>
          <w:sz w:val="24"/>
          <w:szCs w:val="24"/>
        </w:rPr>
        <w:t>Hs—</w:t>
      </w:r>
      <w:r>
        <w:rPr>
          <w:rFonts w:hint="eastAsia" w:asciiTheme="minorEastAsia" w:hAnsiTheme="minorEastAsia" w:eastAsiaTheme="minorEastAsia" w:cstheme="minorEastAsia"/>
          <w:color w:val="auto"/>
          <w:sz w:val="24"/>
          <w:szCs w:val="24"/>
        </w:rPr>
        <w:t>管顶至设计地面的覆土高度；</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Bc—管道的外缘宽度，当为圆管时，应以管外径D1代替。</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对由设计地面开槽施工的管道，管顶竖向土压力标准值可按下式计算：</w:t>
      </w:r>
    </w:p>
    <w:p>
      <w:pPr>
        <w:pStyle w:val="10"/>
        <w:spacing w:line="500" w:lineRule="exact"/>
        <w:ind w:firstLine="480" w:firstLineChars="200"/>
        <w:jc w:val="center"/>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Fsv,k=CdγsHsBc</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式中：Cd—开槽施工土压力系数，与开槽宽有关，一般可取1.2计算。</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对不开槽、顶进施工的管道，管顶竖向土压力标准值可按下式计算：</w:t>
      </w:r>
    </w:p>
    <w:p>
      <w:pPr>
        <w:pStyle w:val="10"/>
        <w:spacing w:line="500" w:lineRule="exact"/>
        <w:ind w:firstLine="480" w:firstLineChars="200"/>
        <w:jc w:val="center"/>
        <w:rPr>
          <w:rFonts w:asciiTheme="minorEastAsia" w:hAnsiTheme="minorEastAsia" w:eastAsiaTheme="minorEastAsia" w:cstheme="minorEastAsia"/>
          <w:color w:val="auto"/>
          <w:sz w:val="24"/>
          <w:szCs w:val="24"/>
          <w:lang w:val="en-US"/>
        </w:rPr>
      </w:pPr>
      <w:r>
        <w:rPr>
          <w:rFonts w:hint="eastAsia" w:asciiTheme="minorEastAsia" w:hAnsiTheme="minorEastAsia" w:eastAsiaTheme="minorEastAsia" w:cstheme="minorEastAsia"/>
          <w:color w:val="auto"/>
          <w:sz w:val="24"/>
          <w:szCs w:val="24"/>
          <w:lang w:val="en-US"/>
        </w:rPr>
        <w:t>Fsv,k=Cj</w:t>
      </w:r>
      <w:r>
        <w:rPr>
          <w:rFonts w:hint="eastAsia" w:asciiTheme="minorEastAsia" w:hAnsiTheme="minorEastAsia" w:eastAsiaTheme="minorEastAsia" w:cstheme="minorEastAsia"/>
          <w:color w:val="auto"/>
          <w:sz w:val="24"/>
          <w:szCs w:val="24"/>
        </w:rPr>
        <w:t>γ</w:t>
      </w:r>
      <w:r>
        <w:rPr>
          <w:rFonts w:hint="eastAsia" w:asciiTheme="minorEastAsia" w:hAnsiTheme="minorEastAsia" w:eastAsiaTheme="minorEastAsia" w:cstheme="minorEastAsia"/>
          <w:color w:val="auto"/>
          <w:sz w:val="24"/>
          <w:szCs w:val="24"/>
          <w:lang w:val="en-US"/>
        </w:rPr>
        <w:t>sBtD1</w:t>
      </w:r>
    </w:p>
    <w:p>
      <w:pPr>
        <w:pStyle w:val="10"/>
        <w:spacing w:line="500" w:lineRule="exact"/>
        <w:ind w:firstLine="480" w:firstLineChars="200"/>
        <w:jc w:val="center"/>
        <w:rPr>
          <w:rFonts w:asciiTheme="minorEastAsia" w:hAnsiTheme="minorEastAsia" w:eastAsiaTheme="minorEastAsia" w:cstheme="minorEastAsia"/>
          <w:color w:val="auto"/>
          <w:sz w:val="24"/>
          <w:szCs w:val="24"/>
          <w:lang w:val="en-US"/>
        </w:rPr>
      </w:pPr>
      <w:r>
        <w:rPr>
          <w:rFonts w:hint="eastAsia" w:asciiTheme="minorEastAsia" w:hAnsiTheme="minorEastAsia" w:eastAsiaTheme="minorEastAsia" w:cstheme="minorEastAsia"/>
          <w:color w:val="auto"/>
          <w:sz w:val="24"/>
          <w:szCs w:val="24"/>
          <w:lang w:val="en-US"/>
        </w:rPr>
        <w:t>Bt=D1</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z w:val="24"/>
          <w:szCs w:val="24"/>
          <w:lang w:val="en-US"/>
        </w:rPr>
        <w:t>1+tg（45°-</w:t>
      </w:r>
      <w:r>
        <w:rPr>
          <w:rFonts w:hint="eastAsia" w:asciiTheme="minorEastAsia" w:hAnsiTheme="minorEastAsia" w:eastAsiaTheme="minorEastAsia" w:cstheme="minorEastAsia"/>
          <w:color w:val="auto"/>
          <w:sz w:val="24"/>
          <w:szCs w:val="24"/>
        </w:rPr>
        <w:t>φ</w:t>
      </w:r>
      <w:r>
        <w:rPr>
          <w:rFonts w:hint="eastAsia" w:asciiTheme="minorEastAsia" w:hAnsiTheme="minorEastAsia" w:eastAsiaTheme="minorEastAsia" w:cstheme="minorEastAsia"/>
          <w:color w:val="auto"/>
          <w:sz w:val="24"/>
          <w:szCs w:val="24"/>
          <w:lang w:val="en-US"/>
        </w:rPr>
        <w:t>/2）</w:t>
      </w:r>
      <w:r>
        <w:rPr>
          <w:rFonts w:hint="eastAsia" w:asciiTheme="minorEastAsia" w:hAnsiTheme="minorEastAsia" w:eastAsiaTheme="minorEastAsia" w:cstheme="minorEastAsia"/>
          <w:color w:val="auto"/>
          <w:sz w:val="24"/>
          <w:szCs w:val="24"/>
        </w:rPr>
        <w:t>〕</w:t>
      </w:r>
    </w:p>
    <w:p>
      <w:pPr>
        <w:pStyle w:val="10"/>
        <w:spacing w:line="500" w:lineRule="exact"/>
        <w:ind w:firstLine="480" w:firstLineChars="200"/>
        <w:jc w:val="center"/>
        <w:rPr>
          <w:rFonts w:asciiTheme="minorEastAsia" w:hAnsiTheme="minorEastAsia" w:eastAsiaTheme="minorEastAsia" w:cstheme="minorEastAsia"/>
          <w:color w:val="auto"/>
          <w:sz w:val="24"/>
          <w:szCs w:val="24"/>
          <w:lang w:val="en-US"/>
        </w:rPr>
      </w:pPr>
      <w:r>
        <w:rPr>
          <w:rFonts w:hint="eastAsia" w:asciiTheme="minorEastAsia" w:hAnsiTheme="minorEastAsia" w:eastAsiaTheme="minorEastAsia" w:cstheme="minorEastAsia"/>
          <w:color w:val="auto"/>
          <w:sz w:val="24"/>
          <w:szCs w:val="24"/>
          <w:lang w:val="en-US"/>
        </w:rPr>
        <w:t>Cj=</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z w:val="24"/>
          <w:szCs w:val="24"/>
          <w:lang w:val="en-US"/>
        </w:rPr>
        <w:t>1-exp(-2Ka</w:t>
      </w:r>
      <w:r>
        <w:rPr>
          <w:rFonts w:hint="eastAsia" w:asciiTheme="minorEastAsia" w:hAnsiTheme="minorEastAsia" w:eastAsiaTheme="minorEastAsia" w:cstheme="minorEastAsia"/>
          <w:color w:val="auto"/>
          <w:sz w:val="24"/>
          <w:szCs w:val="24"/>
        </w:rPr>
        <w:t>μ</w:t>
      </w:r>
      <w:r>
        <w:rPr>
          <w:rFonts w:hint="eastAsia" w:asciiTheme="minorEastAsia" w:hAnsiTheme="minorEastAsia" w:eastAsiaTheme="minorEastAsia" w:cstheme="minorEastAsia"/>
          <w:color w:val="auto"/>
          <w:sz w:val="24"/>
          <w:szCs w:val="24"/>
          <w:lang w:val="en-US"/>
        </w:rPr>
        <w:t>Hs/Bt)</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z w:val="24"/>
          <w:szCs w:val="24"/>
          <w:lang w:val="en-US"/>
        </w:rPr>
        <w:t>/(2Ka</w:t>
      </w:r>
      <w:r>
        <w:rPr>
          <w:rFonts w:hint="eastAsia" w:asciiTheme="minorEastAsia" w:hAnsiTheme="minorEastAsia" w:eastAsiaTheme="minorEastAsia" w:cstheme="minorEastAsia"/>
          <w:color w:val="auto"/>
          <w:sz w:val="24"/>
          <w:szCs w:val="24"/>
        </w:rPr>
        <w:t>μ</w:t>
      </w:r>
      <w:r>
        <w:rPr>
          <w:rFonts w:hint="eastAsia" w:asciiTheme="minorEastAsia" w:hAnsiTheme="minorEastAsia" w:eastAsiaTheme="minorEastAsia" w:cstheme="minorEastAsia"/>
          <w:color w:val="auto"/>
          <w:sz w:val="24"/>
          <w:szCs w:val="24"/>
          <w:lang w:val="en-US"/>
        </w:rPr>
        <w:t>)</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对开槽敷设的埋地柔性管道，管顶的竖向土压力标准值应按下式计算：</w:t>
      </w:r>
    </w:p>
    <w:p>
      <w:pPr>
        <w:pStyle w:val="10"/>
        <w:spacing w:line="500" w:lineRule="exact"/>
        <w:ind w:firstLine="480" w:firstLineChars="200"/>
        <w:jc w:val="center"/>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 xml:space="preserve">Wck=γsHsD1 </w:t>
      </w:r>
    </w:p>
    <w:p>
      <w:pPr>
        <w:pStyle w:val="10"/>
        <w:spacing w:line="500" w:lineRule="exact"/>
        <w:ind w:firstLine="480" w:firstLineChars="200"/>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 xml:space="preserve">式中：Fsv,k—管顶竖向土压力标准值； </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Cj—顶管竖向土压力系数；</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Bt—管顶上部土层压力传递至管顶处的影响宽度；</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D1—管道外径；</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φ—管顶土的内摩擦角；</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 xml:space="preserve">C—土的黏聚力，宜取地质报告中的最小值； </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Hs—管顶至原状地面埋置深度；</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Ks—原状土的主动土压力系数和内摩擦角系数的乘积，一般粘性土取 0.13，饱和粘土可取0.11，砂和砾石可取0.165。</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地面堆积荷载产生的标准值可按10kN/m²计算，其准永久值系数可取＝0.5。</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地面车辆轮压产生的管顶处竖向压力标准值及其准永久值系数， 可按下列规定确定：</w:t>
      </w:r>
    </w:p>
    <w:p>
      <w:pPr>
        <w:pStyle w:val="10"/>
        <w:spacing w:line="360" w:lineRule="auto"/>
        <w:ind w:firstLine="480" w:firstLineChars="200"/>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1）单个轮压产生的管顶处竖向压力标准值，可按下式计算：</w:t>
      </w:r>
    </w:p>
    <w:p>
      <w:pPr>
        <w:pStyle w:val="10"/>
        <w:spacing w:line="360" w:lineRule="auto"/>
        <w:ind w:firstLine="480" w:firstLineChars="200"/>
        <w:jc w:val="center"/>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lang w:val="en-US" w:bidi="ar-SA"/>
        </w:rPr>
        <w:drawing>
          <wp:inline distT="0" distB="0" distL="0" distR="0">
            <wp:extent cx="2199640" cy="485775"/>
            <wp:effectExtent l="0" t="0" r="10160" b="9525"/>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3.jpeg"/>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04950" cy="485775"/>
                    </a:xfrm>
                    <a:prstGeom prst="rect">
                      <a:avLst/>
                    </a:prstGeom>
                  </pic:spPr>
                </pic:pic>
              </a:graphicData>
            </a:graphic>
          </wp:inline>
        </w:drawing>
      </w:r>
      <w:r>
        <w:rPr>
          <w:rFonts w:hint="eastAsia" w:asciiTheme="minorEastAsia" w:hAnsiTheme="minorEastAsia" w:eastAsiaTheme="minorEastAsia" w:cstheme="minorEastAsia"/>
          <w:color w:val="auto"/>
          <w:sz w:val="24"/>
          <w:szCs w:val="24"/>
          <w:lang w:val="en-US" w:bidi="ar-SA"/>
        </w:rPr>
        <w:drawing>
          <wp:inline distT="0" distB="0" distL="0" distR="0">
            <wp:extent cx="4617085" cy="2120265"/>
            <wp:effectExtent l="0" t="0" r="12065" b="13335"/>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2.jpeg"/>
                    <pic:cNvPicPr>
                      <a:picLocks noChangeAspect="1"/>
                    </pic:cNvPicPr>
                  </pic:nvPicPr>
                  <pic:blipFill>
                    <a:blip r:embed="rId36" cstate="print"/>
                    <a:stretch>
                      <a:fillRect/>
                    </a:stretch>
                  </pic:blipFill>
                  <pic:spPr>
                    <a:xfrm>
                      <a:off x="0" y="0"/>
                      <a:ext cx="4617350" cy="2120265"/>
                    </a:xfrm>
                    <a:prstGeom prst="rect">
                      <a:avLst/>
                    </a:prstGeom>
                  </pic:spPr>
                </pic:pic>
              </a:graphicData>
            </a:graphic>
          </wp:inline>
        </w:drawing>
      </w:r>
    </w:p>
    <w:p>
      <w:pPr>
        <w:spacing w:line="500" w:lineRule="exact"/>
        <w:ind w:firstLine="422" w:firstLineChars="200"/>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图6.2-1  车辆单个轮压的传递分布</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式中：q</w:t>
      </w:r>
      <w:r>
        <w:rPr>
          <w:rFonts w:asciiTheme="minorEastAsia" w:hAnsiTheme="minorEastAsia" w:eastAsiaTheme="minorEastAsia" w:cstheme="minorEastAsia"/>
          <w:color w:val="auto"/>
          <w:sz w:val="24"/>
          <w:szCs w:val="24"/>
        </w:rPr>
        <w:t>vk</w:t>
      </w:r>
      <w:r>
        <w:rPr>
          <w:rFonts w:hint="eastAsia" w:asciiTheme="minorEastAsia" w:hAnsiTheme="minorEastAsia" w:eastAsiaTheme="minorEastAsia" w:cstheme="minorEastAsia"/>
          <w:color w:val="auto"/>
          <w:sz w:val="24"/>
          <w:szCs w:val="24"/>
        </w:rPr>
        <w:t>—轮压传递到管顶处的竖向压力标准值（kN/m²）；</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Q</w:t>
      </w:r>
      <w:r>
        <w:rPr>
          <w:rFonts w:asciiTheme="minorEastAsia" w:hAnsiTheme="minorEastAsia" w:eastAsiaTheme="minorEastAsia" w:cstheme="minorEastAsia"/>
          <w:color w:val="auto"/>
          <w:sz w:val="24"/>
          <w:szCs w:val="24"/>
        </w:rPr>
        <w:t>vk</w:t>
      </w:r>
      <w:r>
        <w:rPr>
          <w:rFonts w:hint="eastAsia" w:asciiTheme="minorEastAsia" w:hAnsiTheme="minorEastAsia" w:eastAsiaTheme="minorEastAsia" w:cstheme="minorEastAsia"/>
          <w:color w:val="auto"/>
          <w:sz w:val="24"/>
          <w:szCs w:val="24"/>
        </w:rPr>
        <w:t>—车辆的单个轮压压力标准值 （kN）；</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asciiTheme="minorEastAsia" w:hAnsiTheme="minorEastAsia" w:eastAsiaTheme="minorEastAsia" w:cstheme="minorEastAsia"/>
          <w:color w:val="auto"/>
          <w:sz w:val="24"/>
          <w:szCs w:val="24"/>
        </w:rPr>
        <w:t>μd</w:t>
      </w:r>
      <w:r>
        <w:rPr>
          <w:rFonts w:hint="eastAsia" w:asciiTheme="minorEastAsia" w:hAnsiTheme="minorEastAsia" w:eastAsiaTheme="minorEastAsia" w:cstheme="minorEastAsia"/>
          <w:color w:val="auto"/>
          <w:sz w:val="24"/>
          <w:szCs w:val="24"/>
        </w:rPr>
        <w:t>—动力系数；</w:t>
      </w:r>
    </w:p>
    <w:p>
      <w:pPr>
        <w:pStyle w:val="10"/>
        <w:spacing w:line="500" w:lineRule="exact"/>
        <w:ind w:firstLine="480" w:firstLineChars="200"/>
        <w:jc w:val="both"/>
        <w:rPr>
          <w:rFonts w:asciiTheme="minorEastAsia" w:hAnsiTheme="minorEastAsia" w:eastAsiaTheme="minorEastAsia" w:cstheme="minorEastAsia"/>
          <w:color w:val="auto"/>
          <w:sz w:val="24"/>
          <w:szCs w:val="24"/>
          <w:lang w:val="en-US"/>
        </w:rPr>
      </w:pPr>
      <w:r>
        <w:rPr>
          <w:rFonts w:hint="eastAsia" w:asciiTheme="minorEastAsia" w:hAnsiTheme="minorEastAsia" w:eastAsiaTheme="minorEastAsia" w:cstheme="minorEastAsia"/>
          <w:color w:val="auto"/>
          <w:sz w:val="24"/>
          <w:szCs w:val="24"/>
        </w:rPr>
        <w:t>a—单个车轮着地分布长 度（m）；</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b—单个车轮着地分布宽度（m）；</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z—车行地面至管顶的距离（m）</w:t>
      </w:r>
    </w:p>
    <w:p>
      <w:pPr>
        <w:pStyle w:val="11"/>
        <w:rPr>
          <w:color w:val="auto"/>
          <w:lang w:val="zh-CN" w:bidi="zh-CN"/>
        </w:rPr>
      </w:pPr>
      <w:r>
        <w:rPr>
          <w:rFonts w:hint="eastAsia" w:asciiTheme="minorEastAsia" w:hAnsiTheme="minorEastAsia" w:eastAsiaTheme="minorEastAsia" w:cstheme="minorEastAsia"/>
          <w:color w:val="auto"/>
          <w:sz w:val="24"/>
          <w:szCs w:val="24"/>
        </w:rPr>
        <w:drawing>
          <wp:inline distT="0" distB="0" distL="0" distR="0">
            <wp:extent cx="2476500" cy="668655"/>
            <wp:effectExtent l="0" t="0" r="0" b="17145"/>
            <wp:docPr id="35" name="image18.jpeg"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8.jpeg" descr="图片包含 文本&#10;&#10;描述已自动生成"/>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76500" cy="668718"/>
                    </a:xfrm>
                    <a:prstGeom prst="rect">
                      <a:avLst/>
                    </a:prstGeom>
                  </pic:spPr>
                </pic:pic>
              </a:graphicData>
            </a:graphic>
          </wp:inline>
        </w:drawing>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 xml:space="preserve">2）两个以上轮压产生的管顶竖向压力标准值，可按下式计算： </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式中：n—车轮总数量；</w:t>
      </w:r>
    </w:p>
    <w:p>
      <w:pPr>
        <w:pStyle w:val="10"/>
        <w:spacing w:line="500" w:lineRule="exact"/>
        <w:ind w:firstLine="480" w:firstLineChars="200"/>
        <w:rPr>
          <w:rFonts w:asciiTheme="minorEastAsia" w:hAnsiTheme="minorEastAsia" w:eastAsiaTheme="minorEastAsia" w:cstheme="minorEastAsia"/>
          <w:color w:val="auto"/>
          <w:sz w:val="24"/>
          <w:szCs w:val="24"/>
        </w:rPr>
      </w:pPr>
      <w:r>
        <w:rPr>
          <w:rFonts w:asciiTheme="minorEastAsia" w:hAnsiTheme="minorEastAsia" w:eastAsiaTheme="minorEastAsia" w:cstheme="minorEastAsia"/>
          <w:color w:val="auto"/>
          <w:sz w:val="24"/>
          <w:szCs w:val="24"/>
          <w:lang w:val="en-US" w:bidi="ar-SA"/>
        </w:rPr>
        <w:t>di</w:t>
      </w:r>
      <w:r>
        <w:rPr>
          <w:rFonts w:hint="eastAsia" w:asciiTheme="minorEastAsia" w:hAnsiTheme="minorEastAsia" w:eastAsiaTheme="minorEastAsia" w:cstheme="minorEastAsia"/>
          <w:color w:val="auto"/>
          <w:spacing w:val="-5"/>
          <w:sz w:val="24"/>
          <w:szCs w:val="24"/>
        </w:rPr>
        <w:t>—地面相邻两个轮压间的净距</w:t>
      </w:r>
      <w:r>
        <w:rPr>
          <w:rFonts w:hint="eastAsia" w:asciiTheme="minorEastAsia" w:hAnsiTheme="minorEastAsia" w:eastAsiaTheme="minorEastAsia" w:cstheme="minorEastAsia"/>
          <w:color w:val="auto"/>
          <w:sz w:val="24"/>
          <w:szCs w:val="24"/>
        </w:rPr>
        <w:t>（m）。</w:t>
      </w:r>
    </w:p>
    <w:p>
      <w:pPr>
        <w:pStyle w:val="10"/>
        <w:spacing w:line="500" w:lineRule="exact"/>
        <w:jc w:val="both"/>
        <w:rPr>
          <w:rFonts w:asciiTheme="minorEastAsia" w:hAnsiTheme="minorEastAsia" w:eastAsiaTheme="minorEastAsia" w:cstheme="minorEastAsia"/>
          <w:color w:val="auto"/>
          <w:sz w:val="24"/>
          <w:szCs w:val="24"/>
          <w:lang w:val="en-US" w:bidi="ar-SA"/>
        </w:rPr>
      </w:pPr>
    </w:p>
    <w:p>
      <w:pPr>
        <w:jc w:val="center"/>
        <w:rPr>
          <w:color w:val="auto"/>
          <w:lang w:val="en-US" w:bidi="ar-SA"/>
        </w:rPr>
      </w:pPr>
      <w:r>
        <w:rPr>
          <w:rFonts w:hint="eastAsia" w:asciiTheme="minorEastAsia" w:hAnsiTheme="minorEastAsia" w:eastAsiaTheme="minorEastAsia" w:cstheme="minorEastAsia"/>
          <w:color w:val="auto"/>
          <w:sz w:val="24"/>
          <w:szCs w:val="24"/>
          <w:lang w:val="en-US" w:bidi="ar-SA"/>
        </w:rPr>
        <w:drawing>
          <wp:inline distT="0" distB="0" distL="0" distR="0">
            <wp:extent cx="4624705" cy="2021840"/>
            <wp:effectExtent l="0" t="0" r="4445" b="16510"/>
            <wp:docPr id="39" name="image20.jpeg" descr="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20.jpeg" descr="图示, 工程绘图&#10;&#10;描述已自动生成"/>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624468" cy="2021967"/>
                    </a:xfrm>
                    <a:prstGeom prst="rect">
                      <a:avLst/>
                    </a:prstGeom>
                  </pic:spPr>
                </pic:pic>
              </a:graphicData>
            </a:graphic>
          </wp:inline>
        </w:drawing>
      </w:r>
    </w:p>
    <w:p>
      <w:pPr>
        <w:spacing w:line="500" w:lineRule="exact"/>
        <w:ind w:firstLine="422" w:firstLineChars="200"/>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图6.2-2 地面车辆两个以上轮压的传递分布</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地面车辆运行荷载的准永久值系数，应取＝0.5。基本设计规定管道和支墩结构应按承载能力极限状态进行设计并应按正常使用极限状态进行验算。</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埋地混凝土圆形管道结构，应按刚性管道计算，钢管与PE管应按柔性管道计算。</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土弧基础设计和施工采用的土弧中心角度，应按下列规定确定：应在结果计算采用的土弧中心角的基础上增加15~20° 。</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对素土平基铺设的管道，可按土弧中心角为20°计算。管道结构进行强度计算时，应满足下式要求：</w:t>
      </w:r>
    </w:p>
    <w:p>
      <w:pPr>
        <w:pStyle w:val="10"/>
        <w:spacing w:line="500" w:lineRule="exact"/>
        <w:ind w:firstLine="480" w:firstLineChars="200"/>
        <w:jc w:val="center"/>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γoS≤R</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式中:γo</w:t>
      </w: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z w:val="24"/>
          <w:szCs w:val="24"/>
        </w:rPr>
        <w:t>管道结构要性系数，应根据现行国家标准《给水排水工程管道结构设计规范》（GB 50332-2002）的规定采用。对给水输水管道，当单线输水时取1.1；双线输水和配水管道取1.0； 污水管道取1.0； 雨水管道取 0.9。</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S-作用效应组合的设计值；</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R-管道结构抗力设计值，按规范取值。</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对混凝土结构构件截面按控制裂缝出现设计时，应按短期效应的标准组合作用计算，作用效应的标准组合设计值，应按下式确定：</w:t>
      </w:r>
    </w:p>
    <w:p>
      <w:pPr>
        <w:pStyle w:val="10"/>
        <w:spacing w:line="500" w:lineRule="exact"/>
        <w:ind w:firstLine="480" w:firstLineChars="200"/>
        <w:jc w:val="center"/>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Sd=GGiGik+ψcCqjjQjk</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对钢筋混凝土结构构件的裂缝展开宽度，应按准永久组合作用计算。作用效应的准永久组合设计，应按下式确定：</w:t>
      </w:r>
    </w:p>
    <w:p>
      <w:pPr>
        <w:pStyle w:val="10"/>
        <w:spacing w:line="500" w:lineRule="exact"/>
        <w:ind w:firstLine="480" w:firstLineChars="200"/>
        <w:jc w:val="center"/>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Sd=GGiGik+CqjψqjQjk</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对柔性管道在组合作用下的变形，应按准永久组合作用计算，并应按下式计算其变形量：</w:t>
      </w:r>
    </w:p>
    <w:p>
      <w:pPr>
        <w:pStyle w:val="10"/>
        <w:spacing w:line="500" w:lineRule="exact"/>
        <w:ind w:firstLine="480" w:firstLineChars="200"/>
        <w:jc w:val="center"/>
        <w:rPr>
          <w:rFonts w:asciiTheme="minorEastAsia" w:hAnsiTheme="minorEastAsia" w:eastAsiaTheme="minorEastAsia" w:cstheme="minorEastAsia"/>
          <w:color w:val="auto"/>
          <w:sz w:val="24"/>
          <w:szCs w:val="24"/>
        </w:rPr>
      </w:pPr>
      <w:r>
        <w:rPr>
          <w:rFonts w:asciiTheme="minorEastAsia" w:hAnsiTheme="minorEastAsia" w:eastAsiaTheme="minorEastAsia" w:cstheme="minorEastAsia"/>
          <w:color w:val="auto"/>
          <w:sz w:val="24"/>
          <w:szCs w:val="24"/>
        </w:rPr>
        <w:t>S</w:t>
      </w:r>
      <w:r>
        <w:rPr>
          <w:rFonts w:asciiTheme="minorEastAsia" w:hAnsiTheme="minorEastAsia" w:eastAsiaTheme="minorEastAsia" w:cstheme="minorEastAsia"/>
          <w:color w:val="auto"/>
          <w:sz w:val="24"/>
          <w:szCs w:val="24"/>
          <w:vertAlign w:val="subscript"/>
        </w:rPr>
        <w:t>0</w:t>
      </w:r>
      <w:r>
        <w:rPr>
          <w:rFonts w:hint="eastAsia" w:asciiTheme="minorEastAsia" w:hAnsiTheme="minorEastAsia" w:eastAsiaTheme="minorEastAsia" w:cstheme="minorEastAsia"/>
          <w:color w:val="auto"/>
          <w:sz w:val="24"/>
          <w:szCs w:val="24"/>
        </w:rPr>
        <w:t>ωd,max=D1(kdγ03(Fsv,k+2ψqqvkγ0)/(EpIp+0.061Eγ0)</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对埋设在地下水位以下的管道，应根据最高地下水位和管顶覆土条件验算抗浮稳定性。验算时，各种作用应采用标准值，并满足抗浮稳定性系数不低于1.1的要求。</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在管道敷设方向改变处应采取抗推力措施并进行抗滑稳定验算，其抗滑稳定性抗力系数KS不应小于1.5。</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当采用桩基抗推力时，应按现行国家标准《建筑地基基础设计规范》（GB 50007-2011）的规定计算。</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（3）构造规定</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柔性管道施工时，应严格控制管顶竖向变形。当管道直径较大、管顶覆土较深时，应采用预加变形等措施。</w:t>
      </w:r>
    </w:p>
    <w:p>
      <w:pPr>
        <w:pStyle w:val="10"/>
        <w:spacing w:line="500" w:lineRule="exact"/>
        <w:ind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钢管管道内外防腐做法，必须符合国家现行有关标准的规</w:t>
      </w:r>
      <w:r>
        <w:rPr>
          <w:rFonts w:hint="eastAsia" w:asciiTheme="minorEastAsia" w:hAnsiTheme="minorEastAsia" w:eastAsiaTheme="minorEastAsia" w:cstheme="minorEastAsia"/>
          <w:color w:val="auto"/>
          <w:spacing w:val="-6"/>
          <w:sz w:val="24"/>
          <w:szCs w:val="24"/>
        </w:rPr>
        <w:t>定。混凝土重力支墩的推力方向一侧应紧靠原状土。若支墩与原</w:t>
      </w:r>
      <w:r>
        <w:rPr>
          <w:rFonts w:hint="eastAsia" w:asciiTheme="minorEastAsia" w:hAnsiTheme="minorEastAsia" w:eastAsiaTheme="minorEastAsia" w:cstheme="minorEastAsia"/>
          <w:color w:val="auto"/>
          <w:spacing w:val="-3"/>
          <w:sz w:val="24"/>
          <w:szCs w:val="24"/>
        </w:rPr>
        <w:t>状土</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间有空隙，应以与支墩同强度等级的混凝土填实。支墩的混凝土强度等级不得低于C20。</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各管材敷设安装构造规定应符合相关规范规程的规定。</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（4）管道基础</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常用的管道基础有原土基础（素土基础、土弧基础）、砂质基础、素混凝土基础和钢筋混凝土基础等。管道基础的形式根据管道形式、管材、管道所处的土质情况、地下水位及管道运行的安全性等综合确定。</w:t>
      </w:r>
    </w:p>
    <w:p>
      <w:pPr>
        <w:pStyle w:val="32"/>
        <w:numPr>
          <w:ilvl w:val="0"/>
          <w:numId w:val="42"/>
        </w:numPr>
        <w:tabs>
          <w:tab w:val="left" w:pos="1263"/>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当管道通过岩基时，管道基本不会产生沉降，另外，岩基抗冲刷能力比较强，故对岩基段的管道，可用砂质基础。即将基</w:t>
      </w:r>
      <w:r>
        <w:rPr>
          <w:rFonts w:hint="eastAsia" w:asciiTheme="minorEastAsia" w:hAnsiTheme="minorEastAsia" w:eastAsiaTheme="minorEastAsia" w:cstheme="minorEastAsia"/>
          <w:color w:val="auto"/>
          <w:spacing w:val="2"/>
          <w:sz w:val="24"/>
          <w:szCs w:val="24"/>
        </w:rPr>
        <w:t>坑超挖</w:t>
      </w:r>
      <w:r>
        <w:rPr>
          <w:rFonts w:hint="eastAsia" w:asciiTheme="minorEastAsia" w:hAnsiTheme="minorEastAsia" w:eastAsiaTheme="minorEastAsia" w:cstheme="minorEastAsia"/>
          <w:color w:val="auto"/>
          <w:sz w:val="24"/>
          <w:szCs w:val="24"/>
        </w:rPr>
        <w:t>300mm</w:t>
      </w:r>
      <w:r>
        <w:rPr>
          <w:rFonts w:hint="eastAsia" w:asciiTheme="minorEastAsia" w:hAnsiTheme="minorEastAsia" w:eastAsiaTheme="minorEastAsia" w:cstheme="minorEastAsia"/>
          <w:color w:val="auto"/>
          <w:spacing w:val="-3"/>
          <w:sz w:val="24"/>
          <w:szCs w:val="24"/>
        </w:rPr>
        <w:t>，回填级配碎石砂，再铺设管道。若为钢管时，还</w:t>
      </w:r>
      <w:r>
        <w:rPr>
          <w:rFonts w:hint="eastAsia" w:asciiTheme="minorEastAsia" w:hAnsiTheme="minorEastAsia" w:eastAsiaTheme="minorEastAsia" w:cstheme="minorEastAsia"/>
          <w:color w:val="auto"/>
          <w:spacing w:val="-5"/>
          <w:sz w:val="24"/>
          <w:szCs w:val="24"/>
        </w:rPr>
        <w:t>要视其受荷情况，在管底设置一定角度的砂弧。</w:t>
      </w:r>
    </w:p>
    <w:p>
      <w:pPr>
        <w:pStyle w:val="32"/>
        <w:numPr>
          <w:ilvl w:val="0"/>
          <w:numId w:val="42"/>
        </w:numPr>
        <w:tabs>
          <w:tab w:val="left" w:pos="1263"/>
        </w:tabs>
        <w:spacing w:line="500" w:lineRule="exact"/>
        <w:ind w:left="0"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当管道位于较好的土层和砂层时，可采用一般的原土基础和砂基。</w:t>
      </w:r>
    </w:p>
    <w:p>
      <w:pPr>
        <w:pStyle w:val="32"/>
        <w:numPr>
          <w:ilvl w:val="0"/>
          <w:numId w:val="42"/>
        </w:numPr>
        <w:tabs>
          <w:tab w:val="left" w:pos="1263"/>
        </w:tabs>
        <w:spacing w:line="500" w:lineRule="exact"/>
        <w:ind w:left="0"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当管道位于软弱土层时，经地基处理后，可采用砂基，局</w:t>
      </w:r>
      <w:r>
        <w:rPr>
          <w:rFonts w:hint="eastAsia" w:asciiTheme="minorEastAsia" w:hAnsiTheme="minorEastAsia" w:eastAsiaTheme="minorEastAsia" w:cstheme="minorEastAsia"/>
          <w:color w:val="auto"/>
          <w:spacing w:val="-5"/>
          <w:sz w:val="24"/>
          <w:szCs w:val="24"/>
        </w:rPr>
        <w:t>部地段可采用素混凝土基础或钢筋混凝土基础。钢筋混凝土基础造价太高，施工周期也较长故一般地段不推荐此方案。当采用混凝土基础时，对于钢管还要在管底下设一定的砂弧</w:t>
      </w:r>
      <w:r>
        <w:rPr>
          <w:rFonts w:hint="eastAsia" w:asciiTheme="minorEastAsia" w:hAnsiTheme="minorEastAsia" w:eastAsiaTheme="minorEastAsia" w:cstheme="minorEastAsia"/>
          <w:color w:val="auto"/>
          <w:spacing w:val="-3"/>
          <w:sz w:val="24"/>
          <w:szCs w:val="24"/>
        </w:rPr>
        <w:t>（</w:t>
      </w:r>
      <w:r>
        <w:rPr>
          <w:rFonts w:hint="eastAsia" w:asciiTheme="minorEastAsia" w:hAnsiTheme="minorEastAsia" w:eastAsiaTheme="minorEastAsia" w:cstheme="minorEastAsia"/>
          <w:color w:val="auto"/>
          <w:spacing w:val="-2"/>
          <w:sz w:val="24"/>
          <w:szCs w:val="24"/>
        </w:rPr>
        <w:t xml:space="preserve">经计算确 </w:t>
      </w:r>
      <w:r>
        <w:rPr>
          <w:rFonts w:hint="eastAsia" w:asciiTheme="minorEastAsia" w:hAnsiTheme="minorEastAsia" w:eastAsiaTheme="minorEastAsia" w:cstheme="minorEastAsia"/>
          <w:color w:val="auto"/>
          <w:spacing w:val="-3"/>
          <w:sz w:val="24"/>
          <w:szCs w:val="24"/>
        </w:rPr>
        <w:t>定）</w:t>
      </w:r>
      <w:r>
        <w:rPr>
          <w:rFonts w:hint="eastAsia" w:asciiTheme="minorEastAsia" w:hAnsiTheme="minorEastAsia" w:eastAsiaTheme="minorEastAsia" w:cstheme="minorEastAsia"/>
          <w:color w:val="auto"/>
          <w:sz w:val="24"/>
          <w:szCs w:val="24"/>
        </w:rPr>
        <w:t>。</w:t>
      </w:r>
    </w:p>
    <w:p>
      <w:pPr>
        <w:pStyle w:val="32"/>
        <w:numPr>
          <w:ilvl w:val="0"/>
          <w:numId w:val="42"/>
        </w:numPr>
        <w:tabs>
          <w:tab w:val="left" w:pos="1263"/>
        </w:tabs>
        <w:spacing w:line="500" w:lineRule="exact"/>
        <w:ind w:left="0"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对管顶覆土很厚的地段，考虑到管道受荷较大，为提高管</w:t>
      </w:r>
      <w:r>
        <w:rPr>
          <w:rFonts w:hint="eastAsia" w:asciiTheme="minorEastAsia" w:hAnsiTheme="minorEastAsia" w:eastAsiaTheme="minorEastAsia" w:cstheme="minorEastAsia"/>
          <w:color w:val="auto"/>
          <w:spacing w:val="-5"/>
          <w:sz w:val="24"/>
          <w:szCs w:val="24"/>
        </w:rPr>
        <w:t>道的受力性能，减小壁厚，可采用素混凝土基础。</w:t>
      </w:r>
    </w:p>
    <w:p>
      <w:pPr>
        <w:pStyle w:val="32"/>
        <w:numPr>
          <w:ilvl w:val="0"/>
          <w:numId w:val="0"/>
        </w:numPr>
        <w:tabs>
          <w:tab w:val="left" w:pos="2002"/>
        </w:tabs>
        <w:spacing w:line="500" w:lineRule="exact"/>
        <w:ind w:left="47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（5）管道的地基处理方案</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根据不同的地质资料，不同的施工现场条件，可采用不同的地基处理方式。根据管道沿线的地质情况，地基处理可采用换填法，抛石挤淤法，水泥土搅拌桩法，高压喷射注浆法、短桩处理法等。</w:t>
      </w:r>
    </w:p>
    <w:p>
      <w:pPr>
        <w:pStyle w:val="32"/>
        <w:numPr>
          <w:ilvl w:val="0"/>
          <w:numId w:val="43"/>
        </w:numPr>
        <w:tabs>
          <w:tab w:val="left" w:pos="1263"/>
        </w:tabs>
        <w:spacing w:line="500" w:lineRule="exact"/>
        <w:ind w:left="0"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换填法适用于浅层软弱地基处理。换填法是将软弱土层挖</w:t>
      </w:r>
      <w:r>
        <w:rPr>
          <w:rFonts w:hint="eastAsia" w:asciiTheme="minorEastAsia" w:hAnsiTheme="minorEastAsia" w:eastAsiaTheme="minorEastAsia" w:cstheme="minorEastAsia"/>
          <w:color w:val="auto"/>
          <w:spacing w:val="-5"/>
          <w:sz w:val="24"/>
          <w:szCs w:val="24"/>
        </w:rPr>
        <w:t>走， 换填级配砂石或碎石屑，分层压实达到要求的密实度。换填法一般适用于管道下</w:t>
      </w:r>
      <w:r>
        <w:rPr>
          <w:rFonts w:hint="eastAsia" w:asciiTheme="minorEastAsia" w:hAnsiTheme="minorEastAsia" w:eastAsiaTheme="minorEastAsia" w:cstheme="minorEastAsia"/>
          <w:color w:val="auto"/>
          <w:sz w:val="24"/>
          <w:szCs w:val="24"/>
        </w:rPr>
        <w:t>1.5</w:t>
      </w:r>
      <w:r>
        <w:rPr>
          <w:rFonts w:hint="eastAsia" w:asciiTheme="minorEastAsia" w:hAnsiTheme="minorEastAsia" w:eastAsiaTheme="minorEastAsia" w:cstheme="minorEastAsia"/>
          <w:color w:val="auto"/>
          <w:spacing w:val="-5"/>
          <w:sz w:val="24"/>
          <w:szCs w:val="24"/>
        </w:rPr>
        <w:t xml:space="preserve">米范围内有较好持力层的情况。如果换填厚度过大，一方面，换填材料造价增加，沉降难以控制。另一方面，随着开挖深度的增大，支护费用也增加。再有若场地地下水位较高开挖深度过大，当采用止水措施不足时，容易应地下水流失造成周围地陷，必然引起民房或路面开裂，由此增加额外的费用。故此，换填深度一般控制在管道以下 </w:t>
      </w:r>
      <w:r>
        <w:rPr>
          <w:rFonts w:hint="eastAsia" w:asciiTheme="minorEastAsia" w:hAnsiTheme="minorEastAsia" w:eastAsiaTheme="minorEastAsia" w:cstheme="minorEastAsia"/>
          <w:color w:val="auto"/>
          <w:sz w:val="24"/>
          <w:szCs w:val="24"/>
        </w:rPr>
        <w:t xml:space="preserve">1.5 </w:t>
      </w:r>
      <w:r>
        <w:rPr>
          <w:rFonts w:hint="eastAsia" w:asciiTheme="minorEastAsia" w:hAnsiTheme="minorEastAsia" w:eastAsiaTheme="minorEastAsia" w:cstheme="minorEastAsia"/>
          <w:color w:val="auto"/>
          <w:spacing w:val="-5"/>
          <w:sz w:val="24"/>
          <w:szCs w:val="24"/>
        </w:rPr>
        <w:t>米以内为宜。</w:t>
      </w:r>
      <w:r>
        <w:rPr>
          <w:rFonts w:hint="eastAsia" w:asciiTheme="minorEastAsia" w:hAnsiTheme="minorEastAsia" w:eastAsiaTheme="minorEastAsia" w:cstheme="minorEastAsia"/>
          <w:color w:val="auto"/>
          <w:spacing w:val="-1"/>
          <w:sz w:val="24"/>
          <w:szCs w:val="24"/>
        </w:rPr>
        <w:t>抛石挤淤法适用于浅层软弱地基处理。抛石挤淤法是依靠换填材料的自重以及其它外力诸如：压载、振动等使软弱层遭受</w:t>
      </w:r>
      <w:r>
        <w:rPr>
          <w:rFonts w:hint="eastAsia" w:asciiTheme="minorEastAsia" w:hAnsiTheme="minorEastAsia" w:eastAsiaTheme="minorEastAsia" w:cstheme="minorEastAsia"/>
          <w:color w:val="auto"/>
          <w:spacing w:val="-5"/>
          <w:sz w:val="24"/>
          <w:szCs w:val="24"/>
        </w:rPr>
        <w:t>破坏后被强制挤出而进行的换填处理，一般控制在软弱层</w:t>
      </w:r>
      <w:r>
        <w:rPr>
          <w:rFonts w:hint="eastAsia" w:asciiTheme="minorEastAsia" w:hAnsiTheme="minorEastAsia" w:eastAsiaTheme="minorEastAsia" w:cstheme="minorEastAsia"/>
          <w:color w:val="auto"/>
          <w:sz w:val="24"/>
          <w:szCs w:val="24"/>
        </w:rPr>
        <w:t>2.5</w:t>
      </w:r>
      <w:r>
        <w:rPr>
          <w:rFonts w:hint="eastAsia" w:asciiTheme="minorEastAsia" w:hAnsiTheme="minorEastAsia" w:eastAsiaTheme="minorEastAsia" w:cstheme="minorEastAsia"/>
          <w:color w:val="auto"/>
          <w:spacing w:val="7"/>
          <w:sz w:val="24"/>
          <w:szCs w:val="24"/>
        </w:rPr>
        <w:t>米</w:t>
      </w:r>
      <w:r>
        <w:rPr>
          <w:rFonts w:hint="eastAsia" w:asciiTheme="minorEastAsia" w:hAnsiTheme="minorEastAsia" w:eastAsiaTheme="minorEastAsia" w:cstheme="minorEastAsia"/>
          <w:color w:val="auto"/>
          <w:spacing w:val="6"/>
          <w:sz w:val="24"/>
          <w:szCs w:val="24"/>
        </w:rPr>
        <w:t xml:space="preserve">深度以内，抛石挤淤法克满槽挤块石，块石间用级配砂石填实， </w:t>
      </w:r>
      <w:r>
        <w:rPr>
          <w:rFonts w:hint="eastAsia" w:asciiTheme="minorEastAsia" w:hAnsiTheme="minorEastAsia" w:eastAsiaTheme="minorEastAsia" w:cstheme="minorEastAsia"/>
          <w:color w:val="auto"/>
          <w:spacing w:val="-6"/>
          <w:sz w:val="24"/>
          <w:szCs w:val="24"/>
        </w:rPr>
        <w:t>块石挤入深度不小于软土层厚度的</w:t>
      </w:r>
      <w:r>
        <w:rPr>
          <w:rFonts w:hint="eastAsia" w:asciiTheme="minorEastAsia" w:hAnsiTheme="minorEastAsia" w:eastAsiaTheme="minorEastAsia" w:cstheme="minorEastAsia"/>
          <w:color w:val="auto"/>
          <w:sz w:val="24"/>
          <w:szCs w:val="24"/>
        </w:rPr>
        <w:t>70%。</w:t>
      </w:r>
    </w:p>
    <w:p>
      <w:pPr>
        <w:pStyle w:val="32"/>
        <w:numPr>
          <w:ilvl w:val="0"/>
          <w:numId w:val="43"/>
        </w:numPr>
        <w:tabs>
          <w:tab w:val="left" w:pos="1263"/>
        </w:tabs>
        <w:spacing w:line="500" w:lineRule="exact"/>
        <w:ind w:left="0"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水泥土搅拌法的工作原理：将水泥固化剂和原地基软弱土就地搅拌混合，搅拌时不会使地基土侧挤出，对周围建筑物的影 响很小，施工时无振动、无噪音、无污染空气。但是，水泥土搅 拌桩法施工时遇到低洼处应该回填土并予以压实，不得回填杂填 土或生活垃圾。水泥土搅拌法的机具较大，所以所需的施工场地大。因为水泥土搅拌法施工较慢，而且经水泥土搅拌法处理后的 地基是复合地基，必须检验复合地基的承载力，检验复合地基载 荷试验必须在桩身强度满足荷载条件时，并在成桩28天后进行， 所需时间长。水泥土搅拌法适用于持力层较深，施工场地大，施工工期较充裕，管道下地基为正常固结的淤泥与淤泥质 土、粉土、饱和黄土、素填土、粘性土以及无流动地下水的饱和松散砂土等情况。</w:t>
      </w:r>
    </w:p>
    <w:p>
      <w:pPr>
        <w:pStyle w:val="32"/>
        <w:numPr>
          <w:ilvl w:val="0"/>
          <w:numId w:val="43"/>
        </w:numPr>
        <w:tabs>
          <w:tab w:val="left" w:pos="1263"/>
        </w:tabs>
        <w:spacing w:line="500" w:lineRule="exact"/>
        <w:ind w:left="0" w:firstLine="468"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3"/>
          <w:sz w:val="24"/>
          <w:szCs w:val="24"/>
        </w:rPr>
        <w:t>高压喷射注浆法与水泥土搅拌法的工作原理类似，但高压喷射注浆法，采用水泥浆是高压喷射，使用于处理淤泥。淤泥质土、流塑、软塑或可塑粘性土、粉土、砂土、黄土、素填土和碎石土等地基。在高压喷射注浆法中，因为高压喷射机具小，可以</w:t>
      </w:r>
      <w:r>
        <w:rPr>
          <w:rFonts w:hint="eastAsia" w:asciiTheme="minorEastAsia" w:hAnsiTheme="minorEastAsia" w:eastAsiaTheme="minorEastAsia" w:cstheme="minorEastAsia"/>
          <w:color w:val="auto"/>
          <w:spacing w:val="-5"/>
          <w:sz w:val="24"/>
          <w:szCs w:val="24"/>
        </w:rPr>
        <w:t>在施工场地狭窄的地方使用。但高压喷射注浆法的费用大，每延米所需费用相当于同一桩径的水泥土搅拌桩的4倍左右。所以一般在软土层≥5米且施工场地狭窄，空间矮小，无法使用水泥土搅拌桩法的情况下使用。</w:t>
      </w:r>
    </w:p>
    <w:p>
      <w:pPr>
        <w:pStyle w:val="32"/>
        <w:numPr>
          <w:ilvl w:val="0"/>
          <w:numId w:val="43"/>
        </w:numPr>
        <w:tabs>
          <w:tab w:val="left" w:pos="1263"/>
        </w:tabs>
        <w:spacing w:line="500" w:lineRule="exact"/>
        <w:ind w:left="0"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短桩处理法是利用桩与桩间土共同作用形成复合地基，对</w:t>
      </w:r>
      <w:r>
        <w:rPr>
          <w:rFonts w:hint="eastAsia" w:asciiTheme="minorEastAsia" w:hAnsiTheme="minorEastAsia" w:eastAsiaTheme="minorEastAsia" w:cstheme="minorEastAsia"/>
          <w:color w:val="auto"/>
          <w:spacing w:val="-5"/>
          <w:sz w:val="24"/>
          <w:szCs w:val="24"/>
        </w:rPr>
        <w:t>管道下的地基进行处理。桩一般采用钢筋混凝土预制桩，桩长约3~10</w:t>
      </w:r>
      <w:r>
        <w:rPr>
          <w:rFonts w:hint="eastAsia" w:asciiTheme="minorEastAsia" w:hAnsiTheme="minorEastAsia" w:eastAsiaTheme="minorEastAsia" w:cstheme="minorEastAsia"/>
          <w:color w:val="auto"/>
          <w:spacing w:val="-7"/>
          <w:sz w:val="24"/>
          <w:szCs w:val="24"/>
        </w:rPr>
        <w:t xml:space="preserve">米，桩的边长或直径 </w:t>
      </w:r>
      <w:r>
        <w:rPr>
          <w:rFonts w:hint="eastAsia" w:asciiTheme="minorEastAsia" w:hAnsiTheme="minorEastAsia" w:eastAsiaTheme="minorEastAsia" w:cstheme="minorEastAsia"/>
          <w:color w:val="auto"/>
          <w:sz w:val="24"/>
          <w:szCs w:val="24"/>
        </w:rPr>
        <w:t>0.2~0.45</w:t>
      </w:r>
      <w:r>
        <w:rPr>
          <w:rFonts w:hint="eastAsia" w:asciiTheme="minorEastAsia" w:hAnsiTheme="minorEastAsia" w:eastAsiaTheme="minorEastAsia" w:cstheme="minorEastAsia"/>
          <w:color w:val="auto"/>
          <w:spacing w:val="-5"/>
          <w:sz w:val="24"/>
          <w:szCs w:val="24"/>
        </w:rPr>
        <w:t>米。短桩处理与其他方法相比，加工制作周期较短，沉桩效率高，所需要的施工场地小。</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根据以上分析，管道基础的设计主要是地基处理问题，必须根据管材、土质情况、施工场地。施工工期，对地面交通影响，选择不同的地基处理方法。当管道落于淤泥、较软弱的淤泥质等土层时，可根据管基下软土层的厚度，分别采取以下处理措施：</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当管基下软土层较薄时（不大于1.5米），可采用换填法处理地基；</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当管基下软土层大于1.5米，小于等于2.0米时，可采用抛石挤淤法处理地基。</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当管基下软土层较厚时，可对管基以下一定深度范围内的软土采用水泥土搅拌桩或高压旋喷桩处理。</w:t>
      </w:r>
    </w:p>
    <w:p>
      <w:pPr>
        <w:pStyle w:val="11"/>
        <w:rPr>
          <w:color w:val="auto"/>
        </w:rPr>
      </w:pPr>
    </w:p>
    <w:p>
      <w:pPr>
        <w:pStyle w:val="32"/>
        <w:numPr>
          <w:ilvl w:val="0"/>
          <w:numId w:val="0"/>
        </w:numPr>
        <w:tabs>
          <w:tab w:val="left" w:pos="1402"/>
        </w:tabs>
        <w:spacing w:line="500" w:lineRule="exact"/>
        <w:ind w:left="47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（6）沟槽回填与压实</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管道施工完毕并经检验合格后，沟槽应及时回填。水压试验前，除接口外，管道两侧及管顶以上回填高度不应小于0.5m；水压试验合格后，应及时回填其余部分。</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管道沟槽回填应符合下列规定：</w:t>
      </w:r>
    </w:p>
    <w:p>
      <w:pPr>
        <w:pStyle w:val="10"/>
        <w:spacing w:line="500" w:lineRule="exact"/>
        <w:ind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沟槽内砖、石、木块等杂物清除干净；</w:t>
      </w:r>
    </w:p>
    <w:p>
      <w:pPr>
        <w:pStyle w:val="32"/>
        <w:numPr>
          <w:ilvl w:val="0"/>
          <w:numId w:val="44"/>
        </w:numPr>
        <w:tabs>
          <w:tab w:val="left" w:pos="1263"/>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沟槽内不得有积水；</w:t>
      </w:r>
    </w:p>
    <w:p>
      <w:pPr>
        <w:pStyle w:val="32"/>
        <w:numPr>
          <w:ilvl w:val="0"/>
          <w:numId w:val="44"/>
        </w:numPr>
        <w:tabs>
          <w:tab w:val="left" w:pos="1263"/>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保持降排水系统正常运行，不得带水回填；</w:t>
      </w:r>
    </w:p>
    <w:p>
      <w:pPr>
        <w:pStyle w:val="32"/>
        <w:numPr>
          <w:ilvl w:val="0"/>
          <w:numId w:val="44"/>
        </w:numPr>
        <w:tabs>
          <w:tab w:val="left" w:pos="1263"/>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管道两侧及管顶以上</w:t>
      </w:r>
      <w:r>
        <w:rPr>
          <w:rFonts w:hint="eastAsia" w:asciiTheme="minorEastAsia" w:hAnsiTheme="minorEastAsia" w:eastAsiaTheme="minorEastAsia" w:cstheme="minorEastAsia"/>
          <w:color w:val="auto"/>
          <w:sz w:val="24"/>
          <w:szCs w:val="24"/>
        </w:rPr>
        <w:t>0.5m</w:t>
      </w:r>
      <w:r>
        <w:rPr>
          <w:rFonts w:hint="eastAsia" w:asciiTheme="minorEastAsia" w:hAnsiTheme="minorEastAsia" w:eastAsiaTheme="minorEastAsia" w:cstheme="minorEastAsia"/>
          <w:color w:val="auto"/>
          <w:spacing w:val="-6"/>
          <w:sz w:val="24"/>
          <w:szCs w:val="24"/>
        </w:rPr>
        <w:t>内的回填土，不得含有碎石、</w:t>
      </w:r>
      <w:r>
        <w:rPr>
          <w:rFonts w:hint="eastAsia" w:asciiTheme="minorEastAsia" w:hAnsiTheme="minorEastAsia" w:eastAsiaTheme="minorEastAsia" w:cstheme="minorEastAsia"/>
          <w:color w:val="auto"/>
          <w:spacing w:val="-5"/>
          <w:sz w:val="24"/>
          <w:szCs w:val="24"/>
        </w:rPr>
        <w:t>砖块、及其它杂硬物体；</w:t>
      </w:r>
    </w:p>
    <w:p>
      <w:pPr>
        <w:pStyle w:val="32"/>
        <w:numPr>
          <w:ilvl w:val="0"/>
          <w:numId w:val="44"/>
        </w:numPr>
        <w:tabs>
          <w:tab w:val="left" w:pos="1263"/>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 xml:space="preserve">回填土应分层夯实，一次回填高度 </w:t>
      </w:r>
      <w:r>
        <w:rPr>
          <w:rFonts w:hint="eastAsia" w:asciiTheme="minorEastAsia" w:hAnsiTheme="minorEastAsia" w:eastAsiaTheme="minorEastAsia" w:cstheme="minorEastAsia"/>
          <w:color w:val="auto"/>
          <w:sz w:val="24"/>
          <w:szCs w:val="24"/>
        </w:rPr>
        <w:t>0.2～0.25m</w:t>
      </w:r>
      <w:r>
        <w:rPr>
          <w:rFonts w:hint="eastAsia" w:asciiTheme="minorEastAsia" w:hAnsiTheme="minorEastAsia" w:eastAsiaTheme="minorEastAsia" w:cstheme="minorEastAsia"/>
          <w:color w:val="auto"/>
          <w:spacing w:val="-3"/>
          <w:sz w:val="24"/>
          <w:szCs w:val="24"/>
        </w:rPr>
        <w:t>，先用细</w:t>
      </w:r>
      <w:r>
        <w:rPr>
          <w:rFonts w:hint="eastAsia" w:asciiTheme="minorEastAsia" w:hAnsiTheme="minorEastAsia" w:eastAsiaTheme="minorEastAsia" w:cstheme="minorEastAsia"/>
          <w:color w:val="auto"/>
          <w:spacing w:val="-4"/>
          <w:sz w:val="24"/>
          <w:szCs w:val="24"/>
        </w:rPr>
        <w:t>砂或细土回填管道两侧，人工夯实后再回填到管顶以上</w:t>
      </w:r>
      <w:r>
        <w:rPr>
          <w:rFonts w:hint="eastAsia" w:asciiTheme="minorEastAsia" w:hAnsiTheme="minorEastAsia" w:eastAsiaTheme="minorEastAsia" w:cstheme="minorEastAsia"/>
          <w:color w:val="auto"/>
          <w:sz w:val="24"/>
          <w:szCs w:val="24"/>
        </w:rPr>
        <w:t>0.5m</w:t>
      </w:r>
      <w:r>
        <w:rPr>
          <w:rFonts w:hint="eastAsia" w:asciiTheme="minorEastAsia" w:hAnsiTheme="minorEastAsia" w:eastAsiaTheme="minorEastAsia" w:cstheme="minorEastAsia"/>
          <w:color w:val="auto"/>
          <w:spacing w:val="-5"/>
          <w:sz w:val="24"/>
          <w:szCs w:val="24"/>
        </w:rPr>
        <w:t>处，沟槽的支撑在保证施工安全的情况下，按回填顺序依次拆除，拆除竖板后，以砂土填实缝隙；</w:t>
      </w:r>
    </w:p>
    <w:p>
      <w:pPr>
        <w:pStyle w:val="32"/>
        <w:numPr>
          <w:ilvl w:val="0"/>
          <w:numId w:val="44"/>
        </w:numPr>
        <w:tabs>
          <w:tab w:val="left" w:pos="1263"/>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在管道试压前，管顶以上回填高度不小于</w:t>
      </w:r>
      <w:r>
        <w:rPr>
          <w:rFonts w:hint="eastAsia" w:asciiTheme="minorEastAsia" w:hAnsiTheme="minorEastAsia" w:eastAsiaTheme="minorEastAsia" w:cstheme="minorEastAsia"/>
          <w:color w:val="auto"/>
          <w:sz w:val="24"/>
          <w:szCs w:val="24"/>
        </w:rPr>
        <w:t>0.5m</w:t>
      </w:r>
      <w:r>
        <w:rPr>
          <w:rFonts w:hint="eastAsia" w:asciiTheme="minorEastAsia" w:hAnsiTheme="minorEastAsia" w:eastAsiaTheme="minorEastAsia" w:cstheme="minorEastAsia"/>
          <w:color w:val="auto"/>
          <w:spacing w:val="-5"/>
          <w:sz w:val="24"/>
          <w:szCs w:val="24"/>
        </w:rPr>
        <w:t>，管道接</w:t>
      </w:r>
      <w:r>
        <w:rPr>
          <w:rFonts w:hint="eastAsia" w:asciiTheme="minorEastAsia" w:hAnsiTheme="minorEastAsia" w:eastAsiaTheme="minorEastAsia" w:cstheme="minorEastAsia"/>
          <w:color w:val="auto"/>
          <w:spacing w:val="-27"/>
          <w:sz w:val="24"/>
          <w:szCs w:val="24"/>
        </w:rPr>
        <w:t xml:space="preserve">头处 </w:t>
      </w:r>
      <w:r>
        <w:rPr>
          <w:rFonts w:hint="eastAsia" w:asciiTheme="minorEastAsia" w:hAnsiTheme="minorEastAsia" w:eastAsiaTheme="minorEastAsia" w:cstheme="minorEastAsia"/>
          <w:color w:val="auto"/>
          <w:sz w:val="24"/>
          <w:szCs w:val="24"/>
        </w:rPr>
        <w:t>0.2m</w:t>
      </w:r>
      <w:r>
        <w:rPr>
          <w:rFonts w:hint="eastAsia" w:asciiTheme="minorEastAsia" w:hAnsiTheme="minorEastAsia" w:eastAsiaTheme="minorEastAsia" w:cstheme="minorEastAsia"/>
          <w:color w:val="auto"/>
          <w:spacing w:val="-5"/>
          <w:sz w:val="24"/>
          <w:szCs w:val="24"/>
        </w:rPr>
        <w:t xml:space="preserve"> 范围内不可回填，以便观察试压时事故情况；</w:t>
      </w:r>
    </w:p>
    <w:p>
      <w:pPr>
        <w:pStyle w:val="32"/>
        <w:numPr>
          <w:ilvl w:val="1"/>
          <w:numId w:val="45"/>
        </w:numPr>
        <w:tabs>
          <w:tab w:val="left" w:pos="1400"/>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管道试压合格后的大面积回填，在管道内充满水的情况下进行。管道敷设后不能长时间处于空管状态。管顶</w:t>
      </w:r>
      <w:r>
        <w:rPr>
          <w:rFonts w:hint="eastAsia" w:asciiTheme="minorEastAsia" w:hAnsiTheme="minorEastAsia" w:eastAsiaTheme="minorEastAsia" w:cstheme="minorEastAsia"/>
          <w:color w:val="auto"/>
          <w:sz w:val="24"/>
          <w:szCs w:val="24"/>
        </w:rPr>
        <w:t>0.5m</w:t>
      </w:r>
      <w:r>
        <w:rPr>
          <w:rFonts w:hint="eastAsia" w:asciiTheme="minorEastAsia" w:hAnsiTheme="minorEastAsia" w:eastAsiaTheme="minorEastAsia" w:cstheme="minorEastAsia"/>
          <w:color w:val="auto"/>
          <w:spacing w:val="2"/>
          <w:sz w:val="24"/>
          <w:szCs w:val="24"/>
        </w:rPr>
        <w:t>以上</w:t>
      </w:r>
      <w:r>
        <w:rPr>
          <w:rFonts w:hint="eastAsia" w:asciiTheme="minorEastAsia" w:hAnsiTheme="minorEastAsia" w:eastAsiaTheme="minorEastAsia" w:cstheme="minorEastAsia"/>
          <w:color w:val="auto"/>
          <w:spacing w:val="-5"/>
          <w:sz w:val="24"/>
          <w:szCs w:val="24"/>
        </w:rPr>
        <w:t xml:space="preserve">部分的回填土内允许有少量直径不大于 </w:t>
      </w:r>
      <w:r>
        <w:rPr>
          <w:rFonts w:hint="eastAsia" w:asciiTheme="minorEastAsia" w:hAnsiTheme="minorEastAsia" w:eastAsiaTheme="minorEastAsia" w:cstheme="minorEastAsia"/>
          <w:color w:val="auto"/>
          <w:sz w:val="24"/>
          <w:szCs w:val="24"/>
        </w:rPr>
        <w:t>0.1m</w:t>
      </w:r>
      <w:r>
        <w:rPr>
          <w:rFonts w:hint="eastAsia" w:asciiTheme="minorEastAsia" w:hAnsiTheme="minorEastAsia" w:eastAsiaTheme="minorEastAsia" w:cstheme="minorEastAsia"/>
          <w:color w:val="auto"/>
          <w:spacing w:val="-3"/>
          <w:sz w:val="24"/>
          <w:szCs w:val="24"/>
        </w:rPr>
        <w:t>的石块。采用机械</w:t>
      </w:r>
      <w:r>
        <w:rPr>
          <w:rFonts w:hint="eastAsia" w:asciiTheme="minorEastAsia" w:hAnsiTheme="minorEastAsia" w:eastAsiaTheme="minorEastAsia" w:cstheme="minorEastAsia"/>
          <w:color w:val="auto"/>
          <w:spacing w:val="-5"/>
          <w:sz w:val="24"/>
          <w:szCs w:val="24"/>
        </w:rPr>
        <w:t>回填土时，要从管的两侧同时回填，机械不得在管道上方行驶；</w:t>
      </w:r>
    </w:p>
    <w:p>
      <w:pPr>
        <w:pStyle w:val="32"/>
        <w:numPr>
          <w:ilvl w:val="1"/>
          <w:numId w:val="45"/>
        </w:numPr>
        <w:tabs>
          <w:tab w:val="left" w:pos="1400"/>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回填土的压实要求，从控制管道的变形、提高管道的承</w:t>
      </w:r>
      <w:r>
        <w:rPr>
          <w:rFonts w:hint="eastAsia" w:asciiTheme="minorEastAsia" w:hAnsiTheme="minorEastAsia" w:eastAsiaTheme="minorEastAsia" w:cstheme="minorEastAsia"/>
          <w:color w:val="auto"/>
          <w:spacing w:val="-6"/>
          <w:sz w:val="24"/>
          <w:szCs w:val="24"/>
        </w:rPr>
        <w:t>载力等因素考虑。回填土地分层检查密度，沟槽各部位的密度满</w:t>
      </w:r>
      <w:r>
        <w:rPr>
          <w:rFonts w:hint="eastAsia" w:asciiTheme="minorEastAsia" w:hAnsiTheme="minorEastAsia" w:eastAsiaTheme="minorEastAsia" w:cstheme="minorEastAsia"/>
          <w:color w:val="auto"/>
          <w:spacing w:val="-5"/>
          <w:sz w:val="24"/>
          <w:szCs w:val="24"/>
        </w:rPr>
        <w:t>足下列要求：</w:t>
      </w:r>
    </w:p>
    <w:p>
      <w:pPr>
        <w:pStyle w:val="32"/>
        <w:numPr>
          <w:ilvl w:val="1"/>
          <w:numId w:val="45"/>
        </w:numPr>
        <w:tabs>
          <w:tab w:val="left" w:pos="1400"/>
        </w:tabs>
        <w:spacing w:line="500" w:lineRule="exact"/>
        <w:ind w:left="0" w:firstLine="46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4"/>
          <w:sz w:val="24"/>
          <w:szCs w:val="24"/>
        </w:rPr>
        <w:t>胸腔填土</w:t>
      </w:r>
      <w:r>
        <w:rPr>
          <w:rFonts w:hint="eastAsia" w:asciiTheme="minorEastAsia" w:hAnsiTheme="minorEastAsia" w:eastAsiaTheme="minorEastAsia" w:cstheme="minorEastAsia"/>
          <w:color w:val="auto"/>
          <w:sz w:val="24"/>
          <w:szCs w:val="24"/>
        </w:rPr>
        <w:t>95%；</w:t>
      </w:r>
    </w:p>
    <w:p>
      <w:pPr>
        <w:pStyle w:val="32"/>
        <w:numPr>
          <w:ilvl w:val="1"/>
          <w:numId w:val="45"/>
        </w:numPr>
        <w:tabs>
          <w:tab w:val="left" w:pos="1400"/>
        </w:tabs>
        <w:spacing w:line="500" w:lineRule="exact"/>
        <w:ind w:left="0" w:firstLine="46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4"/>
          <w:sz w:val="24"/>
          <w:szCs w:val="24"/>
        </w:rPr>
        <w:t>管顶以上</w:t>
      </w:r>
      <w:r>
        <w:rPr>
          <w:rFonts w:hint="eastAsia" w:asciiTheme="minorEastAsia" w:hAnsiTheme="minorEastAsia" w:eastAsiaTheme="minorEastAsia" w:cstheme="minorEastAsia"/>
          <w:color w:val="auto"/>
          <w:sz w:val="24"/>
          <w:szCs w:val="24"/>
        </w:rPr>
        <w:t>0.5m</w:t>
      </w:r>
      <w:r>
        <w:rPr>
          <w:rFonts w:hint="eastAsia" w:asciiTheme="minorEastAsia" w:hAnsiTheme="minorEastAsia" w:eastAsiaTheme="minorEastAsia" w:cstheme="minorEastAsia"/>
          <w:color w:val="auto"/>
          <w:spacing w:val="-3"/>
          <w:sz w:val="24"/>
          <w:szCs w:val="24"/>
        </w:rPr>
        <w:t>范围内</w:t>
      </w:r>
      <w:r>
        <w:rPr>
          <w:rFonts w:hint="eastAsia" w:asciiTheme="minorEastAsia" w:hAnsiTheme="minorEastAsia" w:eastAsiaTheme="minorEastAsia" w:cstheme="minorEastAsia"/>
          <w:color w:val="auto"/>
          <w:sz w:val="24"/>
          <w:szCs w:val="24"/>
        </w:rPr>
        <w:t>90%；</w:t>
      </w:r>
    </w:p>
    <w:p>
      <w:pPr>
        <w:pStyle w:val="32"/>
        <w:numPr>
          <w:ilvl w:val="1"/>
          <w:numId w:val="45"/>
        </w:numPr>
        <w:tabs>
          <w:tab w:val="left" w:pos="1400"/>
        </w:tabs>
        <w:spacing w:line="500" w:lineRule="exact"/>
        <w:ind w:left="0" w:firstLine="472"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2"/>
          <w:sz w:val="24"/>
          <w:szCs w:val="24"/>
        </w:rPr>
        <w:t>管顶</w:t>
      </w:r>
      <w:r>
        <w:rPr>
          <w:rFonts w:hint="eastAsia" w:asciiTheme="minorEastAsia" w:hAnsiTheme="minorEastAsia" w:eastAsiaTheme="minorEastAsia" w:cstheme="minorEastAsia"/>
          <w:color w:val="auto"/>
          <w:sz w:val="24"/>
          <w:szCs w:val="24"/>
        </w:rPr>
        <w:t>0.5m</w:t>
      </w:r>
      <w:r>
        <w:rPr>
          <w:rFonts w:hint="eastAsia" w:asciiTheme="minorEastAsia" w:hAnsiTheme="minorEastAsia" w:eastAsiaTheme="minorEastAsia" w:cstheme="minorEastAsia"/>
          <w:color w:val="auto"/>
          <w:spacing w:val="-6"/>
          <w:sz w:val="24"/>
          <w:szCs w:val="24"/>
        </w:rPr>
        <w:t>以上至地面范围内的沟槽</w:t>
      </w:r>
      <w:r>
        <w:rPr>
          <w:rFonts w:hint="eastAsia" w:asciiTheme="minorEastAsia" w:hAnsiTheme="minorEastAsia" w:eastAsiaTheme="minorEastAsia" w:cstheme="minorEastAsia"/>
          <w:color w:val="auto"/>
          <w:sz w:val="24"/>
          <w:szCs w:val="24"/>
        </w:rPr>
        <w:t>90%。</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井室、雨水口及其他附属构筑物周围回填应符合下列规定：</w:t>
      </w:r>
      <w:r>
        <w:rPr>
          <w:rFonts w:hint="eastAsia" w:asciiTheme="minorEastAsia" w:hAnsiTheme="minorEastAsia" w:eastAsiaTheme="minorEastAsia" w:cstheme="minorEastAsia"/>
          <w:color w:val="auto"/>
          <w:spacing w:val="-6"/>
          <w:sz w:val="24"/>
          <w:szCs w:val="24"/>
        </w:rPr>
        <w:t>井室周围的回填，应与管道沟槽回填同时进行；不便同</w:t>
      </w:r>
      <w:r>
        <w:rPr>
          <w:rFonts w:hint="eastAsia" w:asciiTheme="minorEastAsia" w:hAnsiTheme="minorEastAsia" w:eastAsiaTheme="minorEastAsia" w:cstheme="minorEastAsia"/>
          <w:color w:val="auto"/>
          <w:spacing w:val="-5"/>
          <w:sz w:val="24"/>
          <w:szCs w:val="24"/>
        </w:rPr>
        <w:t>时进行时，应留台阶形接茬；</w:t>
      </w:r>
    </w:p>
    <w:p>
      <w:pPr>
        <w:pStyle w:val="32"/>
        <w:numPr>
          <w:ilvl w:val="1"/>
          <w:numId w:val="45"/>
        </w:numPr>
        <w:tabs>
          <w:tab w:val="left" w:pos="1400"/>
        </w:tabs>
        <w:spacing w:line="500" w:lineRule="exact"/>
        <w:ind w:left="0"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井室周围回填压实时应沿井室中心对称进行，且不得漏夯；</w:t>
      </w:r>
    </w:p>
    <w:p>
      <w:pPr>
        <w:pStyle w:val="32"/>
        <w:numPr>
          <w:ilvl w:val="1"/>
          <w:numId w:val="45"/>
        </w:numPr>
        <w:tabs>
          <w:tab w:val="left" w:pos="1400"/>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回填材料压实后应与井壁紧贴；</w:t>
      </w:r>
    </w:p>
    <w:p>
      <w:pPr>
        <w:pStyle w:val="32"/>
        <w:numPr>
          <w:ilvl w:val="1"/>
          <w:numId w:val="45"/>
        </w:numPr>
        <w:tabs>
          <w:tab w:val="left" w:pos="1400"/>
        </w:tabs>
        <w:spacing w:line="500" w:lineRule="exact"/>
        <w:ind w:left="0"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路面范围内的井室周围，应采用石灰土、砂、砂砾等材料回填，其回填宽度不宜小于</w:t>
      </w:r>
      <w:r>
        <w:rPr>
          <w:rFonts w:hint="eastAsia" w:asciiTheme="minorEastAsia" w:hAnsiTheme="minorEastAsia" w:eastAsiaTheme="minorEastAsia" w:cstheme="minorEastAsia"/>
          <w:color w:val="auto"/>
          <w:sz w:val="24"/>
          <w:szCs w:val="24"/>
        </w:rPr>
        <w:t>400mm；</w:t>
      </w:r>
    </w:p>
    <w:p>
      <w:pPr>
        <w:pStyle w:val="32"/>
        <w:numPr>
          <w:ilvl w:val="1"/>
          <w:numId w:val="45"/>
        </w:numPr>
        <w:tabs>
          <w:tab w:val="left" w:pos="1400"/>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严禁在槽壁取土回填。</w:t>
      </w:r>
    </w:p>
    <w:p>
      <w:pPr>
        <w:pStyle w:val="32"/>
        <w:numPr>
          <w:ilvl w:val="0"/>
          <w:numId w:val="44"/>
        </w:numPr>
        <w:tabs>
          <w:tab w:val="left" w:pos="1263"/>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采用土回填时，应符合下列规定：</w:t>
      </w:r>
    </w:p>
    <w:p>
      <w:pPr>
        <w:pStyle w:val="32"/>
        <w:numPr>
          <w:ilvl w:val="1"/>
          <w:numId w:val="45"/>
        </w:numPr>
        <w:tabs>
          <w:tab w:val="left" w:pos="1400"/>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回填时应先填实管底，再同时回填管道两侧，然后回填</w:t>
      </w:r>
      <w:r>
        <w:rPr>
          <w:rFonts w:hint="eastAsia" w:asciiTheme="minorEastAsia" w:hAnsiTheme="minorEastAsia" w:eastAsiaTheme="minorEastAsia" w:cstheme="minorEastAsia"/>
          <w:color w:val="auto"/>
          <w:spacing w:val="1"/>
          <w:sz w:val="24"/>
          <w:szCs w:val="24"/>
        </w:rPr>
        <w:t>至管顶</w:t>
      </w:r>
      <w:r>
        <w:rPr>
          <w:rFonts w:hint="eastAsia" w:asciiTheme="minorEastAsia" w:hAnsiTheme="minorEastAsia" w:eastAsiaTheme="minorEastAsia" w:cstheme="minorEastAsia"/>
          <w:color w:val="auto"/>
          <w:sz w:val="24"/>
          <w:szCs w:val="24"/>
        </w:rPr>
        <w:t>0.5m</w:t>
      </w:r>
      <w:r>
        <w:rPr>
          <w:rFonts w:hint="eastAsia" w:asciiTheme="minorEastAsia" w:hAnsiTheme="minorEastAsia" w:eastAsiaTheme="minorEastAsia" w:cstheme="minorEastAsia"/>
          <w:color w:val="auto"/>
          <w:spacing w:val="-6"/>
          <w:sz w:val="24"/>
          <w:szCs w:val="24"/>
        </w:rPr>
        <w:t>处。沟内有积水时，必须全部排尽后，再行回填。</w:t>
      </w:r>
    </w:p>
    <w:p>
      <w:pPr>
        <w:pStyle w:val="32"/>
        <w:numPr>
          <w:ilvl w:val="1"/>
          <w:numId w:val="45"/>
        </w:numPr>
        <w:tabs>
          <w:tab w:val="left" w:pos="1400"/>
        </w:tabs>
        <w:spacing w:line="500" w:lineRule="exact"/>
        <w:ind w:left="0" w:firstLine="48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
          <w:sz w:val="24"/>
          <w:szCs w:val="24"/>
        </w:rPr>
        <w:t>管道两侧及管顶以上</w:t>
      </w:r>
      <w:r>
        <w:rPr>
          <w:rFonts w:hint="eastAsia" w:asciiTheme="minorEastAsia" w:hAnsiTheme="minorEastAsia" w:eastAsiaTheme="minorEastAsia" w:cstheme="minorEastAsia"/>
          <w:color w:val="auto"/>
          <w:sz w:val="24"/>
          <w:szCs w:val="24"/>
        </w:rPr>
        <w:t>0.5m内的回填土，不得含有碎石、</w:t>
      </w:r>
      <w:r>
        <w:rPr>
          <w:rFonts w:hint="eastAsia" w:asciiTheme="minorEastAsia" w:hAnsiTheme="minorEastAsia" w:eastAsiaTheme="minorEastAsia" w:cstheme="minorEastAsia"/>
          <w:color w:val="auto"/>
          <w:spacing w:val="-5"/>
          <w:sz w:val="24"/>
          <w:szCs w:val="24"/>
        </w:rPr>
        <w:t>砖块、垃圾等杂物。距离管顶</w:t>
      </w:r>
      <w:r>
        <w:rPr>
          <w:rFonts w:hint="eastAsia" w:asciiTheme="minorEastAsia" w:hAnsiTheme="minorEastAsia" w:eastAsiaTheme="minorEastAsia" w:cstheme="minorEastAsia"/>
          <w:color w:val="auto"/>
          <w:sz w:val="24"/>
          <w:szCs w:val="24"/>
        </w:rPr>
        <w:t>0.5m</w:t>
      </w:r>
      <w:r>
        <w:rPr>
          <w:rFonts w:hint="eastAsia" w:asciiTheme="minorEastAsia" w:hAnsiTheme="minorEastAsia" w:eastAsiaTheme="minorEastAsia" w:cstheme="minorEastAsia"/>
          <w:color w:val="auto"/>
          <w:spacing w:val="-4"/>
          <w:sz w:val="24"/>
          <w:szCs w:val="24"/>
        </w:rPr>
        <w:t>以上的回填土内允许有少量</w:t>
      </w:r>
      <w:r>
        <w:rPr>
          <w:rFonts w:hint="eastAsia" w:asciiTheme="minorEastAsia" w:hAnsiTheme="minorEastAsia" w:eastAsiaTheme="minorEastAsia" w:cstheme="minorEastAsia"/>
          <w:color w:val="auto"/>
          <w:spacing w:val="-5"/>
          <w:sz w:val="24"/>
          <w:szCs w:val="24"/>
        </w:rPr>
        <w:t>直径不大于</w:t>
      </w:r>
      <w:r>
        <w:rPr>
          <w:rFonts w:hint="eastAsia" w:asciiTheme="minorEastAsia" w:hAnsiTheme="minorEastAsia" w:eastAsiaTheme="minorEastAsia" w:cstheme="minorEastAsia"/>
          <w:color w:val="auto"/>
          <w:sz w:val="24"/>
          <w:szCs w:val="24"/>
        </w:rPr>
        <w:t>0.1m</w:t>
      </w:r>
      <w:r>
        <w:rPr>
          <w:rFonts w:hint="eastAsia" w:asciiTheme="minorEastAsia" w:hAnsiTheme="minorEastAsia" w:eastAsiaTheme="minorEastAsia" w:cstheme="minorEastAsia"/>
          <w:color w:val="auto"/>
          <w:spacing w:val="-5"/>
          <w:sz w:val="24"/>
          <w:szCs w:val="24"/>
        </w:rPr>
        <w:t>的石块，其数量不得超过填土总体积的</w:t>
      </w:r>
      <w:r>
        <w:rPr>
          <w:rFonts w:hint="eastAsia" w:asciiTheme="minorEastAsia" w:hAnsiTheme="minorEastAsia" w:eastAsiaTheme="minorEastAsia" w:cstheme="minorEastAsia"/>
          <w:color w:val="auto"/>
          <w:sz w:val="24"/>
          <w:szCs w:val="24"/>
        </w:rPr>
        <w:t>15%。</w:t>
      </w:r>
    </w:p>
    <w:p>
      <w:pPr>
        <w:pStyle w:val="32"/>
        <w:numPr>
          <w:ilvl w:val="1"/>
          <w:numId w:val="45"/>
        </w:numPr>
        <w:tabs>
          <w:tab w:val="left" w:pos="1400"/>
        </w:tabs>
        <w:spacing w:line="500" w:lineRule="exact"/>
        <w:ind w:left="0"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回填土的含水量，宜按土类和采用的压实工具控制在最</w:t>
      </w:r>
      <w:r>
        <w:rPr>
          <w:rFonts w:hint="eastAsia" w:asciiTheme="minorEastAsia" w:hAnsiTheme="minorEastAsia" w:eastAsiaTheme="minorEastAsia" w:cstheme="minorEastAsia"/>
          <w:color w:val="auto"/>
          <w:spacing w:val="-4"/>
          <w:sz w:val="24"/>
          <w:szCs w:val="24"/>
        </w:rPr>
        <w:t>佳含水率±</w:t>
      </w:r>
      <w:r>
        <w:rPr>
          <w:rFonts w:hint="eastAsia" w:asciiTheme="minorEastAsia" w:hAnsiTheme="minorEastAsia" w:eastAsiaTheme="minorEastAsia" w:cstheme="minorEastAsia"/>
          <w:color w:val="auto"/>
          <w:sz w:val="24"/>
          <w:szCs w:val="24"/>
        </w:rPr>
        <w:t>2</w:t>
      </w:r>
      <w:r>
        <w:rPr>
          <w:rFonts w:hint="eastAsia" w:asciiTheme="minorEastAsia" w:hAnsiTheme="minorEastAsia" w:eastAsiaTheme="minorEastAsia" w:cstheme="minorEastAsia"/>
          <w:color w:val="auto"/>
          <w:spacing w:val="-3"/>
          <w:sz w:val="24"/>
          <w:szCs w:val="24"/>
        </w:rPr>
        <w:t xml:space="preserve"> ％范围内；</w:t>
      </w:r>
    </w:p>
    <w:p>
      <w:pPr>
        <w:pStyle w:val="32"/>
        <w:numPr>
          <w:ilvl w:val="1"/>
          <w:numId w:val="45"/>
        </w:numPr>
        <w:tabs>
          <w:tab w:val="left" w:pos="1400"/>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当原槽开挖土为含水率很高的淤泥、淤泥质土时，应首</w:t>
      </w:r>
      <w:r>
        <w:rPr>
          <w:rFonts w:hint="eastAsia" w:asciiTheme="minorEastAsia" w:hAnsiTheme="minorEastAsia" w:eastAsiaTheme="minorEastAsia" w:cstheme="minorEastAsia"/>
          <w:color w:val="auto"/>
          <w:spacing w:val="-6"/>
          <w:sz w:val="24"/>
          <w:szCs w:val="24"/>
        </w:rPr>
        <w:t>先考虑采取临近合适的开挖料进行回填，如果满足回填要求的开挖料运距过大，通过经济分析也可采取晾晒或掺入石灰粉或水泥等</w:t>
      </w:r>
      <w:r>
        <w:rPr>
          <w:rFonts w:hint="eastAsia" w:asciiTheme="minorEastAsia" w:hAnsiTheme="minorEastAsia" w:eastAsiaTheme="minorEastAsia" w:cstheme="minorEastAsia"/>
          <w:color w:val="auto"/>
          <w:spacing w:val="-5"/>
          <w:sz w:val="24"/>
          <w:szCs w:val="24"/>
        </w:rPr>
        <w:t>材料对现场开挖料进行处理后，再用于沟槽回填。</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采用石灰土、砂、砂砾等材料回填时，其质量应符合设计要求或有关标准规定。</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由于一般填土经施工压实后很难达到规范要求的压实系数， 故管槽胸腔、管顶以上0.5m范围回填料采用碎石砂或石屑回填压实，管顶0.5m 以上至地面范围内的沟槽可根据具体情况采用原状土回填（或按道路要求回填）。</w:t>
      </w:r>
    </w:p>
    <w:p>
      <w:pPr>
        <w:pStyle w:val="32"/>
        <w:numPr>
          <w:ilvl w:val="3"/>
          <w:numId w:val="28"/>
        </w:numPr>
        <w:tabs>
          <w:tab w:val="left" w:pos="154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小型附属构筑物的结构设计</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管线上的附属构筑物主要有管道检修阀门井、排气阀井、排泥井、截流井、顶管工作井及接收井等。根据地质情况、管道大小、埋深等本工程检修阀门井、排气阀井、排泥井采用砌体结构井。顶管工作井、接收井采用钢筋混凝土结构。</w:t>
      </w:r>
    </w:p>
    <w:p>
      <w:pPr>
        <w:pStyle w:val="32"/>
        <w:numPr>
          <w:ilvl w:val="3"/>
          <w:numId w:val="28"/>
        </w:numPr>
        <w:tabs>
          <w:tab w:val="left" w:pos="154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污水管道埋设</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污水管埋设位置有两个方案可以考虑：一是沿街道绿化带下面结合原有排水渠进行铺设，二是开挖道路中间铺设。新开挖道路中间铺设要拆迁大量的建筑物，开挖量较大，较难实施。</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由于在开挖道路中间铺设的缺点和存在问题较多，本方案推荐传统的做法，污水管渠沿街道绿化带并结合原有排水管渠进行铺设。结合镇区道路建设改造，埋设污水管。污水管设在绿化带下，具体位置需与规划部门协商。</w:t>
      </w:r>
    </w:p>
    <w:p>
      <w:pPr>
        <w:pStyle w:val="32"/>
        <w:numPr>
          <w:ilvl w:val="3"/>
          <w:numId w:val="28"/>
        </w:numPr>
        <w:tabs>
          <w:tab w:val="left" w:pos="154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施工方法</w:t>
      </w:r>
    </w:p>
    <w:p>
      <w:pPr>
        <w:pStyle w:val="32"/>
        <w:numPr>
          <w:ilvl w:val="0"/>
          <w:numId w:val="46"/>
        </w:numPr>
        <w:tabs>
          <w:tab w:val="left" w:pos="1683"/>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管道敷设施工方法的确定原则</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管道的施工方法主要根据地质情况、地下水位、开挖深度、场地条件并结合工期造价综合考虑确定。一般当地质条件较好、</w:t>
      </w:r>
      <w:r>
        <w:rPr>
          <w:rFonts w:hint="eastAsia" w:asciiTheme="minorEastAsia" w:hAnsiTheme="minorEastAsia" w:eastAsiaTheme="minorEastAsia" w:cstheme="minorEastAsia"/>
          <w:color w:val="auto"/>
          <w:spacing w:val="-6"/>
          <w:sz w:val="24"/>
          <w:szCs w:val="24"/>
        </w:rPr>
        <w:t>地下水位不高、开挖深度不大、周边场地开阔，可采用明挖施工法。当管道埋深较深、地下水位高、施工场地受限时可采用顶管</w:t>
      </w:r>
      <w:r>
        <w:rPr>
          <w:rFonts w:hint="eastAsia" w:asciiTheme="minorEastAsia" w:hAnsiTheme="minorEastAsia" w:eastAsiaTheme="minorEastAsia" w:cstheme="minorEastAsia"/>
          <w:color w:val="auto"/>
          <w:spacing w:val="-5"/>
          <w:sz w:val="24"/>
          <w:szCs w:val="24"/>
        </w:rPr>
        <w:t>法、拖管法</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pacing w:val="-5"/>
          <w:sz w:val="24"/>
          <w:szCs w:val="24"/>
        </w:rPr>
        <w:t>水平定向钻牵引管</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pacing w:val="-5"/>
          <w:sz w:val="24"/>
          <w:szCs w:val="24"/>
        </w:rPr>
        <w:t xml:space="preserve">施工。当管道须穿越水深较 </w:t>
      </w:r>
      <w:r>
        <w:rPr>
          <w:rFonts w:hint="eastAsia" w:asciiTheme="minorEastAsia" w:hAnsiTheme="minorEastAsia" w:eastAsiaTheme="minorEastAsia" w:cstheme="minorEastAsia"/>
          <w:color w:val="auto"/>
          <w:spacing w:val="-6"/>
          <w:sz w:val="24"/>
          <w:szCs w:val="24"/>
        </w:rPr>
        <w:t>深、地质条件复杂、围堰条件困难有通航要求的河涌时可采用顶</w:t>
      </w:r>
      <w:r>
        <w:rPr>
          <w:rFonts w:hint="eastAsia" w:asciiTheme="minorEastAsia" w:hAnsiTheme="minorEastAsia" w:eastAsiaTheme="minorEastAsia" w:cstheme="minorEastAsia"/>
          <w:color w:val="auto"/>
          <w:spacing w:val="-5"/>
          <w:sz w:val="24"/>
          <w:szCs w:val="24"/>
        </w:rPr>
        <w:t>管、拖管施工、沉管施工、架空法。</w:t>
      </w:r>
    </w:p>
    <w:p>
      <w:pPr>
        <w:pStyle w:val="32"/>
        <w:numPr>
          <w:ilvl w:val="0"/>
          <w:numId w:val="46"/>
        </w:numPr>
        <w:tabs>
          <w:tab w:val="left" w:pos="1683"/>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明挖施工</w:t>
      </w:r>
    </w:p>
    <w:p>
      <w:pPr>
        <w:pStyle w:val="10"/>
        <w:spacing w:line="500" w:lineRule="exact"/>
        <w:ind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污水管道埋深一般较深，工程的沟槽开挖深度较大。当产地允许时可采用放坡开挖。使用开挖设备与机械在土层中按照设计边坡进行开挖，沟槽内积水采取抽排的方式处理，对基坑抽干后可能导致边坡失稳的情况，采取基坑外井点降水方案解决。本方案的优点是施工速度快，投资最省。缺点是占地宽度较大对基坑抽水和降水方式可能引起附近建筑地下水位降低过多，邻近建筑物发生较大沉降。若开挖土层为强透水性土层</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pacing w:val="-3"/>
          <w:sz w:val="24"/>
          <w:szCs w:val="24"/>
        </w:rPr>
        <w:t>砂层）</w:t>
      </w:r>
      <w:r>
        <w:rPr>
          <w:rFonts w:hint="eastAsia" w:asciiTheme="minorEastAsia" w:hAnsiTheme="minorEastAsia" w:eastAsiaTheme="minorEastAsia" w:cstheme="minorEastAsia"/>
          <w:color w:val="auto"/>
          <w:spacing w:val="-6"/>
          <w:sz w:val="24"/>
          <w:szCs w:val="24"/>
        </w:rPr>
        <w:t xml:space="preserve">条件下， </w:t>
      </w:r>
      <w:r>
        <w:rPr>
          <w:rFonts w:hint="eastAsia" w:asciiTheme="minorEastAsia" w:hAnsiTheme="minorEastAsia" w:eastAsiaTheme="minorEastAsia" w:cstheme="minorEastAsia"/>
          <w:color w:val="auto"/>
          <w:spacing w:val="-5"/>
          <w:sz w:val="24"/>
          <w:szCs w:val="24"/>
        </w:rPr>
        <w:t>侧向和底部止水问题难以解决。所以对力学指标低的一般性土层放坡占地面积大，及遇到强透水性土层时均不采用放坡开挖方</w:t>
      </w:r>
      <w:r>
        <w:rPr>
          <w:rFonts w:hint="eastAsia" w:asciiTheme="minorEastAsia" w:hAnsiTheme="minorEastAsia" w:eastAsiaTheme="minorEastAsia" w:cstheme="minorEastAsia"/>
          <w:color w:val="auto"/>
          <w:spacing w:val="-3"/>
          <w:sz w:val="24"/>
          <w:szCs w:val="24"/>
        </w:rPr>
        <w:t>式。</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管道基本沿城市道路敷设，沿线经济发达，不允许过大的开挖面积。最为常用的开挖方式为支护开挖。支护开挖可采用型钢或拉森钢板桩支护方案。型钢及拉森钢板桩支护具有快速施工的特点，可以快速打入土体，打入后即可开挖。采用边开挖边设支撑的方式，满足支 护稳定要求。同时由于为垂直开挖方式，占地较小。而在当地软土开 挖中钢板桩（型钢）被广泛采用，施工工艺成熟，施工经验丰富，施 工设备常用。当沟槽开挖较浅且地下水位埋深较深时可采用型钢支护。当沟槽开挖较深且地下水位较高时采用拉森钢板桩进行支护开挖。拉 森钢板桩为密扣结构，在正常使用范围内钢板桩连接处通过卷边相扣， 若在缝内填充油脂等材料，可以达到较好的密封效果。以常用的拉森Ⅳ型号钢板桩支护开挖可以满足有沟槽的施工深度要求，在沟槽深度为5.5米时钢板桩的长度为9米，属于常用的钢板桩规格。钢板桩侧向止水性好，可以部分代替搅拌桩止水帷幕，缺点是</w:t>
      </w:r>
      <w:r>
        <w:rPr>
          <w:rFonts w:hint="eastAsia" w:asciiTheme="minorEastAsia" w:hAnsiTheme="minorEastAsia" w:eastAsiaTheme="minorEastAsia" w:cstheme="minorEastAsia"/>
          <w:color w:val="auto"/>
          <w:spacing w:val="-3"/>
          <w:sz w:val="24"/>
          <w:szCs w:val="24"/>
        </w:rPr>
        <w:t>施</w:t>
      </w:r>
      <w:r>
        <w:rPr>
          <w:rFonts w:hint="eastAsia" w:asciiTheme="minorEastAsia" w:hAnsiTheme="minorEastAsia" w:eastAsiaTheme="minorEastAsia" w:cstheme="minorEastAsia"/>
          <w:color w:val="auto"/>
          <w:sz w:val="24"/>
          <w:szCs w:val="24"/>
        </w:rPr>
        <w:t>工打</w:t>
      </w:r>
      <w:r>
        <w:rPr>
          <w:rFonts w:hint="eastAsia" w:asciiTheme="minorEastAsia" w:hAnsiTheme="minorEastAsia" w:eastAsiaTheme="minorEastAsia" w:cstheme="minorEastAsia"/>
          <w:color w:val="auto"/>
          <w:spacing w:val="-3"/>
          <w:sz w:val="24"/>
          <w:szCs w:val="24"/>
        </w:rPr>
        <w:t>入</w:t>
      </w:r>
      <w:r>
        <w:rPr>
          <w:rFonts w:hint="eastAsia" w:asciiTheme="minorEastAsia" w:hAnsiTheme="minorEastAsia" w:eastAsiaTheme="minorEastAsia" w:cstheme="minorEastAsia"/>
          <w:color w:val="auto"/>
          <w:sz w:val="24"/>
          <w:szCs w:val="24"/>
        </w:rPr>
        <w:t>设备要求</w:t>
      </w:r>
      <w:r>
        <w:rPr>
          <w:rFonts w:hint="eastAsia" w:asciiTheme="minorEastAsia" w:hAnsiTheme="minorEastAsia" w:eastAsiaTheme="minorEastAsia" w:cstheme="minorEastAsia"/>
          <w:color w:val="auto"/>
          <w:spacing w:val="-3"/>
          <w:sz w:val="24"/>
          <w:szCs w:val="24"/>
        </w:rPr>
        <w:t>大</w:t>
      </w:r>
      <w:r>
        <w:rPr>
          <w:rFonts w:hint="eastAsia" w:asciiTheme="minorEastAsia" w:hAnsiTheme="minorEastAsia" w:eastAsiaTheme="minorEastAsia" w:cstheme="minorEastAsia"/>
          <w:color w:val="auto"/>
          <w:sz w:val="24"/>
          <w:szCs w:val="24"/>
        </w:rPr>
        <w:t>，同</w:t>
      </w:r>
      <w:r>
        <w:rPr>
          <w:rFonts w:hint="eastAsia" w:asciiTheme="minorEastAsia" w:hAnsiTheme="minorEastAsia" w:eastAsiaTheme="minorEastAsia" w:cstheme="minorEastAsia"/>
          <w:color w:val="auto"/>
          <w:spacing w:val="-3"/>
          <w:sz w:val="24"/>
          <w:szCs w:val="24"/>
        </w:rPr>
        <w:t>时</w:t>
      </w:r>
      <w:r>
        <w:rPr>
          <w:rFonts w:hint="eastAsia" w:asciiTheme="minorEastAsia" w:hAnsiTheme="minorEastAsia" w:eastAsiaTheme="minorEastAsia" w:cstheme="minorEastAsia"/>
          <w:color w:val="auto"/>
          <w:sz w:val="24"/>
          <w:szCs w:val="24"/>
        </w:rPr>
        <w:t>与放</w:t>
      </w:r>
      <w:r>
        <w:rPr>
          <w:rFonts w:hint="eastAsia" w:asciiTheme="minorEastAsia" w:hAnsiTheme="minorEastAsia" w:eastAsiaTheme="minorEastAsia" w:cstheme="minorEastAsia"/>
          <w:color w:val="auto"/>
          <w:spacing w:val="-3"/>
          <w:sz w:val="24"/>
          <w:szCs w:val="24"/>
        </w:rPr>
        <w:t>坡</w:t>
      </w:r>
      <w:r>
        <w:rPr>
          <w:rFonts w:hint="eastAsia" w:asciiTheme="minorEastAsia" w:hAnsiTheme="minorEastAsia" w:eastAsiaTheme="minorEastAsia" w:cstheme="minorEastAsia"/>
          <w:color w:val="auto"/>
          <w:sz w:val="24"/>
          <w:szCs w:val="24"/>
        </w:rPr>
        <w:t>方案</w:t>
      </w:r>
      <w:r>
        <w:rPr>
          <w:rFonts w:hint="eastAsia" w:asciiTheme="minorEastAsia" w:hAnsiTheme="minorEastAsia" w:eastAsiaTheme="minorEastAsia" w:cstheme="minorEastAsia"/>
          <w:color w:val="auto"/>
          <w:spacing w:val="-3"/>
          <w:sz w:val="24"/>
          <w:szCs w:val="24"/>
        </w:rPr>
        <w:t>比</w:t>
      </w:r>
      <w:r>
        <w:rPr>
          <w:rFonts w:hint="eastAsia" w:asciiTheme="minorEastAsia" w:hAnsiTheme="minorEastAsia" w:eastAsiaTheme="minorEastAsia" w:cstheme="minorEastAsia"/>
          <w:color w:val="auto"/>
          <w:sz w:val="24"/>
          <w:szCs w:val="24"/>
        </w:rPr>
        <w:t>较，</w:t>
      </w:r>
      <w:r>
        <w:rPr>
          <w:rFonts w:hint="eastAsia" w:asciiTheme="minorEastAsia" w:hAnsiTheme="minorEastAsia" w:eastAsiaTheme="minorEastAsia" w:cstheme="minorEastAsia"/>
          <w:color w:val="auto"/>
          <w:spacing w:val="-3"/>
          <w:sz w:val="24"/>
          <w:szCs w:val="24"/>
        </w:rPr>
        <w:t>投</w:t>
      </w:r>
      <w:r>
        <w:rPr>
          <w:rFonts w:hint="eastAsia" w:asciiTheme="minorEastAsia" w:hAnsiTheme="minorEastAsia" w:eastAsiaTheme="minorEastAsia" w:cstheme="minorEastAsia"/>
          <w:color w:val="auto"/>
          <w:sz w:val="24"/>
          <w:szCs w:val="24"/>
        </w:rPr>
        <w:t>资相</w:t>
      </w:r>
      <w:r>
        <w:rPr>
          <w:rFonts w:hint="eastAsia" w:asciiTheme="minorEastAsia" w:hAnsiTheme="minorEastAsia" w:eastAsiaTheme="minorEastAsia" w:cstheme="minorEastAsia"/>
          <w:color w:val="auto"/>
          <w:spacing w:val="-3"/>
          <w:sz w:val="24"/>
          <w:szCs w:val="24"/>
        </w:rPr>
        <w:t>对</w:t>
      </w:r>
      <w:r>
        <w:rPr>
          <w:rFonts w:hint="eastAsia" w:asciiTheme="minorEastAsia" w:hAnsiTheme="minorEastAsia" w:eastAsiaTheme="minorEastAsia" w:cstheme="minorEastAsia"/>
          <w:color w:val="auto"/>
          <w:sz w:val="24"/>
          <w:szCs w:val="24"/>
        </w:rPr>
        <w:t>较大。</w:t>
      </w:r>
    </w:p>
    <w:p>
      <w:pPr>
        <w:pStyle w:val="32"/>
        <w:numPr>
          <w:ilvl w:val="0"/>
          <w:numId w:val="46"/>
        </w:numPr>
        <w:tabs>
          <w:tab w:val="left" w:pos="1683"/>
        </w:tabs>
        <w:spacing w:line="500" w:lineRule="exact"/>
        <w:ind w:left="0" w:firstLine="472"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2"/>
          <w:sz w:val="24"/>
          <w:szCs w:val="24"/>
        </w:rPr>
        <w:t>顶管</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当管道埋深较深，或受场地、交通等条件限制而不能采用开槽施工时，可采用顶管施工法进行管道敷设。按顶管管道的口径大小可分为小口径、中口径、大口径三种。小口径顶管是指管径小于φ800mm的顶管，中口径顶管是指管径800mm≤φ＜ 1800mm 的口径范围的管道顶管，大口径顶管是指管径大于或等于φ1800mm的顶管。</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小口径顶管。小口径顶管施工一般采用二次顶管工艺。二次顶管法一般适用于在松软土质的地质条件下敷设管道。二次顶管工艺是通过小口径顶管机先进行导管顶进，导管到达接收井后导管传接出泥管更换顶进，出泥管到达接收井后传接机头和管材继续顶进，当机头到达接收井，管道成形。二次顶管工法施工速度快，精度高与传统的开挖铺设管道相比有明显的环保和经济优势。</w:t>
      </w:r>
    </w:p>
    <w:p>
      <w:pPr>
        <w:pStyle w:val="10"/>
        <w:spacing w:line="500" w:lineRule="exact"/>
        <w:ind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中口径顶管在工作坑内借助于顶进设备产生的顶力，克服管</w:t>
      </w:r>
      <w:r>
        <w:rPr>
          <w:rFonts w:hint="eastAsia" w:asciiTheme="minorEastAsia" w:hAnsiTheme="minorEastAsia" w:eastAsiaTheme="minorEastAsia" w:cstheme="minorEastAsia"/>
          <w:color w:val="auto"/>
          <w:spacing w:val="-5"/>
          <w:sz w:val="24"/>
          <w:szCs w:val="24"/>
        </w:rPr>
        <w:t>道与周围土壤的摩擦力，将管道按设计的坡度顶入土中，并将土方运走。一节管子完成顶入土层之后，再下第二节管子继续顶 进。其原理是借助于主顶油缸及管道间、中继间等推力，把工具管或掘进机从工作坑内穿过土层一直推进到接收坑内吊起。管道紧随工具管或掘进机后，埋设在两坑之间。顶管施工的工法很多，选择工法的原则是要求该工法同时具有适应性、安全性和经济性。从设备的造价来看手掘式最低、土压平衡式次之、泥水平衡</w:t>
      </w:r>
      <w:r>
        <w:rPr>
          <w:rFonts w:hint="eastAsia" w:asciiTheme="minorEastAsia" w:hAnsiTheme="minorEastAsia" w:eastAsiaTheme="minorEastAsia" w:cstheme="minorEastAsia"/>
          <w:color w:val="auto"/>
          <w:spacing w:val="-3"/>
          <w:sz w:val="24"/>
          <w:szCs w:val="24"/>
        </w:rPr>
        <w:t>式</w:t>
      </w:r>
      <w:r>
        <w:rPr>
          <w:rFonts w:hint="eastAsia" w:asciiTheme="minorEastAsia" w:hAnsiTheme="minorEastAsia" w:eastAsiaTheme="minorEastAsia" w:cstheme="minorEastAsia"/>
          <w:color w:val="auto"/>
          <w:spacing w:val="-5"/>
          <w:sz w:val="24"/>
          <w:szCs w:val="24"/>
        </w:rPr>
        <w:t>最</w:t>
      </w:r>
      <w:r>
        <w:rPr>
          <w:rFonts w:hint="eastAsia" w:asciiTheme="minorEastAsia" w:hAnsiTheme="minorEastAsia" w:eastAsiaTheme="minorEastAsia" w:cstheme="minorEastAsia"/>
          <w:color w:val="auto"/>
          <w:spacing w:val="-3"/>
          <w:sz w:val="24"/>
          <w:szCs w:val="24"/>
        </w:rPr>
        <w:t>高</w:t>
      </w:r>
      <w:r>
        <w:rPr>
          <w:rFonts w:hint="eastAsia" w:asciiTheme="minorEastAsia" w:hAnsiTheme="minorEastAsia" w:eastAsiaTheme="minorEastAsia" w:cstheme="minorEastAsia"/>
          <w:color w:val="auto"/>
          <w:spacing w:val="-5"/>
          <w:sz w:val="24"/>
          <w:szCs w:val="24"/>
        </w:rPr>
        <w:t>。施</w:t>
      </w:r>
      <w:r>
        <w:rPr>
          <w:rFonts w:hint="eastAsia" w:asciiTheme="minorEastAsia" w:hAnsiTheme="minorEastAsia" w:eastAsiaTheme="minorEastAsia" w:cstheme="minorEastAsia"/>
          <w:color w:val="auto"/>
          <w:spacing w:val="-3"/>
          <w:sz w:val="24"/>
          <w:szCs w:val="24"/>
        </w:rPr>
        <w:t>工</w:t>
      </w:r>
      <w:r>
        <w:rPr>
          <w:rFonts w:hint="eastAsia" w:asciiTheme="minorEastAsia" w:hAnsiTheme="minorEastAsia" w:eastAsiaTheme="minorEastAsia" w:cstheme="minorEastAsia"/>
          <w:color w:val="auto"/>
          <w:spacing w:val="-5"/>
          <w:sz w:val="24"/>
          <w:szCs w:val="24"/>
        </w:rPr>
        <w:t>进</w:t>
      </w:r>
      <w:r>
        <w:rPr>
          <w:rFonts w:hint="eastAsia" w:asciiTheme="minorEastAsia" w:hAnsiTheme="minorEastAsia" w:eastAsiaTheme="minorEastAsia" w:cstheme="minorEastAsia"/>
          <w:color w:val="auto"/>
          <w:spacing w:val="-3"/>
          <w:sz w:val="24"/>
          <w:szCs w:val="24"/>
        </w:rPr>
        <w:t>度</w:t>
      </w:r>
      <w:r>
        <w:rPr>
          <w:rFonts w:hint="eastAsia" w:asciiTheme="minorEastAsia" w:hAnsiTheme="minorEastAsia" w:eastAsiaTheme="minorEastAsia" w:cstheme="minorEastAsia"/>
          <w:color w:val="auto"/>
          <w:spacing w:val="-5"/>
          <w:sz w:val="24"/>
          <w:szCs w:val="24"/>
        </w:rPr>
        <w:t>方</w:t>
      </w:r>
      <w:r>
        <w:rPr>
          <w:rFonts w:hint="eastAsia" w:asciiTheme="minorEastAsia" w:hAnsiTheme="minorEastAsia" w:eastAsiaTheme="minorEastAsia" w:cstheme="minorEastAsia"/>
          <w:color w:val="auto"/>
          <w:spacing w:val="-3"/>
          <w:sz w:val="24"/>
          <w:szCs w:val="24"/>
        </w:rPr>
        <w:t>面</w:t>
      </w:r>
      <w:r>
        <w:rPr>
          <w:rFonts w:hint="eastAsia" w:asciiTheme="minorEastAsia" w:hAnsiTheme="minorEastAsia" w:eastAsiaTheme="minorEastAsia" w:cstheme="minorEastAsia"/>
          <w:color w:val="auto"/>
          <w:spacing w:val="-5"/>
          <w:sz w:val="24"/>
          <w:szCs w:val="24"/>
        </w:rPr>
        <w:t>，泥</w:t>
      </w:r>
      <w:r>
        <w:rPr>
          <w:rFonts w:hint="eastAsia" w:asciiTheme="minorEastAsia" w:hAnsiTheme="minorEastAsia" w:eastAsiaTheme="minorEastAsia" w:cstheme="minorEastAsia"/>
          <w:color w:val="auto"/>
          <w:spacing w:val="-3"/>
          <w:sz w:val="24"/>
          <w:szCs w:val="24"/>
        </w:rPr>
        <w:t>水</w:t>
      </w:r>
      <w:r>
        <w:rPr>
          <w:rFonts w:hint="eastAsia" w:asciiTheme="minorEastAsia" w:hAnsiTheme="minorEastAsia" w:eastAsiaTheme="minorEastAsia" w:cstheme="minorEastAsia"/>
          <w:color w:val="auto"/>
          <w:spacing w:val="-5"/>
          <w:sz w:val="24"/>
          <w:szCs w:val="24"/>
        </w:rPr>
        <w:t>平</w:t>
      </w:r>
      <w:r>
        <w:rPr>
          <w:rFonts w:hint="eastAsia" w:asciiTheme="minorEastAsia" w:hAnsiTheme="minorEastAsia" w:eastAsiaTheme="minorEastAsia" w:cstheme="minorEastAsia"/>
          <w:color w:val="auto"/>
          <w:spacing w:val="-3"/>
          <w:sz w:val="24"/>
          <w:szCs w:val="24"/>
        </w:rPr>
        <w:t>衡</w:t>
      </w:r>
      <w:r>
        <w:rPr>
          <w:rFonts w:hint="eastAsia" w:asciiTheme="minorEastAsia" w:hAnsiTheme="minorEastAsia" w:eastAsiaTheme="minorEastAsia" w:cstheme="minorEastAsia"/>
          <w:color w:val="auto"/>
          <w:spacing w:val="-5"/>
          <w:sz w:val="24"/>
          <w:szCs w:val="24"/>
        </w:rPr>
        <w:t>式最</w:t>
      </w:r>
      <w:r>
        <w:rPr>
          <w:rFonts w:hint="eastAsia" w:asciiTheme="minorEastAsia" w:hAnsiTheme="minorEastAsia" w:eastAsiaTheme="minorEastAsia" w:cstheme="minorEastAsia"/>
          <w:color w:val="auto"/>
          <w:spacing w:val="-3"/>
          <w:sz w:val="24"/>
          <w:szCs w:val="24"/>
        </w:rPr>
        <w:t>高</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pacing w:val="-5"/>
          <w:sz w:val="24"/>
          <w:szCs w:val="24"/>
        </w:rPr>
        <w:t>土</w:t>
      </w:r>
      <w:r>
        <w:rPr>
          <w:rFonts w:hint="eastAsia" w:asciiTheme="minorEastAsia" w:hAnsiTheme="minorEastAsia" w:eastAsiaTheme="minorEastAsia" w:cstheme="minorEastAsia"/>
          <w:color w:val="auto"/>
          <w:spacing w:val="-3"/>
          <w:sz w:val="24"/>
          <w:szCs w:val="24"/>
        </w:rPr>
        <w:t>压</w:t>
      </w:r>
      <w:r>
        <w:rPr>
          <w:rFonts w:hint="eastAsia" w:asciiTheme="minorEastAsia" w:hAnsiTheme="minorEastAsia" w:eastAsiaTheme="minorEastAsia" w:cstheme="minorEastAsia"/>
          <w:color w:val="auto"/>
          <w:spacing w:val="-5"/>
          <w:sz w:val="24"/>
          <w:szCs w:val="24"/>
        </w:rPr>
        <w:t>平</w:t>
      </w:r>
      <w:r>
        <w:rPr>
          <w:rFonts w:hint="eastAsia" w:asciiTheme="minorEastAsia" w:hAnsiTheme="minorEastAsia" w:eastAsiaTheme="minorEastAsia" w:cstheme="minorEastAsia"/>
          <w:color w:val="auto"/>
          <w:spacing w:val="-3"/>
          <w:sz w:val="24"/>
          <w:szCs w:val="24"/>
        </w:rPr>
        <w:t>衡</w:t>
      </w:r>
      <w:r>
        <w:rPr>
          <w:rFonts w:hint="eastAsia" w:asciiTheme="minorEastAsia" w:hAnsiTheme="minorEastAsia" w:eastAsiaTheme="minorEastAsia" w:cstheme="minorEastAsia"/>
          <w:color w:val="auto"/>
          <w:spacing w:val="-5"/>
          <w:sz w:val="24"/>
          <w:szCs w:val="24"/>
        </w:rPr>
        <w:t>式次</w:t>
      </w:r>
      <w:r>
        <w:rPr>
          <w:rFonts w:hint="eastAsia" w:asciiTheme="minorEastAsia" w:hAnsiTheme="minorEastAsia" w:eastAsiaTheme="minorEastAsia" w:cstheme="minorEastAsia"/>
          <w:color w:val="auto"/>
          <w:spacing w:val="-3"/>
          <w:sz w:val="24"/>
          <w:szCs w:val="24"/>
        </w:rPr>
        <w:t>之</w:t>
      </w:r>
      <w:r>
        <w:rPr>
          <w:rFonts w:hint="eastAsia" w:asciiTheme="minorEastAsia" w:hAnsiTheme="minorEastAsia" w:eastAsiaTheme="minorEastAsia" w:cstheme="minorEastAsia"/>
          <w:color w:val="auto"/>
          <w:spacing w:val="-16"/>
          <w:sz w:val="24"/>
          <w:szCs w:val="24"/>
        </w:rPr>
        <w:t>，</w:t>
      </w:r>
      <w:r>
        <w:rPr>
          <w:rFonts w:hint="eastAsia" w:asciiTheme="minorEastAsia" w:hAnsiTheme="minorEastAsia" w:eastAsiaTheme="minorEastAsia" w:cstheme="minorEastAsia"/>
          <w:color w:val="auto"/>
          <w:spacing w:val="-5"/>
          <w:sz w:val="24"/>
          <w:szCs w:val="24"/>
        </w:rPr>
        <w:t>手</w:t>
      </w:r>
      <w:r>
        <w:rPr>
          <w:rFonts w:hint="eastAsia" w:asciiTheme="minorEastAsia" w:hAnsiTheme="minorEastAsia" w:eastAsiaTheme="minorEastAsia" w:cstheme="minorEastAsia"/>
          <w:color w:val="auto"/>
          <w:spacing w:val="-3"/>
          <w:sz w:val="24"/>
          <w:szCs w:val="24"/>
        </w:rPr>
        <w:t>掘</w:t>
      </w:r>
      <w:r>
        <w:rPr>
          <w:rFonts w:hint="eastAsia" w:asciiTheme="minorEastAsia" w:hAnsiTheme="minorEastAsia" w:eastAsiaTheme="minorEastAsia" w:cstheme="minorEastAsia"/>
          <w:color w:val="auto"/>
          <w:spacing w:val="-5"/>
          <w:sz w:val="24"/>
          <w:szCs w:val="24"/>
        </w:rPr>
        <w:t>式</w:t>
      </w:r>
      <w:r>
        <w:rPr>
          <w:rFonts w:hint="eastAsia" w:asciiTheme="minorEastAsia" w:hAnsiTheme="minorEastAsia" w:eastAsiaTheme="minorEastAsia" w:cstheme="minorEastAsia"/>
          <w:color w:val="auto"/>
          <w:spacing w:val="-3"/>
          <w:sz w:val="24"/>
          <w:szCs w:val="24"/>
        </w:rPr>
        <w:t>最</w:t>
      </w:r>
      <w:r>
        <w:rPr>
          <w:rFonts w:hint="eastAsia" w:asciiTheme="minorEastAsia" w:hAnsiTheme="minorEastAsia" w:eastAsiaTheme="minorEastAsia" w:cstheme="minorEastAsia"/>
          <w:color w:val="auto"/>
          <w:spacing w:val="-5"/>
          <w:sz w:val="24"/>
          <w:szCs w:val="24"/>
        </w:rPr>
        <w:t>低。</w:t>
      </w:r>
      <w:r>
        <w:rPr>
          <w:rFonts w:hint="eastAsia" w:asciiTheme="minorEastAsia" w:hAnsiTheme="minorEastAsia" w:eastAsiaTheme="minorEastAsia" w:cstheme="minorEastAsia"/>
          <w:color w:val="auto"/>
          <w:spacing w:val="-3"/>
          <w:sz w:val="24"/>
          <w:szCs w:val="24"/>
        </w:rPr>
        <w:t>泥</w:t>
      </w:r>
      <w:r>
        <w:rPr>
          <w:rFonts w:hint="eastAsia" w:asciiTheme="minorEastAsia" w:hAnsiTheme="minorEastAsia" w:eastAsiaTheme="minorEastAsia" w:cstheme="minorEastAsia"/>
          <w:color w:val="auto"/>
          <w:spacing w:val="-5"/>
          <w:sz w:val="24"/>
          <w:szCs w:val="24"/>
        </w:rPr>
        <w:t>水</w:t>
      </w:r>
      <w:r>
        <w:rPr>
          <w:rFonts w:hint="eastAsia" w:asciiTheme="minorEastAsia" w:hAnsiTheme="minorEastAsia" w:eastAsiaTheme="minorEastAsia" w:cstheme="minorEastAsia"/>
          <w:color w:val="auto"/>
          <w:spacing w:val="-3"/>
          <w:sz w:val="24"/>
          <w:szCs w:val="24"/>
        </w:rPr>
        <w:t>平</w:t>
      </w:r>
      <w:r>
        <w:rPr>
          <w:rFonts w:hint="eastAsia" w:asciiTheme="minorEastAsia" w:hAnsiTheme="minorEastAsia" w:eastAsiaTheme="minorEastAsia" w:cstheme="minorEastAsia"/>
          <w:color w:val="auto"/>
          <w:spacing w:val="-5"/>
          <w:sz w:val="24"/>
          <w:szCs w:val="24"/>
        </w:rPr>
        <w:t>衡</w:t>
      </w:r>
      <w:r>
        <w:rPr>
          <w:rFonts w:hint="eastAsia" w:asciiTheme="minorEastAsia" w:hAnsiTheme="minorEastAsia" w:eastAsiaTheme="minorEastAsia" w:cstheme="minorEastAsia"/>
          <w:color w:val="auto"/>
          <w:spacing w:val="-3"/>
          <w:sz w:val="24"/>
          <w:szCs w:val="24"/>
        </w:rPr>
        <w:t>和</w:t>
      </w:r>
      <w:r>
        <w:rPr>
          <w:rFonts w:hint="eastAsia" w:asciiTheme="minorEastAsia" w:hAnsiTheme="minorEastAsia" w:eastAsiaTheme="minorEastAsia" w:cstheme="minorEastAsia"/>
          <w:color w:val="auto"/>
          <w:spacing w:val="-5"/>
          <w:sz w:val="24"/>
          <w:szCs w:val="24"/>
        </w:rPr>
        <w:t>土压</w:t>
      </w:r>
      <w:r>
        <w:rPr>
          <w:rFonts w:hint="eastAsia" w:asciiTheme="minorEastAsia" w:hAnsiTheme="minorEastAsia" w:eastAsiaTheme="minorEastAsia" w:cstheme="minorEastAsia"/>
          <w:color w:val="auto"/>
          <w:spacing w:val="-3"/>
          <w:sz w:val="24"/>
          <w:szCs w:val="24"/>
        </w:rPr>
        <w:t>平</w:t>
      </w:r>
      <w:r>
        <w:rPr>
          <w:rFonts w:hint="eastAsia" w:asciiTheme="minorEastAsia" w:hAnsiTheme="minorEastAsia" w:eastAsiaTheme="minorEastAsia" w:cstheme="minorEastAsia"/>
          <w:color w:val="auto"/>
          <w:spacing w:val="-5"/>
          <w:sz w:val="24"/>
          <w:szCs w:val="24"/>
        </w:rPr>
        <w:t>衡</w:t>
      </w:r>
      <w:r>
        <w:rPr>
          <w:rFonts w:hint="eastAsia" w:asciiTheme="minorEastAsia" w:hAnsiTheme="minorEastAsia" w:eastAsiaTheme="minorEastAsia" w:cstheme="minorEastAsia"/>
          <w:color w:val="auto"/>
          <w:spacing w:val="-3"/>
          <w:sz w:val="24"/>
          <w:szCs w:val="24"/>
        </w:rPr>
        <w:t>的</w:t>
      </w:r>
      <w:r>
        <w:rPr>
          <w:rFonts w:hint="eastAsia" w:asciiTheme="minorEastAsia" w:hAnsiTheme="minorEastAsia" w:eastAsiaTheme="minorEastAsia" w:cstheme="minorEastAsia"/>
          <w:color w:val="auto"/>
          <w:spacing w:val="-5"/>
          <w:sz w:val="24"/>
          <w:szCs w:val="24"/>
        </w:rPr>
        <w:t>安全</w:t>
      </w:r>
      <w:r>
        <w:rPr>
          <w:rFonts w:hint="eastAsia" w:asciiTheme="minorEastAsia" w:hAnsiTheme="minorEastAsia" w:eastAsiaTheme="minorEastAsia" w:cstheme="minorEastAsia"/>
          <w:color w:val="auto"/>
          <w:spacing w:val="-3"/>
          <w:sz w:val="24"/>
          <w:szCs w:val="24"/>
        </w:rPr>
        <w:t>性</w:t>
      </w:r>
      <w:r>
        <w:rPr>
          <w:rFonts w:hint="eastAsia" w:asciiTheme="minorEastAsia" w:hAnsiTheme="minorEastAsia" w:eastAsiaTheme="minorEastAsia" w:cstheme="minorEastAsia"/>
          <w:color w:val="auto"/>
          <w:spacing w:val="-5"/>
          <w:sz w:val="24"/>
          <w:szCs w:val="24"/>
        </w:rPr>
        <w:t>高</w:t>
      </w:r>
      <w:r>
        <w:rPr>
          <w:rFonts w:hint="eastAsia" w:asciiTheme="minorEastAsia" w:hAnsiTheme="minorEastAsia" w:eastAsiaTheme="minorEastAsia" w:cstheme="minorEastAsia"/>
          <w:color w:val="auto"/>
          <w:spacing w:val="-3"/>
          <w:sz w:val="24"/>
          <w:szCs w:val="24"/>
        </w:rPr>
        <w:t>很</w:t>
      </w:r>
      <w:r>
        <w:rPr>
          <w:rFonts w:hint="eastAsia" w:asciiTheme="minorEastAsia" w:hAnsiTheme="minorEastAsia" w:eastAsiaTheme="minorEastAsia" w:cstheme="minorEastAsia"/>
          <w:color w:val="auto"/>
          <w:spacing w:val="-5"/>
          <w:sz w:val="24"/>
          <w:szCs w:val="24"/>
        </w:rPr>
        <w:t>多</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pacing w:val="-5"/>
          <w:sz w:val="24"/>
          <w:szCs w:val="24"/>
        </w:rPr>
        <w:t>故</w:t>
      </w:r>
      <w:r>
        <w:rPr>
          <w:rFonts w:hint="eastAsia" w:asciiTheme="minorEastAsia" w:hAnsiTheme="minorEastAsia" w:eastAsiaTheme="minorEastAsia" w:cstheme="minorEastAsia"/>
          <w:color w:val="auto"/>
          <w:spacing w:val="-3"/>
          <w:sz w:val="24"/>
          <w:szCs w:val="24"/>
        </w:rPr>
        <w:t>一</w:t>
      </w:r>
      <w:r>
        <w:rPr>
          <w:rFonts w:hint="eastAsia" w:asciiTheme="minorEastAsia" w:hAnsiTheme="minorEastAsia" w:eastAsiaTheme="minorEastAsia" w:cstheme="minorEastAsia"/>
          <w:color w:val="auto"/>
          <w:spacing w:val="-5"/>
          <w:sz w:val="24"/>
          <w:szCs w:val="24"/>
        </w:rPr>
        <w:t>般</w:t>
      </w:r>
      <w:r>
        <w:rPr>
          <w:rFonts w:hint="eastAsia" w:asciiTheme="minorEastAsia" w:hAnsiTheme="minorEastAsia" w:eastAsiaTheme="minorEastAsia" w:cstheme="minorEastAsia"/>
          <w:color w:val="auto"/>
          <w:sz w:val="24"/>
          <w:szCs w:val="24"/>
        </w:rPr>
        <w:t>情</w:t>
      </w:r>
      <w:r>
        <w:rPr>
          <w:rFonts w:hint="eastAsia" w:asciiTheme="minorEastAsia" w:hAnsiTheme="minorEastAsia" w:eastAsiaTheme="minorEastAsia" w:cstheme="minorEastAsia"/>
          <w:color w:val="auto"/>
          <w:spacing w:val="-5"/>
          <w:sz w:val="24"/>
          <w:szCs w:val="24"/>
        </w:rPr>
        <w:t>况</w:t>
      </w:r>
      <w:r>
        <w:rPr>
          <w:rFonts w:hint="eastAsia" w:asciiTheme="minorEastAsia" w:hAnsiTheme="minorEastAsia" w:eastAsiaTheme="minorEastAsia" w:cstheme="minorEastAsia"/>
          <w:color w:val="auto"/>
          <w:spacing w:val="-3"/>
          <w:sz w:val="24"/>
          <w:szCs w:val="24"/>
        </w:rPr>
        <w:t>下</w:t>
      </w:r>
      <w:r>
        <w:rPr>
          <w:rFonts w:hint="eastAsia" w:asciiTheme="minorEastAsia" w:hAnsiTheme="minorEastAsia" w:eastAsiaTheme="minorEastAsia" w:cstheme="minorEastAsia"/>
          <w:color w:val="auto"/>
          <w:spacing w:val="-5"/>
          <w:sz w:val="24"/>
          <w:szCs w:val="24"/>
        </w:rPr>
        <w:t>不</w:t>
      </w:r>
      <w:r>
        <w:rPr>
          <w:rFonts w:hint="eastAsia" w:asciiTheme="minorEastAsia" w:hAnsiTheme="minorEastAsia" w:eastAsiaTheme="minorEastAsia" w:cstheme="minorEastAsia"/>
          <w:color w:val="auto"/>
          <w:spacing w:val="-3"/>
          <w:sz w:val="24"/>
          <w:szCs w:val="24"/>
        </w:rPr>
        <w:t>建</w:t>
      </w:r>
      <w:r>
        <w:rPr>
          <w:rFonts w:hint="eastAsia" w:asciiTheme="minorEastAsia" w:hAnsiTheme="minorEastAsia" w:eastAsiaTheme="minorEastAsia" w:cstheme="minorEastAsia"/>
          <w:color w:val="auto"/>
          <w:spacing w:val="-5"/>
          <w:sz w:val="24"/>
          <w:szCs w:val="24"/>
        </w:rPr>
        <w:t>议采</w:t>
      </w:r>
      <w:r>
        <w:rPr>
          <w:rFonts w:hint="eastAsia" w:asciiTheme="minorEastAsia" w:hAnsiTheme="minorEastAsia" w:eastAsiaTheme="minorEastAsia" w:cstheme="minorEastAsia"/>
          <w:color w:val="auto"/>
          <w:spacing w:val="-3"/>
          <w:sz w:val="24"/>
          <w:szCs w:val="24"/>
        </w:rPr>
        <w:t>用</w:t>
      </w:r>
      <w:r>
        <w:rPr>
          <w:rFonts w:hint="eastAsia" w:asciiTheme="minorEastAsia" w:hAnsiTheme="minorEastAsia" w:eastAsiaTheme="minorEastAsia" w:cstheme="minorEastAsia"/>
          <w:color w:val="auto"/>
          <w:spacing w:val="-5"/>
          <w:sz w:val="24"/>
          <w:szCs w:val="24"/>
        </w:rPr>
        <w:t>手</w:t>
      </w:r>
      <w:r>
        <w:rPr>
          <w:rFonts w:hint="eastAsia" w:asciiTheme="minorEastAsia" w:hAnsiTheme="minorEastAsia" w:eastAsiaTheme="minorEastAsia" w:cstheme="minorEastAsia"/>
          <w:color w:val="auto"/>
          <w:spacing w:val="-3"/>
          <w:sz w:val="24"/>
          <w:szCs w:val="24"/>
        </w:rPr>
        <w:t>掘</w:t>
      </w:r>
      <w:r>
        <w:rPr>
          <w:rFonts w:hint="eastAsia" w:asciiTheme="minorEastAsia" w:hAnsiTheme="minorEastAsia" w:eastAsiaTheme="minorEastAsia" w:cstheme="minorEastAsia"/>
          <w:color w:val="auto"/>
          <w:sz w:val="24"/>
          <w:szCs w:val="24"/>
        </w:rPr>
        <w:t>式</w:t>
      </w:r>
    </w:p>
    <w:p>
      <w:pPr>
        <w:pStyle w:val="32"/>
        <w:numPr>
          <w:ilvl w:val="0"/>
          <w:numId w:val="46"/>
        </w:numPr>
        <w:tabs>
          <w:tab w:val="left" w:pos="1683"/>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水平定向钻</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pacing w:val="-4"/>
          <w:sz w:val="24"/>
          <w:szCs w:val="24"/>
        </w:rPr>
        <w:t>拖管</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pacing w:val="-2"/>
          <w:sz w:val="24"/>
          <w:szCs w:val="24"/>
        </w:rPr>
        <w:t>施工</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水平定向钻敷设管道是在不开挖地表面的条件下利用水平定向钻机系统铺设管道的一种非开挖施工方式。其设计、施工应符合《水平定向钻法管道穿越工程技术规程》（CECS 382-2014）相关规定。</w:t>
      </w:r>
    </w:p>
    <w:p>
      <w:pPr>
        <w:pStyle w:val="32"/>
        <w:numPr>
          <w:ilvl w:val="0"/>
          <w:numId w:val="46"/>
        </w:numPr>
        <w:tabs>
          <w:tab w:val="left" w:pos="1683"/>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沉管施工</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沉管法一般用于管道穿越河流湖泊管道施工。水下沉管施工是穿越水深较深、地质条件复杂、围堰施工困难的水域的主要方法之一。沉管施工主要包括水下基槽开挖、水下管基处理、沉管制作、沉管下沉施工、沟槽回填。</w:t>
      </w:r>
    </w:p>
    <w:p>
      <w:pPr>
        <w:pStyle w:val="32"/>
        <w:numPr>
          <w:ilvl w:val="0"/>
          <w:numId w:val="46"/>
        </w:numPr>
        <w:tabs>
          <w:tab w:val="left" w:pos="1683"/>
        </w:tabs>
        <w:spacing w:line="500" w:lineRule="exact"/>
        <w:ind w:left="0" w:firstLine="472"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2"/>
          <w:sz w:val="24"/>
          <w:szCs w:val="24"/>
        </w:rPr>
        <w:t>架空法</w:t>
      </w:r>
    </w:p>
    <w:p>
      <w:pPr>
        <w:pStyle w:val="10"/>
        <w:spacing w:line="500" w:lineRule="exact"/>
        <w:ind w:firstLine="456"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6"/>
          <w:sz w:val="24"/>
          <w:szCs w:val="24"/>
        </w:rPr>
        <w:t>管道跨越河流或遇障碍物时，可按一定间距设置支墩，并合</w:t>
      </w:r>
      <w:r>
        <w:rPr>
          <w:rFonts w:hint="eastAsia" w:asciiTheme="minorEastAsia" w:hAnsiTheme="minorEastAsia" w:eastAsiaTheme="minorEastAsia" w:cstheme="minorEastAsia"/>
          <w:color w:val="auto"/>
          <w:spacing w:val="-5"/>
          <w:sz w:val="24"/>
          <w:szCs w:val="24"/>
        </w:rPr>
        <w:t>理利用钢管自身的刚度和强度，将钢管直接架设在支墩上，以满足跨越的要求。此法称为“管桥法”。架空法的优点是露天施工，不确定性因素少，施工难度小，维护方便，施工工艺成熟， 工程成功案例多。工期较顶管法短。管道的架空高度主要考虑航道部门提出的要求。由于河道宽度较大，需要在河道内设置支 墩。而支墩又会影响河道通航，必须取得航道部门的同意。同 时，对支墩之间的间距也有明确的要求，如果间距很大，则会超过钢管的跨度。</w:t>
      </w:r>
    </w:p>
    <w:p>
      <w:pPr>
        <w:pStyle w:val="2"/>
        <w:numPr>
          <w:ilvl w:val="1"/>
          <w:numId w:val="27"/>
        </w:numPr>
        <w:tabs>
          <w:tab w:val="left" w:pos="1548"/>
        </w:tabs>
        <w:spacing w:before="0" w:line="500" w:lineRule="exact"/>
        <w:ind w:left="0" w:firstLine="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污水管渠设计</w:t>
      </w:r>
      <w:bookmarkEnd w:id="94"/>
      <w:bookmarkEnd w:id="95"/>
    </w:p>
    <w:p>
      <w:pPr>
        <w:pStyle w:val="32"/>
        <w:numPr>
          <w:ilvl w:val="2"/>
          <w:numId w:val="27"/>
        </w:numPr>
        <w:tabs>
          <w:tab w:val="left" w:pos="1796"/>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规范和标准</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 xml:space="preserve">(1) 《室外排水设计规范》（GB50014-2006）（2016年版） </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(2)《给水排水设计手册·（城镇排水）》（第二版）</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(3)《城市排水工程规划规范》（GB50318-2000）</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 xml:space="preserve">(4)《给水排水管道工程施工及验收规范》（GB50268-2008） </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(5)《城镇给水排水技术规范》（GB50788-2012）</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 xml:space="preserve">(6)《城市工程管线综合规划规范》（GB 50289-2016） </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(7)《泵站设计规范》（GB50265-2010）</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 xml:space="preserve">(8)《埋地塑料排水管道工程技术规程》（CJJ143-2010） </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(9)《镇（乡）村排水工程技术规程》（CJJ124-2008）</w:t>
      </w:r>
    </w:p>
    <w:p>
      <w:pPr>
        <w:pStyle w:val="10"/>
        <w:spacing w:line="500" w:lineRule="exact"/>
        <w:ind w:firstLine="480" w:firstLineChars="200"/>
        <w:jc w:val="both"/>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w:t>
      </w:r>
      <w:r>
        <w:rPr>
          <w:rFonts w:asciiTheme="minorEastAsia" w:hAnsiTheme="minorEastAsia" w:eastAsiaTheme="minorEastAsia" w:cstheme="minorEastAsia"/>
          <w:color w:val="auto"/>
          <w:sz w:val="24"/>
          <w:szCs w:val="24"/>
        </w:rPr>
        <w:t>10</w:t>
      </w:r>
      <w:r>
        <w:rPr>
          <w:rFonts w:hint="eastAsia" w:asciiTheme="minorEastAsia" w:hAnsiTheme="minorEastAsia" w:eastAsiaTheme="minorEastAsia" w:cstheme="minorEastAsia"/>
          <w:color w:val="auto"/>
          <w:sz w:val="24"/>
          <w:szCs w:val="24"/>
        </w:rPr>
        <w:t>)《城市道路工程设计规范》(CJJ 37-2012(2016 年版))</w:t>
      </w:r>
    </w:p>
    <w:p>
      <w:pPr>
        <w:pStyle w:val="32"/>
        <w:numPr>
          <w:ilvl w:val="2"/>
          <w:numId w:val="27"/>
        </w:numPr>
        <w:tabs>
          <w:tab w:val="left" w:pos="1796"/>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农村污水收集管网设计</w:t>
      </w:r>
    </w:p>
    <w:p>
      <w:pPr>
        <w:pStyle w:val="32"/>
        <w:numPr>
          <w:ilvl w:val="3"/>
          <w:numId w:val="27"/>
        </w:numPr>
        <w:tabs>
          <w:tab w:val="left" w:pos="264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排水制度</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村庄排水制度的选择应结合当地经济发展条件、自然地理条件、居民生活习惯、原有排水设施以及污水处理和回用等因素综合考虑后确定。</w:t>
      </w:r>
    </w:p>
    <w:p>
      <w:pPr>
        <w:pStyle w:val="32"/>
        <w:numPr>
          <w:ilvl w:val="0"/>
          <w:numId w:val="47"/>
        </w:numPr>
        <w:tabs>
          <w:tab w:val="left" w:pos="1378"/>
        </w:tabs>
        <w:spacing w:line="500" w:lineRule="exact"/>
        <w:ind w:left="0"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新建村庄采用雨水和污水排水系统分开的完全分流制排水系统（见图6</w:t>
      </w:r>
      <w:r>
        <w:rPr>
          <w:rFonts w:asciiTheme="minorEastAsia" w:hAnsiTheme="minorEastAsia" w:eastAsiaTheme="minorEastAsia" w:cstheme="minorEastAsia"/>
          <w:color w:val="auto"/>
          <w:spacing w:val="-15"/>
          <w:sz w:val="24"/>
          <w:szCs w:val="24"/>
        </w:rPr>
        <w:t>.1-1</w:t>
      </w:r>
      <w:r>
        <w:rPr>
          <w:rFonts w:hint="eastAsia" w:asciiTheme="minorEastAsia" w:hAnsiTheme="minorEastAsia" w:eastAsiaTheme="minorEastAsia" w:cstheme="minorEastAsia"/>
          <w:color w:val="auto"/>
          <w:spacing w:val="-15"/>
          <w:sz w:val="24"/>
          <w:szCs w:val="24"/>
        </w:rPr>
        <w:t>（</w:t>
      </w:r>
      <w:r>
        <w:rPr>
          <w:rFonts w:hint="eastAsia" w:asciiTheme="minorEastAsia" w:hAnsiTheme="minorEastAsia" w:eastAsiaTheme="minorEastAsia" w:cstheme="minorEastAsia"/>
          <w:color w:val="auto"/>
          <w:spacing w:val="-12"/>
          <w:sz w:val="24"/>
          <w:szCs w:val="24"/>
        </w:rPr>
        <w:t>a））</w:t>
      </w:r>
      <w:r>
        <w:rPr>
          <w:rFonts w:hint="eastAsia" w:asciiTheme="minorEastAsia" w:hAnsiTheme="minorEastAsia" w:eastAsiaTheme="minorEastAsia" w:cstheme="minorEastAsia"/>
          <w:color w:val="auto"/>
          <w:spacing w:val="-6"/>
          <w:sz w:val="24"/>
          <w:szCs w:val="24"/>
        </w:rPr>
        <w:t>。</w:t>
      </w:r>
    </w:p>
    <w:p>
      <w:pPr>
        <w:pStyle w:val="32"/>
        <w:numPr>
          <w:ilvl w:val="0"/>
          <w:numId w:val="47"/>
        </w:numPr>
        <w:tabs>
          <w:tab w:val="left" w:pos="1402"/>
        </w:tabs>
        <w:spacing w:line="500" w:lineRule="exact"/>
        <w:ind w:left="0" w:firstLine="42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15"/>
          <w:sz w:val="24"/>
          <w:szCs w:val="24"/>
        </w:rPr>
        <w:t>已建有合流制排水系统的村庄，若现状合流管渠周围剩余空间宽裕可新建管</w:t>
      </w:r>
      <w:r>
        <w:rPr>
          <w:rFonts w:hint="eastAsia" w:asciiTheme="minorEastAsia" w:hAnsiTheme="minorEastAsia" w:eastAsiaTheme="minorEastAsia" w:cstheme="minorEastAsia"/>
          <w:color w:val="auto"/>
          <w:spacing w:val="-5"/>
          <w:sz w:val="24"/>
          <w:szCs w:val="24"/>
        </w:rPr>
        <w:t>渠的，或具有其他有利新建污水管道条件的， 宜优先考虑建设污水收集管道，原合流系统作为雨水系统； 若现状条件不具备新建排水管道，或现状条件不利于新建污水收集管道的，宜改造原合流系统为污水系统，雨水自然排放或新建雨水系统。即可改造为完全分流制、不完全分流制（见</w:t>
      </w:r>
      <w:r>
        <w:rPr>
          <w:rFonts w:hint="eastAsia" w:asciiTheme="minorEastAsia" w:hAnsiTheme="minorEastAsia" w:eastAsiaTheme="minorEastAsia" w:cstheme="minorEastAsia"/>
          <w:color w:val="auto"/>
          <w:spacing w:val="-15"/>
          <w:sz w:val="24"/>
          <w:szCs w:val="24"/>
        </w:rPr>
        <w:t>图6</w:t>
      </w:r>
      <w:r>
        <w:rPr>
          <w:rFonts w:asciiTheme="minorEastAsia" w:hAnsiTheme="minorEastAsia" w:eastAsiaTheme="minorEastAsia" w:cstheme="minorEastAsia"/>
          <w:color w:val="auto"/>
          <w:spacing w:val="-15"/>
          <w:sz w:val="24"/>
          <w:szCs w:val="24"/>
        </w:rPr>
        <w:t>.1-1</w:t>
      </w:r>
      <w:r>
        <w:rPr>
          <w:rFonts w:hint="eastAsia" w:asciiTheme="minorEastAsia" w:hAnsiTheme="minorEastAsia" w:eastAsiaTheme="minorEastAsia" w:cstheme="minorEastAsia"/>
          <w:color w:val="auto"/>
          <w:spacing w:val="-15"/>
          <w:sz w:val="24"/>
          <w:szCs w:val="24"/>
        </w:rPr>
        <w:t>（</w:t>
      </w:r>
      <w:r>
        <w:rPr>
          <w:rFonts w:hint="eastAsia" w:asciiTheme="minorEastAsia" w:hAnsiTheme="minorEastAsia" w:eastAsiaTheme="minorEastAsia" w:cstheme="minorEastAsia"/>
          <w:color w:val="auto"/>
          <w:spacing w:val="-12"/>
          <w:sz w:val="24"/>
          <w:szCs w:val="24"/>
        </w:rPr>
        <w:t>b））</w:t>
      </w:r>
      <w:r>
        <w:rPr>
          <w:rFonts w:hint="eastAsia" w:asciiTheme="minorEastAsia" w:hAnsiTheme="minorEastAsia" w:eastAsiaTheme="minorEastAsia" w:cstheme="minorEastAsia"/>
          <w:color w:val="auto"/>
          <w:spacing w:val="-5"/>
          <w:sz w:val="24"/>
          <w:szCs w:val="24"/>
        </w:rPr>
        <w:t>和截流式合流制（见</w:t>
      </w:r>
      <w:r>
        <w:rPr>
          <w:rFonts w:hint="eastAsia" w:asciiTheme="minorEastAsia" w:hAnsiTheme="minorEastAsia" w:eastAsiaTheme="minorEastAsia" w:cstheme="minorEastAsia"/>
          <w:color w:val="auto"/>
          <w:spacing w:val="-15"/>
          <w:sz w:val="24"/>
          <w:szCs w:val="24"/>
        </w:rPr>
        <w:t>图6</w:t>
      </w:r>
      <w:r>
        <w:rPr>
          <w:rFonts w:asciiTheme="minorEastAsia" w:hAnsiTheme="minorEastAsia" w:eastAsiaTheme="minorEastAsia" w:cstheme="minorEastAsia"/>
          <w:color w:val="auto"/>
          <w:spacing w:val="-15"/>
          <w:sz w:val="24"/>
          <w:szCs w:val="24"/>
        </w:rPr>
        <w:t>.1-1</w:t>
      </w:r>
      <w:r>
        <w:rPr>
          <w:rFonts w:hint="eastAsia" w:asciiTheme="minorEastAsia" w:hAnsiTheme="minorEastAsia" w:eastAsiaTheme="minorEastAsia" w:cstheme="minorEastAsia"/>
          <w:color w:val="auto"/>
          <w:spacing w:val="-15"/>
          <w:sz w:val="24"/>
          <w:szCs w:val="24"/>
        </w:rPr>
        <w:t>（</w:t>
      </w:r>
      <w:r>
        <w:rPr>
          <w:rFonts w:asciiTheme="minorEastAsia" w:hAnsiTheme="minorEastAsia" w:eastAsiaTheme="minorEastAsia" w:cstheme="minorEastAsia"/>
          <w:color w:val="auto"/>
          <w:spacing w:val="-12"/>
          <w:sz w:val="24"/>
          <w:szCs w:val="24"/>
        </w:rPr>
        <w:t>c</w:t>
      </w:r>
      <w:r>
        <w:rPr>
          <w:rFonts w:hint="eastAsia" w:asciiTheme="minorEastAsia" w:hAnsiTheme="minorEastAsia" w:eastAsiaTheme="minorEastAsia" w:cstheme="minorEastAsia"/>
          <w:color w:val="auto"/>
          <w:spacing w:val="-12"/>
          <w:sz w:val="24"/>
          <w:szCs w:val="24"/>
        </w:rPr>
        <w:t>））</w:t>
      </w:r>
      <w:r>
        <w:rPr>
          <w:rFonts w:hint="eastAsia" w:asciiTheme="minorEastAsia" w:hAnsiTheme="minorEastAsia" w:eastAsiaTheme="minorEastAsia" w:cstheme="minorEastAsia"/>
          <w:color w:val="auto"/>
          <w:spacing w:val="-5"/>
          <w:sz w:val="24"/>
          <w:szCs w:val="24"/>
        </w:rPr>
        <w:t>。采用截流式合流制方式收集现状排水渠内的污水时，宜在现状排水渠内新建收水斗（截流井），再接出截污管。</w:t>
      </w:r>
    </w:p>
    <w:p>
      <w:pPr>
        <w:pStyle w:val="32"/>
        <w:numPr>
          <w:ilvl w:val="0"/>
          <w:numId w:val="47"/>
        </w:numPr>
        <w:tabs>
          <w:tab w:val="left" w:pos="1540"/>
          <w:tab w:val="left" w:pos="1541"/>
        </w:tabs>
        <w:spacing w:line="500" w:lineRule="exact"/>
        <w:ind w:left="0" w:firstLine="420" w:firstLineChars="200"/>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现状没有排水系统的按雨污分流的完全分流制建设排水系统。</w:t>
      </w:r>
    </w:p>
    <w:p>
      <w:pPr>
        <w:spacing w:line="500" w:lineRule="exact"/>
        <w:ind w:firstLine="422" w:firstLineChars="200"/>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lang w:val="en-US"/>
        </w:rPr>
        <w:drawing>
          <wp:anchor distT="0" distB="0" distL="0" distR="0" simplePos="0" relativeHeight="251677696" behindDoc="0" locked="0" layoutInCell="1" allowOverlap="1">
            <wp:simplePos x="0" y="0"/>
            <wp:positionH relativeFrom="page">
              <wp:posOffset>2105660</wp:posOffset>
            </wp:positionH>
            <wp:positionV relativeFrom="paragraph">
              <wp:posOffset>180975</wp:posOffset>
            </wp:positionV>
            <wp:extent cx="3469640" cy="3256280"/>
            <wp:effectExtent l="0" t="0" r="0" b="0"/>
            <wp:wrapTopAndBottom/>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8.jpeg"/>
                    <pic:cNvPicPr>
                      <a:picLocks noChangeAspect="1"/>
                    </pic:cNvPicPr>
                  </pic:nvPicPr>
                  <pic:blipFill>
                    <a:blip r:embed="rId39" cstate="print"/>
                    <a:stretch>
                      <a:fillRect/>
                    </a:stretch>
                  </pic:blipFill>
                  <pic:spPr>
                    <a:xfrm>
                      <a:off x="0" y="0"/>
                      <a:ext cx="3469742" cy="3256407"/>
                    </a:xfrm>
                    <a:prstGeom prst="rect">
                      <a:avLst/>
                    </a:prstGeom>
                  </pic:spPr>
                </pic:pic>
              </a:graphicData>
            </a:graphic>
          </wp:anchor>
        </w:drawing>
      </w:r>
      <w:r>
        <w:rPr>
          <w:rFonts w:hint="eastAsia" w:asciiTheme="minorEastAsia" w:hAnsiTheme="minorEastAsia" w:eastAsiaTheme="minorEastAsia" w:cstheme="minorEastAsia"/>
          <w:b/>
          <w:color w:val="auto"/>
          <w:sz w:val="21"/>
          <w:szCs w:val="21"/>
        </w:rPr>
        <w:t>图6.1-1 排水制度分类</w:t>
      </w:r>
    </w:p>
    <w:p>
      <w:pPr>
        <w:pStyle w:val="32"/>
        <w:numPr>
          <w:ilvl w:val="3"/>
          <w:numId w:val="27"/>
        </w:numPr>
        <w:tabs>
          <w:tab w:val="left" w:pos="264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污水管道敷设模式</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农村多数已建有雨污合流的沟渠，而且大多紧贴化粪池和房屋外墙而建，巷道上除了化粪池和雨水排水沟外，几乎没有空间用来新建排水管道。考虑到这个因素，污水管道建设宜按照以下两个方式建设：</w:t>
      </w:r>
    </w:p>
    <w:p>
      <w:pPr>
        <w:pStyle w:val="32"/>
        <w:numPr>
          <w:ilvl w:val="0"/>
          <w:numId w:val="48"/>
        </w:numPr>
        <w:tabs>
          <w:tab w:val="left" w:pos="1402"/>
        </w:tabs>
        <w:spacing w:line="500" w:lineRule="exact"/>
        <w:ind w:left="0"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当巷道内有位置敷设污水管道时，宜将污水管紧挨现状雨水</w:t>
      </w:r>
      <w:r>
        <w:rPr>
          <w:rFonts w:hint="eastAsia" w:asciiTheme="minorEastAsia" w:hAnsiTheme="minorEastAsia" w:eastAsiaTheme="minorEastAsia" w:cstheme="minorEastAsia"/>
          <w:color w:val="auto"/>
          <w:spacing w:val="-5"/>
          <w:sz w:val="24"/>
          <w:szCs w:val="24"/>
        </w:rPr>
        <w:t>排水沟建设，并且在满足排水要求的情况下，应尽可能的减少埋设</w:t>
      </w:r>
      <w:r>
        <w:rPr>
          <w:rFonts w:hint="eastAsia" w:asciiTheme="minorEastAsia" w:hAnsiTheme="minorEastAsia" w:eastAsiaTheme="minorEastAsia" w:cstheme="minorEastAsia"/>
          <w:color w:val="auto"/>
          <w:spacing w:val="-2"/>
          <w:sz w:val="24"/>
          <w:szCs w:val="24"/>
        </w:rPr>
        <w:t>深度。</w:t>
      </w:r>
    </w:p>
    <w:p>
      <w:pPr>
        <w:pStyle w:val="32"/>
        <w:numPr>
          <w:ilvl w:val="0"/>
          <w:numId w:val="48"/>
        </w:numPr>
        <w:tabs>
          <w:tab w:val="left" w:pos="1402"/>
        </w:tabs>
        <w:spacing w:line="500" w:lineRule="exact"/>
        <w:ind w:left="0" w:firstLine="456"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6"/>
          <w:sz w:val="24"/>
          <w:szCs w:val="24"/>
        </w:rPr>
        <w:t>当巷道内没有位置敷设污水管道时，可考虑将原有合流沟渠</w:t>
      </w:r>
      <w:r>
        <w:rPr>
          <w:rFonts w:hint="eastAsia" w:asciiTheme="minorEastAsia" w:hAnsiTheme="minorEastAsia" w:eastAsiaTheme="minorEastAsia" w:cstheme="minorEastAsia"/>
          <w:color w:val="auto"/>
          <w:spacing w:val="-5"/>
          <w:sz w:val="24"/>
          <w:szCs w:val="24"/>
        </w:rPr>
        <w:t>改造为污水收集渠，雨水采用地表漫流的方式排放。</w:t>
      </w:r>
    </w:p>
    <w:p>
      <w:pPr>
        <w:pStyle w:val="10"/>
        <w:spacing w:line="500" w:lineRule="exact"/>
        <w:ind w:firstLine="480" w:firstLineChars="200"/>
        <w:jc w:val="both"/>
        <w:rPr>
          <w:rFonts w:hint="eastAsia"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在有交通标线的路段上进行排水管线施工的，在设计时请勘测单位实测道路上的交通标线，放上图纸，作为排水井定位的依据。如果是新建的道路，则建议以交通工程的平面为底图，在图上将排水井定位出来，以考量排水井的位置是否合理。考虑到乡镇道路的实际情况比较复杂，需要结合周边房屋结构基础及居民实际行车习惯等灵活处理。在情况允许时，请对排水井的位置进行适当定位保障行车安全舒适。</w:t>
      </w:r>
    </w:p>
    <w:p>
      <w:pPr>
        <w:pStyle w:val="32"/>
        <w:numPr>
          <w:ilvl w:val="3"/>
          <w:numId w:val="27"/>
        </w:numPr>
        <w:tabs>
          <w:tab w:val="left" w:pos="270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污水管道设计</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污水管道应按以下要求进行设计：</w:t>
      </w:r>
    </w:p>
    <w:p>
      <w:pPr>
        <w:pStyle w:val="32"/>
        <w:numPr>
          <w:ilvl w:val="0"/>
          <w:numId w:val="4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村庄居民聚集居住区内80%住户污水得到有效收集，无污水外泄入河，地面无污水聚集；旱季污水收集浓度不低120mg/L， 年平均污水收集浓度不低于90mg/L；</w:t>
      </w:r>
    </w:p>
    <w:p>
      <w:pPr>
        <w:pStyle w:val="32"/>
        <w:numPr>
          <w:ilvl w:val="0"/>
          <w:numId w:val="4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 xml:space="preserve">污水管径的确定应考虑远期规划和现状污水收集情况； </w:t>
      </w:r>
    </w:p>
    <w:p>
      <w:pPr>
        <w:pStyle w:val="32"/>
        <w:numPr>
          <w:ilvl w:val="0"/>
          <w:numId w:val="4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污水管道宜根据地形沿道路铺设，在满足排水标高的情况下，应尽可能的减小埋深。</w:t>
      </w:r>
    </w:p>
    <w:p>
      <w:pPr>
        <w:pStyle w:val="32"/>
        <w:numPr>
          <w:ilvl w:val="0"/>
          <w:numId w:val="4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管材选择应考虑设计使用年限要求、地质和地面荷载等情况，选择大品牌优质管，优先考虑本地区已有符合要求的生产厂家。</w:t>
      </w:r>
    </w:p>
    <w:p>
      <w:pPr>
        <w:pStyle w:val="32"/>
        <w:numPr>
          <w:ilvl w:val="0"/>
          <w:numId w:val="4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考虑到建设检查井的投资较大，井内落入垃圾后易发生堵 塞，与农村的经济和卫生条件不符，且排水管管径小，农村污水排水宜采用检查口代替检查井，直线管段上每隔 30m 设置污水检查井（检查口）（见图</w:t>
      </w:r>
      <w:r>
        <w:rPr>
          <w:rFonts w:asciiTheme="minorEastAsia" w:hAnsiTheme="minorEastAsia" w:eastAsiaTheme="minorEastAsia" w:cstheme="minorEastAsia"/>
          <w:color w:val="auto"/>
          <w:spacing w:val="-1"/>
          <w:sz w:val="24"/>
          <w:szCs w:val="24"/>
        </w:rPr>
        <w:t>6.1-2</w:t>
      </w:r>
      <w:r>
        <w:rPr>
          <w:rFonts w:hint="eastAsia" w:asciiTheme="minorEastAsia" w:hAnsiTheme="minorEastAsia" w:eastAsiaTheme="minorEastAsia" w:cstheme="minorEastAsia"/>
          <w:color w:val="auto"/>
          <w:spacing w:val="-1"/>
          <w:sz w:val="24"/>
          <w:szCs w:val="24"/>
        </w:rPr>
        <w:t xml:space="preserve"> (a)）。</w:t>
      </w:r>
    </w:p>
    <w:p>
      <w:pPr>
        <w:pStyle w:val="32"/>
        <w:numPr>
          <w:ilvl w:val="0"/>
          <w:numId w:val="4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在管道交汇点，为了保证水流的畅通，应选用 600×600mm 或d700检查井，检查井周边应留有方便清疏的位置。</w:t>
      </w:r>
    </w:p>
    <w:p>
      <w:pPr>
        <w:pStyle w:val="32"/>
        <w:numPr>
          <w:ilvl w:val="0"/>
          <w:numId w:val="4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生活污水接户管应接纳厨房污水和卫生间的冲厕、洗涤污水。</w:t>
      </w:r>
    </w:p>
    <w:p>
      <w:pPr>
        <w:pStyle w:val="32"/>
        <w:numPr>
          <w:ilvl w:val="0"/>
          <w:numId w:val="4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 xml:space="preserve">卫生间冲厕排水管径不小于100mm，坡度不宜小于2.0%； </w:t>
      </w:r>
    </w:p>
    <w:p>
      <w:pPr>
        <w:pStyle w:val="32"/>
        <w:numPr>
          <w:ilvl w:val="0"/>
          <w:numId w:val="4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生活洗涤水排放管管径不宜小于50mm，坡度不宜小于2.5%。</w:t>
      </w:r>
    </w:p>
    <w:p>
      <w:pPr>
        <w:pStyle w:val="32"/>
        <w:numPr>
          <w:ilvl w:val="0"/>
          <w:numId w:val="4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排水管在进入化粪池前应做水封装置，阻隔臭气。</w:t>
      </w:r>
    </w:p>
    <w:p>
      <w:pPr>
        <w:pStyle w:val="32"/>
        <w:numPr>
          <w:ilvl w:val="0"/>
          <w:numId w:val="4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生活污水未经化粪池直接排入污水收集管道的，应在接驳处设置格栅或格网（见图</w:t>
      </w:r>
      <w:r>
        <w:rPr>
          <w:rFonts w:asciiTheme="minorEastAsia" w:hAnsiTheme="minorEastAsia" w:eastAsiaTheme="minorEastAsia" w:cstheme="minorEastAsia"/>
          <w:color w:val="auto"/>
          <w:spacing w:val="-1"/>
          <w:sz w:val="24"/>
          <w:szCs w:val="24"/>
        </w:rPr>
        <w:t>6.1-2</w:t>
      </w:r>
      <w:r>
        <w:rPr>
          <w:rFonts w:hint="eastAsia" w:asciiTheme="minorEastAsia" w:hAnsiTheme="minorEastAsia" w:eastAsiaTheme="minorEastAsia" w:cstheme="minorEastAsia"/>
          <w:color w:val="auto"/>
          <w:spacing w:val="-1"/>
          <w:sz w:val="24"/>
          <w:szCs w:val="24"/>
        </w:rPr>
        <w:t>(c)），拦截固体物，避免造成管道堵塞，格栅间距宜为 10-15mm。</w:t>
      </w:r>
    </w:p>
    <w:p>
      <w:pPr>
        <w:pStyle w:val="32"/>
        <w:numPr>
          <w:ilvl w:val="0"/>
          <w:numId w:val="49"/>
        </w:numPr>
        <w:tabs>
          <w:tab w:val="left" w:pos="1541"/>
        </w:tabs>
        <w:spacing w:line="500" w:lineRule="exact"/>
        <w:ind w:left="0" w:firstLine="476" w:firstLineChars="20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其他未尽事项应满足同 《室外排水设计规范 》 (GB50014-2006)。</w:t>
      </w:r>
    </w:p>
    <w:p>
      <w:pPr>
        <w:pStyle w:val="32"/>
        <w:numPr>
          <w:ilvl w:val="0"/>
          <w:numId w:val="0"/>
        </w:numPr>
        <w:tabs>
          <w:tab w:val="left" w:pos="1541"/>
        </w:tabs>
        <w:spacing w:line="500" w:lineRule="exact"/>
        <w:ind w:left="440"/>
        <w:jc w:val="both"/>
        <w:rPr>
          <w:rFonts w:asciiTheme="minorEastAsia" w:hAnsiTheme="minorEastAsia" w:eastAsiaTheme="minorEastAsia" w:cstheme="minorEastAsia"/>
          <w:color w:val="auto"/>
          <w:spacing w:val="-1"/>
          <w:sz w:val="24"/>
          <w:szCs w:val="24"/>
        </w:rPr>
      </w:pPr>
      <w:r>
        <w:rPr>
          <w:rFonts w:hint="eastAsia" w:asciiTheme="minorEastAsia" w:hAnsiTheme="minorEastAsia" w:eastAsiaTheme="minorEastAsia" w:cstheme="minorEastAsia"/>
          <w:color w:val="auto"/>
          <w:spacing w:val="-1"/>
          <w:sz w:val="24"/>
          <w:szCs w:val="24"/>
        </w:rPr>
        <w:t>排水户排水管道接管方式示意见图6.1-2 (b)。</w:t>
      </w:r>
    </w:p>
    <w:p>
      <w:pPr>
        <w:pStyle w:val="32"/>
        <w:numPr>
          <w:ilvl w:val="0"/>
          <w:numId w:val="0"/>
        </w:numPr>
        <w:tabs>
          <w:tab w:val="left" w:pos="1541"/>
        </w:tabs>
        <w:spacing w:line="360" w:lineRule="auto"/>
        <w:ind w:left="478"/>
        <w:jc w:val="both"/>
        <w:rPr>
          <w:rFonts w:asciiTheme="minorEastAsia" w:hAnsiTheme="minorEastAsia" w:eastAsiaTheme="minorEastAsia" w:cstheme="minorEastAsia"/>
          <w:color w:val="auto"/>
          <w:spacing w:val="-1"/>
          <w:sz w:val="24"/>
          <w:szCs w:val="24"/>
        </w:rPr>
      </w:pPr>
    </w:p>
    <w:p>
      <w:pPr>
        <w:tabs>
          <w:tab w:val="left" w:pos="1541"/>
        </w:tabs>
        <w:spacing w:line="360" w:lineRule="auto"/>
        <w:ind w:left="567"/>
        <w:jc w:val="center"/>
        <w:rPr>
          <w:rFonts w:asciiTheme="minorEastAsia" w:hAnsiTheme="minorEastAsia" w:eastAsiaTheme="minorEastAsia" w:cstheme="minorEastAsia"/>
          <w:color w:val="auto"/>
          <w:spacing w:val="-1"/>
          <w:sz w:val="24"/>
          <w:szCs w:val="24"/>
        </w:rPr>
      </w:pPr>
      <w:r>
        <w:rPr>
          <w:rFonts w:hint="eastAsia"/>
          <w:color w:val="auto"/>
        </w:rPr>
        <w:drawing>
          <wp:inline distT="0" distB="0" distL="0" distR="0">
            <wp:extent cx="2057400" cy="1503680"/>
            <wp:effectExtent l="0" t="0" r="0" b="127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0.jpeg"/>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062224" cy="1507598"/>
                    </a:xfrm>
                    <a:prstGeom prst="rect">
                      <a:avLst/>
                    </a:prstGeom>
                  </pic:spPr>
                </pic:pic>
              </a:graphicData>
            </a:graphic>
          </wp:inline>
        </w:drawing>
      </w:r>
    </w:p>
    <w:p>
      <w:pPr>
        <w:spacing w:line="360" w:lineRule="auto"/>
        <w:ind w:firstLine="480" w:firstLineChars="200"/>
        <w:jc w:val="center"/>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(a)</w:t>
      </w:r>
    </w:p>
    <w:p>
      <w:pPr>
        <w:tabs>
          <w:tab w:val="left" w:pos="1541"/>
        </w:tabs>
        <w:spacing w:line="360" w:lineRule="auto"/>
        <w:ind w:left="567"/>
        <w:jc w:val="center"/>
        <w:rPr>
          <w:rFonts w:asciiTheme="minorEastAsia" w:hAnsiTheme="minorEastAsia" w:eastAsiaTheme="minorEastAsia" w:cstheme="minorEastAsia"/>
          <w:color w:val="auto"/>
          <w:spacing w:val="-1"/>
          <w:sz w:val="24"/>
          <w:szCs w:val="24"/>
        </w:rPr>
      </w:pPr>
      <w:r>
        <w:rPr>
          <w:rFonts w:hint="eastAsia"/>
          <w:color w:val="auto"/>
        </w:rPr>
        <w:drawing>
          <wp:inline distT="0" distB="0" distL="0" distR="0">
            <wp:extent cx="1262380" cy="1819275"/>
            <wp:effectExtent l="0" t="0" r="0" b="0"/>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9.jpeg"/>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264078" cy="1821440"/>
                    </a:xfrm>
                    <a:prstGeom prst="rect">
                      <a:avLst/>
                    </a:prstGeom>
                  </pic:spPr>
                </pic:pic>
              </a:graphicData>
            </a:graphic>
          </wp:inline>
        </w:drawing>
      </w:r>
    </w:p>
    <w:p>
      <w:pPr>
        <w:spacing w:line="360" w:lineRule="auto"/>
        <w:ind w:firstLine="480" w:firstLineChars="200"/>
        <w:jc w:val="center"/>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(b)</w:t>
      </w:r>
    </w:p>
    <w:p>
      <w:pPr>
        <w:tabs>
          <w:tab w:val="left" w:pos="1541"/>
        </w:tabs>
        <w:spacing w:line="360" w:lineRule="auto"/>
        <w:ind w:left="567"/>
        <w:jc w:val="center"/>
        <w:rPr>
          <w:rFonts w:asciiTheme="minorEastAsia" w:hAnsiTheme="minorEastAsia" w:eastAsiaTheme="minorEastAsia" w:cstheme="minorEastAsia"/>
          <w:color w:val="auto"/>
          <w:spacing w:val="-1"/>
          <w:sz w:val="24"/>
          <w:szCs w:val="24"/>
        </w:rPr>
      </w:pPr>
      <w:r>
        <w:rPr>
          <w:rFonts w:hint="eastAsia"/>
          <w:color w:val="auto"/>
        </w:rPr>
        <w:drawing>
          <wp:inline distT="0" distB="0" distL="0" distR="0">
            <wp:extent cx="4762500" cy="1943735"/>
            <wp:effectExtent l="0" t="0" r="0" b="0"/>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1.png"/>
                    <pic:cNvPicPr>
                      <a:picLocks noChangeAspect="1"/>
                    </pic:cNvPicPr>
                  </pic:nvPicPr>
                  <pic:blipFill>
                    <a:blip r:embed="rId42" cstate="print"/>
                    <a:srcRect t="2391" r="2334"/>
                    <a:stretch>
                      <a:fillRect/>
                    </a:stretch>
                  </pic:blipFill>
                  <pic:spPr>
                    <a:xfrm>
                      <a:off x="0" y="0"/>
                      <a:ext cx="4784359" cy="1952656"/>
                    </a:xfrm>
                    <a:prstGeom prst="rect">
                      <a:avLst/>
                    </a:prstGeom>
                    <a:ln>
                      <a:noFill/>
                    </a:ln>
                  </pic:spPr>
                </pic:pic>
              </a:graphicData>
            </a:graphic>
          </wp:inline>
        </w:drawing>
      </w:r>
    </w:p>
    <w:p>
      <w:pPr>
        <w:spacing w:line="360" w:lineRule="auto"/>
        <w:ind w:firstLine="480" w:firstLineChars="200"/>
        <w:jc w:val="center"/>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(c)</w:t>
      </w:r>
    </w:p>
    <w:p>
      <w:pPr>
        <w:spacing w:line="500" w:lineRule="exact"/>
        <w:ind w:firstLine="422" w:firstLineChars="200"/>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图6.1-2 检查口、格栅、排水户排水管连接示意图</w:t>
      </w:r>
    </w:p>
    <w:p>
      <w:pPr>
        <w:pStyle w:val="26"/>
        <w:rPr>
          <w:rFonts w:hint="eastAsia"/>
          <w:color w:val="auto"/>
        </w:rPr>
      </w:pPr>
    </w:p>
    <w:p>
      <w:pPr>
        <w:pStyle w:val="2"/>
        <w:numPr>
          <w:ilvl w:val="1"/>
          <w:numId w:val="50"/>
        </w:numPr>
        <w:tabs>
          <w:tab w:val="left" w:pos="1625"/>
        </w:tabs>
        <w:spacing w:before="0" w:line="500" w:lineRule="exact"/>
        <w:ind w:left="0" w:firstLine="0"/>
        <w:jc w:val="both"/>
        <w:rPr>
          <w:rFonts w:asciiTheme="minorEastAsia" w:hAnsiTheme="minorEastAsia" w:eastAsiaTheme="minorEastAsia" w:cstheme="minorEastAsia"/>
          <w:color w:val="auto"/>
          <w:sz w:val="24"/>
          <w:szCs w:val="24"/>
        </w:rPr>
      </w:pPr>
      <w:bookmarkStart w:id="96" w:name="6.3电气设计"/>
      <w:bookmarkEnd w:id="96"/>
      <w:bookmarkStart w:id="97" w:name="6.2污水处理站设计"/>
      <w:bookmarkEnd w:id="97"/>
      <w:bookmarkStart w:id="98" w:name="_Toc4116"/>
      <w:bookmarkStart w:id="99" w:name="_Toc5469"/>
      <w:r>
        <w:rPr>
          <w:rFonts w:hint="eastAsia" w:asciiTheme="minorEastAsia" w:hAnsiTheme="minorEastAsia" w:eastAsiaTheme="minorEastAsia" w:cstheme="minorEastAsia"/>
          <w:color w:val="auto"/>
          <w:sz w:val="24"/>
          <w:szCs w:val="24"/>
        </w:rPr>
        <w:t>电气设计</w:t>
      </w:r>
      <w:bookmarkEnd w:id="98"/>
      <w:bookmarkEnd w:id="99"/>
    </w:p>
    <w:p>
      <w:pPr>
        <w:pStyle w:val="32"/>
        <w:numPr>
          <w:ilvl w:val="2"/>
          <w:numId w:val="50"/>
        </w:numPr>
        <w:tabs>
          <w:tab w:val="left" w:pos="198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规范和标准</w:t>
      </w:r>
    </w:p>
    <w:p>
      <w:pPr>
        <w:pStyle w:val="32"/>
        <w:numPr>
          <w:ilvl w:val="0"/>
          <w:numId w:val="51"/>
        </w:numPr>
        <w:tabs>
          <w:tab w:val="left" w:pos="1683"/>
        </w:tabs>
        <w:spacing w:line="500" w:lineRule="exact"/>
        <w:ind w:left="440" w:firstLine="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《镇（乡）村排水工程技术规程》（CJJ124-2008）；</w:t>
      </w:r>
    </w:p>
    <w:p>
      <w:pPr>
        <w:pStyle w:val="32"/>
        <w:numPr>
          <w:ilvl w:val="0"/>
          <w:numId w:val="51"/>
        </w:numPr>
        <w:tabs>
          <w:tab w:val="left" w:pos="1683"/>
        </w:tabs>
        <w:spacing w:line="500" w:lineRule="exact"/>
        <w:ind w:left="440" w:firstLine="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《供配电系统设计规范》（GB50052-2009）；</w:t>
      </w:r>
    </w:p>
    <w:p>
      <w:pPr>
        <w:pStyle w:val="32"/>
        <w:numPr>
          <w:ilvl w:val="0"/>
          <w:numId w:val="51"/>
        </w:numPr>
        <w:tabs>
          <w:tab w:val="left" w:pos="1683"/>
        </w:tabs>
        <w:spacing w:line="500" w:lineRule="exact"/>
        <w:ind w:left="440" w:firstLine="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《建筑照明设计标准》（GB50034-2013）；</w:t>
      </w:r>
    </w:p>
    <w:p>
      <w:pPr>
        <w:pStyle w:val="32"/>
        <w:numPr>
          <w:ilvl w:val="0"/>
          <w:numId w:val="51"/>
        </w:numPr>
        <w:tabs>
          <w:tab w:val="left" w:pos="1683"/>
        </w:tabs>
        <w:spacing w:line="500" w:lineRule="exact"/>
        <w:ind w:left="440" w:firstLine="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《低压配电设计规范》（GB50054-2011）；</w:t>
      </w:r>
    </w:p>
    <w:p>
      <w:pPr>
        <w:pStyle w:val="32"/>
        <w:numPr>
          <w:ilvl w:val="0"/>
          <w:numId w:val="51"/>
        </w:numPr>
        <w:tabs>
          <w:tab w:val="left" w:pos="1683"/>
        </w:tabs>
        <w:spacing w:line="500" w:lineRule="exact"/>
        <w:ind w:left="440" w:firstLine="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《通用用电设备配电设计规范》（GB50055-2011）；</w:t>
      </w:r>
    </w:p>
    <w:p>
      <w:pPr>
        <w:pStyle w:val="32"/>
        <w:numPr>
          <w:ilvl w:val="0"/>
          <w:numId w:val="51"/>
        </w:numPr>
        <w:tabs>
          <w:tab w:val="left" w:pos="1683"/>
        </w:tabs>
        <w:spacing w:line="500" w:lineRule="exact"/>
        <w:ind w:left="440" w:firstLine="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《建筑物防雷设计规范》（GB50057-2010）；</w:t>
      </w:r>
    </w:p>
    <w:p>
      <w:pPr>
        <w:pStyle w:val="32"/>
        <w:numPr>
          <w:ilvl w:val="0"/>
          <w:numId w:val="51"/>
        </w:numPr>
        <w:tabs>
          <w:tab w:val="left" w:pos="1683"/>
        </w:tabs>
        <w:spacing w:line="500" w:lineRule="exact"/>
        <w:ind w:left="440" w:firstLine="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《交流电气装置的接地设计规范》（GB/T50065- 2011）；</w:t>
      </w:r>
    </w:p>
    <w:p>
      <w:pPr>
        <w:pStyle w:val="32"/>
        <w:numPr>
          <w:ilvl w:val="0"/>
          <w:numId w:val="51"/>
        </w:numPr>
        <w:tabs>
          <w:tab w:val="left" w:pos="1683"/>
        </w:tabs>
        <w:spacing w:line="500" w:lineRule="exact"/>
        <w:ind w:left="440" w:firstLine="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《电力工程电缆设计规范》（GB50217-2007）；</w:t>
      </w:r>
    </w:p>
    <w:p>
      <w:pPr>
        <w:pStyle w:val="32"/>
        <w:numPr>
          <w:ilvl w:val="0"/>
          <w:numId w:val="51"/>
        </w:numPr>
        <w:tabs>
          <w:tab w:val="left" w:pos="1683"/>
        </w:tabs>
        <w:spacing w:line="500" w:lineRule="exact"/>
        <w:ind w:left="440" w:firstLine="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《民用建筑电气设计规范》（JGJ-16-2008）。</w:t>
      </w:r>
    </w:p>
    <w:p>
      <w:pPr>
        <w:pStyle w:val="32"/>
        <w:numPr>
          <w:ilvl w:val="2"/>
          <w:numId w:val="50"/>
        </w:numPr>
        <w:tabs>
          <w:tab w:val="left" w:pos="1100"/>
          <w:tab w:val="left" w:pos="1320"/>
          <w:tab w:val="left" w:pos="198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用电负荷</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污水处理厂内主要用电负荷由工艺设备、辅助用房的生活用电等组成。根据《镇（乡）村排水工程技术规程》（CJJ124-2008）和《供配电系统设计规范》（GB50052-2009）的规定，农村污水处理站的供电可按三级负荷等级设计。</w:t>
      </w:r>
    </w:p>
    <w:p>
      <w:pPr>
        <w:pStyle w:val="32"/>
        <w:numPr>
          <w:ilvl w:val="2"/>
          <w:numId w:val="50"/>
        </w:numPr>
        <w:tabs>
          <w:tab w:val="left" w:pos="1320"/>
          <w:tab w:val="left" w:pos="198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配电</w:t>
      </w:r>
    </w:p>
    <w:p>
      <w:pPr>
        <w:pStyle w:val="32"/>
        <w:numPr>
          <w:ilvl w:val="0"/>
          <w:numId w:val="52"/>
        </w:numPr>
        <w:tabs>
          <w:tab w:val="left" w:pos="1683"/>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动力配电</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本工程主要工艺设备均采用厂家提供的成套控制柜配电，配电方式采用放射式。</w:t>
      </w:r>
    </w:p>
    <w:p>
      <w:pPr>
        <w:pStyle w:val="32"/>
        <w:numPr>
          <w:ilvl w:val="0"/>
          <w:numId w:val="52"/>
        </w:numPr>
        <w:tabs>
          <w:tab w:val="left" w:pos="1820"/>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照明配电</w:t>
      </w:r>
      <w:r>
        <w:rPr>
          <w:rFonts w:hint="eastAsia" w:asciiTheme="minorEastAsia" w:hAnsiTheme="minorEastAsia" w:eastAsiaTheme="minorEastAsia" w:cstheme="minorEastAsia"/>
          <w:color w:val="auto"/>
          <w:sz w:val="24"/>
          <w:szCs w:val="24"/>
        </w:rPr>
        <w:t>照明设计执行《建筑照明设计标准》（GB50034-2013）及《室外作业场地照明设计标准》（GB50582-2010），详细要求如下：</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室内场所采用双管或单管节能型荧光灯具照明。控制室设置应急灯具照明。</w:t>
      </w:r>
    </w:p>
    <w:p>
      <w:pPr>
        <w:pStyle w:val="10"/>
        <w:spacing w:line="500" w:lineRule="exact"/>
        <w:ind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 xml:space="preserve">室外道路采用普通节能灯照明，灯具有景观照明设计。 </w:t>
      </w:r>
      <w:r>
        <w:rPr>
          <w:rFonts w:hint="eastAsia" w:asciiTheme="minorEastAsia" w:hAnsiTheme="minorEastAsia" w:eastAsiaTheme="minorEastAsia" w:cstheme="minorEastAsia"/>
          <w:color w:val="auto"/>
          <w:spacing w:val="-6"/>
          <w:sz w:val="24"/>
          <w:szCs w:val="24"/>
        </w:rPr>
        <w:t>室外照明由控制室内照明配电箱配电，配电方式采用树干</w:t>
      </w:r>
      <w:r>
        <w:rPr>
          <w:rFonts w:hint="eastAsia" w:asciiTheme="minorEastAsia" w:hAnsiTheme="minorEastAsia" w:eastAsiaTheme="minorEastAsia" w:cstheme="minorEastAsia"/>
          <w:color w:val="auto"/>
          <w:sz w:val="24"/>
          <w:szCs w:val="24"/>
        </w:rPr>
        <w:t>式。</w:t>
      </w:r>
    </w:p>
    <w:p>
      <w:pPr>
        <w:pStyle w:val="32"/>
        <w:numPr>
          <w:ilvl w:val="2"/>
          <w:numId w:val="50"/>
        </w:numPr>
        <w:tabs>
          <w:tab w:val="left" w:pos="198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启动、控制和保护</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箱变的10kV侧采用负荷开关—熔断器组合电器，实现反时限过电流保护。</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低压侧总进线断路器采用智能型塑壳断路器，应具有过流、过电压、缺相、剩余电流动作保护等功能。</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站内主要工艺设备的启动和控制均由厂家成套的控制系统提供，现场仪表信号及控制信号均采用电缆接入控制系统实现遥测及遥控。</w:t>
      </w:r>
    </w:p>
    <w:p>
      <w:pPr>
        <w:pStyle w:val="32"/>
        <w:numPr>
          <w:ilvl w:val="2"/>
          <w:numId w:val="50"/>
        </w:numPr>
        <w:tabs>
          <w:tab w:val="left" w:pos="1320"/>
          <w:tab w:val="left" w:pos="198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电缆敷设</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室外电缆均采用直埋敷设方式，埋深不小于0.7m；穿越车行道时应穿镀锌钢管保护，埋深不小于1m；埋地电缆出、入建构筑物、地面处，应穿镀锌钢管保护。</w:t>
      </w:r>
    </w:p>
    <w:p>
      <w:pPr>
        <w:pStyle w:val="32"/>
        <w:numPr>
          <w:ilvl w:val="2"/>
          <w:numId w:val="50"/>
        </w:numPr>
        <w:tabs>
          <w:tab w:val="left" w:pos="198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防雷、防电涌及接地</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（1）防雷</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根据《建筑物防雷设计规范》（GB50057-2010）要求，确定各构建筑物的防雷分类并按规范要求采用相应的防雷措施。</w:t>
      </w:r>
    </w:p>
    <w:p>
      <w:pPr>
        <w:pStyle w:val="32"/>
        <w:numPr>
          <w:ilvl w:val="0"/>
          <w:numId w:val="53"/>
        </w:numPr>
        <w:tabs>
          <w:tab w:val="left" w:pos="1539"/>
        </w:tabs>
        <w:spacing w:line="500" w:lineRule="exact"/>
        <w:ind w:left="0" w:firstLine="472"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2"/>
          <w:sz w:val="24"/>
          <w:szCs w:val="24"/>
        </w:rPr>
        <w:t>防电涌</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为防止或减小因雷电波侵入时对站内设施的破坏，在站内动力照明配电柜内设置电涌保护器进行过电压保护。电涌保护器的接地就近连至共用接地装置。接地接地装置采用人工接地网与自然接地网相结合，按规范要求设置。</w:t>
      </w:r>
    </w:p>
    <w:p>
      <w:pPr>
        <w:pStyle w:val="32"/>
        <w:numPr>
          <w:ilvl w:val="2"/>
          <w:numId w:val="50"/>
        </w:numPr>
        <w:tabs>
          <w:tab w:val="left" w:pos="198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主要设备选型</w:t>
      </w:r>
    </w:p>
    <w:p>
      <w:pPr>
        <w:pStyle w:val="32"/>
        <w:numPr>
          <w:ilvl w:val="0"/>
          <w:numId w:val="54"/>
        </w:numPr>
        <w:tabs>
          <w:tab w:val="left" w:pos="1683"/>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预装式箱式变电站由厂家成套设计，要求耐候性强，</w:t>
      </w:r>
      <w:r>
        <w:rPr>
          <w:rFonts w:hint="eastAsia" w:asciiTheme="minorEastAsia" w:hAnsiTheme="minorEastAsia" w:eastAsiaTheme="minorEastAsia" w:cstheme="minorEastAsia"/>
          <w:color w:val="auto"/>
          <w:sz w:val="24"/>
          <w:szCs w:val="24"/>
        </w:rPr>
        <w:t>高、低压设备、变压器成品字型布置，变压器选用免维护油浸密闭式。</w:t>
      </w:r>
    </w:p>
    <w:p>
      <w:pPr>
        <w:pStyle w:val="32"/>
        <w:numPr>
          <w:ilvl w:val="0"/>
          <w:numId w:val="54"/>
        </w:numPr>
        <w:tabs>
          <w:tab w:val="left" w:pos="1683"/>
        </w:tabs>
        <w:spacing w:line="500" w:lineRule="exact"/>
        <w:ind w:left="0"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室内照明光源选用节能型荧光灯，配电子镇流器，灯具选用敞开型，灯具效率不低于</w:t>
      </w:r>
      <w:r>
        <w:rPr>
          <w:rFonts w:hint="eastAsia" w:asciiTheme="minorEastAsia" w:hAnsiTheme="minorEastAsia" w:eastAsiaTheme="minorEastAsia" w:cstheme="minorEastAsia"/>
          <w:color w:val="auto"/>
          <w:sz w:val="24"/>
          <w:szCs w:val="24"/>
        </w:rPr>
        <w:t>75%。</w:t>
      </w:r>
    </w:p>
    <w:p>
      <w:pPr>
        <w:pStyle w:val="32"/>
        <w:numPr>
          <w:ilvl w:val="0"/>
          <w:numId w:val="54"/>
        </w:numPr>
        <w:tabs>
          <w:tab w:val="left" w:pos="1683"/>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 xml:space="preserve">室外照明光源推荐 </w:t>
      </w:r>
      <w:r>
        <w:rPr>
          <w:rFonts w:hint="eastAsia" w:asciiTheme="minorEastAsia" w:hAnsiTheme="minorEastAsia" w:eastAsiaTheme="minorEastAsia" w:cstheme="minorEastAsia"/>
          <w:color w:val="auto"/>
          <w:sz w:val="24"/>
          <w:szCs w:val="24"/>
        </w:rPr>
        <w:t>LED</w:t>
      </w:r>
      <w:r>
        <w:rPr>
          <w:rFonts w:hint="eastAsia" w:asciiTheme="minorEastAsia" w:hAnsiTheme="minorEastAsia" w:eastAsiaTheme="minorEastAsia" w:cstheme="minorEastAsia"/>
          <w:color w:val="auto"/>
          <w:spacing w:val="-5"/>
          <w:sz w:val="24"/>
          <w:szCs w:val="24"/>
        </w:rPr>
        <w:t xml:space="preserve"> 灯，配节能电感镇流器和补偿电容，功率因数不低于</w:t>
      </w:r>
      <w:r>
        <w:rPr>
          <w:rFonts w:hint="eastAsia" w:asciiTheme="minorEastAsia" w:hAnsiTheme="minorEastAsia" w:eastAsiaTheme="minorEastAsia" w:cstheme="minorEastAsia"/>
          <w:color w:val="auto"/>
          <w:sz w:val="24"/>
          <w:szCs w:val="24"/>
        </w:rPr>
        <w:t>0.9</w:t>
      </w:r>
      <w:r>
        <w:rPr>
          <w:rFonts w:hint="eastAsia" w:asciiTheme="minorEastAsia" w:hAnsiTheme="minorEastAsia" w:eastAsiaTheme="minorEastAsia" w:cstheme="minorEastAsia"/>
          <w:color w:val="auto"/>
          <w:spacing w:val="-5"/>
          <w:sz w:val="24"/>
          <w:szCs w:val="24"/>
        </w:rPr>
        <w:t>，灯具选用透光罩，灯具效率不低于</w:t>
      </w:r>
      <w:r>
        <w:rPr>
          <w:rFonts w:hint="eastAsia" w:asciiTheme="minorEastAsia" w:hAnsiTheme="minorEastAsia" w:eastAsiaTheme="minorEastAsia" w:cstheme="minorEastAsia"/>
          <w:color w:val="auto"/>
          <w:spacing w:val="-3"/>
          <w:sz w:val="24"/>
          <w:szCs w:val="24"/>
        </w:rPr>
        <w:t>60</w:t>
      </w:r>
      <w:r>
        <w:rPr>
          <w:rFonts w:hint="eastAsia" w:asciiTheme="minorEastAsia" w:hAnsiTheme="minorEastAsia" w:eastAsiaTheme="minorEastAsia" w:cstheme="minorEastAsia"/>
          <w:color w:val="auto"/>
          <w:spacing w:val="-5"/>
          <w:sz w:val="24"/>
          <w:szCs w:val="24"/>
        </w:rPr>
        <w:t>%，灯具根据工作环境应满足防水、防尘要求。</w:t>
      </w:r>
    </w:p>
    <w:p>
      <w:pPr>
        <w:pStyle w:val="32"/>
        <w:numPr>
          <w:ilvl w:val="0"/>
          <w:numId w:val="54"/>
        </w:numPr>
        <w:tabs>
          <w:tab w:val="left" w:pos="1683"/>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电缆选用聚氯乙烯绝缘聚氯乙烯护套钢带铠装屏蔽电缆。</w:t>
      </w:r>
    </w:p>
    <w:p>
      <w:pPr>
        <w:pStyle w:val="32"/>
        <w:numPr>
          <w:ilvl w:val="0"/>
          <w:numId w:val="54"/>
        </w:numPr>
        <w:tabs>
          <w:tab w:val="left" w:pos="1683"/>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接地装置采用热镀锌型钢。</w:t>
      </w:r>
    </w:p>
    <w:p>
      <w:pPr>
        <w:pStyle w:val="2"/>
        <w:numPr>
          <w:ilvl w:val="1"/>
          <w:numId w:val="50"/>
        </w:numPr>
        <w:tabs>
          <w:tab w:val="left" w:pos="1625"/>
        </w:tabs>
        <w:spacing w:before="0" w:line="500" w:lineRule="exact"/>
        <w:ind w:left="0" w:firstLine="0"/>
        <w:jc w:val="both"/>
        <w:rPr>
          <w:rFonts w:asciiTheme="minorEastAsia" w:hAnsiTheme="minorEastAsia" w:eastAsiaTheme="minorEastAsia" w:cstheme="minorEastAsia"/>
          <w:color w:val="auto"/>
          <w:sz w:val="24"/>
          <w:szCs w:val="24"/>
        </w:rPr>
      </w:pPr>
      <w:bookmarkStart w:id="100" w:name="6.4自控设计"/>
      <w:bookmarkEnd w:id="100"/>
      <w:bookmarkStart w:id="101" w:name="_Toc26389"/>
      <w:bookmarkStart w:id="102" w:name="_Toc12675"/>
      <w:r>
        <w:rPr>
          <w:rFonts w:hint="eastAsia" w:asciiTheme="minorEastAsia" w:hAnsiTheme="minorEastAsia" w:eastAsiaTheme="minorEastAsia" w:cstheme="minorEastAsia"/>
          <w:color w:val="auto"/>
          <w:sz w:val="24"/>
          <w:szCs w:val="24"/>
        </w:rPr>
        <w:t>自控设计</w:t>
      </w:r>
      <w:bookmarkEnd w:id="101"/>
      <w:bookmarkEnd w:id="102"/>
    </w:p>
    <w:p>
      <w:pPr>
        <w:pStyle w:val="32"/>
        <w:numPr>
          <w:ilvl w:val="2"/>
          <w:numId w:val="50"/>
        </w:numPr>
        <w:tabs>
          <w:tab w:val="left" w:pos="198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规范和标准</w:t>
      </w:r>
    </w:p>
    <w:p>
      <w:pPr>
        <w:pStyle w:val="32"/>
        <w:numPr>
          <w:ilvl w:val="0"/>
          <w:numId w:val="55"/>
        </w:numPr>
        <w:tabs>
          <w:tab w:val="left" w:pos="1683"/>
        </w:tabs>
        <w:spacing w:line="500" w:lineRule="exact"/>
        <w:ind w:left="0"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《自动化控制仪表选型规范》（HG/T20507-2014）</w:t>
      </w:r>
    </w:p>
    <w:p>
      <w:pPr>
        <w:pStyle w:val="32"/>
        <w:numPr>
          <w:ilvl w:val="0"/>
          <w:numId w:val="55"/>
        </w:numPr>
        <w:tabs>
          <w:tab w:val="left" w:pos="1683"/>
        </w:tabs>
        <w:spacing w:line="500" w:lineRule="exact"/>
        <w:ind w:left="0"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《仪表配管、配线设计规范》（HG/T20512-2014）</w:t>
      </w:r>
    </w:p>
    <w:p>
      <w:pPr>
        <w:pStyle w:val="32"/>
        <w:numPr>
          <w:ilvl w:val="0"/>
          <w:numId w:val="55"/>
        </w:numPr>
        <w:tabs>
          <w:tab w:val="left" w:pos="1683"/>
        </w:tabs>
        <w:spacing w:line="500" w:lineRule="exact"/>
        <w:ind w:left="0"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《仪表系统接地设计规范》（HG/T20513-2014）</w:t>
      </w:r>
    </w:p>
    <w:p>
      <w:pPr>
        <w:pStyle w:val="32"/>
        <w:numPr>
          <w:ilvl w:val="0"/>
          <w:numId w:val="55"/>
        </w:numPr>
        <w:tabs>
          <w:tab w:val="left" w:pos="1683"/>
        </w:tabs>
        <w:spacing w:line="500" w:lineRule="exact"/>
        <w:ind w:left="0"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《控制室设计规范》 （HG/T 20508-2014）</w:t>
      </w:r>
    </w:p>
    <w:p>
      <w:pPr>
        <w:pStyle w:val="32"/>
        <w:numPr>
          <w:ilvl w:val="0"/>
          <w:numId w:val="55"/>
        </w:numPr>
        <w:tabs>
          <w:tab w:val="left" w:pos="1683"/>
        </w:tabs>
        <w:spacing w:line="500" w:lineRule="exact"/>
        <w:ind w:left="0"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《仪表供电设计规范》 （HG/T20509-2014）</w:t>
      </w:r>
    </w:p>
    <w:p>
      <w:pPr>
        <w:pStyle w:val="32"/>
        <w:numPr>
          <w:ilvl w:val="0"/>
          <w:numId w:val="55"/>
        </w:numPr>
        <w:tabs>
          <w:tab w:val="left" w:pos="1683"/>
        </w:tabs>
        <w:spacing w:line="500" w:lineRule="exact"/>
        <w:ind w:left="0"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《分散型控制系统工程设计规范》（HG/T20573- 2012）</w:t>
      </w:r>
    </w:p>
    <w:p>
      <w:pPr>
        <w:pStyle w:val="32"/>
        <w:numPr>
          <w:ilvl w:val="0"/>
          <w:numId w:val="55"/>
        </w:numPr>
        <w:tabs>
          <w:tab w:val="left" w:pos="1683"/>
        </w:tabs>
        <w:spacing w:line="500" w:lineRule="exact"/>
        <w:ind w:left="0"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《自动化仪表工程施工及验收规范》（GB50093- 2013）</w:t>
      </w:r>
    </w:p>
    <w:p>
      <w:pPr>
        <w:pStyle w:val="32"/>
        <w:numPr>
          <w:ilvl w:val="0"/>
          <w:numId w:val="55"/>
        </w:numPr>
        <w:tabs>
          <w:tab w:val="left" w:pos="1683"/>
        </w:tabs>
        <w:spacing w:line="500" w:lineRule="exact"/>
        <w:ind w:left="0"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《建筑物防雷设计规范》（GB50057-2010）</w:t>
      </w:r>
    </w:p>
    <w:p>
      <w:pPr>
        <w:pStyle w:val="32"/>
        <w:numPr>
          <w:ilvl w:val="0"/>
          <w:numId w:val="55"/>
        </w:numPr>
        <w:tabs>
          <w:tab w:val="left" w:pos="1683"/>
        </w:tabs>
        <w:spacing w:line="500" w:lineRule="exact"/>
        <w:ind w:left="0"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《电力工程电缆设计规范》（GB50217-2007）</w:t>
      </w:r>
    </w:p>
    <w:p>
      <w:pPr>
        <w:pStyle w:val="32"/>
        <w:numPr>
          <w:ilvl w:val="2"/>
          <w:numId w:val="50"/>
        </w:numPr>
        <w:tabs>
          <w:tab w:val="left" w:pos="198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设计原则</w:t>
      </w:r>
    </w:p>
    <w:p>
      <w:pPr>
        <w:pStyle w:val="32"/>
        <w:numPr>
          <w:ilvl w:val="0"/>
          <w:numId w:val="56"/>
        </w:numPr>
        <w:tabs>
          <w:tab w:val="left" w:pos="1683"/>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在污水处理过程中要求整个系统必须安全、可靠运</w:t>
      </w:r>
      <w:r>
        <w:rPr>
          <w:rFonts w:hint="eastAsia" w:asciiTheme="minorEastAsia" w:hAnsiTheme="minorEastAsia" w:eastAsiaTheme="minorEastAsia" w:cstheme="minorEastAsia"/>
          <w:color w:val="auto"/>
          <w:spacing w:val="-6"/>
          <w:sz w:val="24"/>
          <w:szCs w:val="24"/>
        </w:rPr>
        <w:t>行，在工艺设备、仪表、电气自控系统、计算机网络系统和软件</w:t>
      </w:r>
      <w:r>
        <w:rPr>
          <w:rFonts w:hint="eastAsia" w:asciiTheme="minorEastAsia" w:hAnsiTheme="minorEastAsia" w:eastAsiaTheme="minorEastAsia" w:cstheme="minorEastAsia"/>
          <w:color w:val="auto"/>
          <w:spacing w:val="-5"/>
          <w:sz w:val="24"/>
          <w:szCs w:val="24"/>
        </w:rPr>
        <w:t>设计等方面，系统的可靠性是考虑的重要原则。局部设备的故 障，不应造成系统的崩溃和瘫痪。系统应具有高度的可靠性。</w:t>
      </w:r>
    </w:p>
    <w:p>
      <w:pPr>
        <w:pStyle w:val="32"/>
        <w:numPr>
          <w:ilvl w:val="0"/>
          <w:numId w:val="56"/>
        </w:numPr>
        <w:tabs>
          <w:tab w:val="left" w:pos="1683"/>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为保证污水处理站的安全运行，自控系统设立二级控</w:t>
      </w:r>
      <w:r>
        <w:rPr>
          <w:rFonts w:hint="eastAsia" w:asciiTheme="minorEastAsia" w:hAnsiTheme="minorEastAsia" w:eastAsiaTheme="minorEastAsia" w:cstheme="minorEastAsia"/>
          <w:color w:val="auto"/>
          <w:spacing w:val="-6"/>
          <w:sz w:val="24"/>
          <w:szCs w:val="24"/>
        </w:rPr>
        <w:t>制层：现场控制和远程监控。现场控制是指现场完成控制功能；远程监控是指由远程通过网络对全厂的生产过程进行控制、监测</w:t>
      </w:r>
      <w:r>
        <w:rPr>
          <w:rFonts w:hint="eastAsia" w:asciiTheme="minorEastAsia" w:hAnsiTheme="minorEastAsia" w:eastAsiaTheme="minorEastAsia" w:cstheme="minorEastAsia"/>
          <w:color w:val="auto"/>
          <w:spacing w:val="-3"/>
          <w:sz w:val="24"/>
          <w:szCs w:val="24"/>
        </w:rPr>
        <w:t>和记录。</w:t>
      </w:r>
    </w:p>
    <w:p>
      <w:pPr>
        <w:pStyle w:val="32"/>
        <w:numPr>
          <w:ilvl w:val="0"/>
          <w:numId w:val="56"/>
        </w:numPr>
        <w:tabs>
          <w:tab w:val="left" w:pos="1683"/>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设备发生异常、故障或报警时，系统可自动切换到相</w:t>
      </w:r>
      <w:r>
        <w:rPr>
          <w:rFonts w:hint="eastAsia" w:asciiTheme="minorEastAsia" w:hAnsiTheme="minorEastAsia" w:eastAsiaTheme="minorEastAsia" w:cstheme="minorEastAsia"/>
          <w:color w:val="auto"/>
          <w:spacing w:val="-6"/>
          <w:sz w:val="24"/>
          <w:szCs w:val="24"/>
        </w:rPr>
        <w:t>关备用设备。同时记录事故内容，并对相关参数进行事故追忆。</w:t>
      </w:r>
    </w:p>
    <w:p>
      <w:pPr>
        <w:pStyle w:val="32"/>
        <w:numPr>
          <w:ilvl w:val="0"/>
          <w:numId w:val="56"/>
        </w:numPr>
        <w:tabs>
          <w:tab w:val="left" w:pos="1683"/>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对运行工艺设备、仪表、电气自控系统设计保证其安</w:t>
      </w:r>
      <w:r>
        <w:rPr>
          <w:rFonts w:hint="eastAsia" w:asciiTheme="minorEastAsia" w:hAnsiTheme="minorEastAsia" w:eastAsiaTheme="minorEastAsia" w:cstheme="minorEastAsia"/>
          <w:color w:val="auto"/>
          <w:spacing w:val="-6"/>
          <w:sz w:val="24"/>
          <w:szCs w:val="24"/>
        </w:rPr>
        <w:t>全可靠运行的保护措施，例如，水下设备具备电机过热保护功能、泄漏保护功能、油室进水保护功能。电源系统加装串联式防</w:t>
      </w:r>
      <w:r>
        <w:rPr>
          <w:rFonts w:hint="eastAsia" w:asciiTheme="minorEastAsia" w:hAnsiTheme="minorEastAsia" w:eastAsiaTheme="minorEastAsia" w:cstheme="minorEastAsia"/>
          <w:color w:val="auto"/>
          <w:spacing w:val="-5"/>
          <w:sz w:val="24"/>
          <w:szCs w:val="24"/>
        </w:rPr>
        <w:t>雷保护装置，弱电系统加浪涌抑制保护。</w:t>
      </w:r>
    </w:p>
    <w:p>
      <w:pPr>
        <w:pStyle w:val="32"/>
        <w:numPr>
          <w:ilvl w:val="2"/>
          <w:numId w:val="50"/>
        </w:numPr>
        <w:tabs>
          <w:tab w:val="left" w:pos="198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自控仪表</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现场仪表选型本着技术先进、安全可靠、维修方便和经济合理的原则进行选型。仪表电源由UPS电源供电。</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本工程中的过程检测仪表分散设置在各个工艺处理构筑物内及工艺管道上，主要有：</w:t>
      </w:r>
    </w:p>
    <w:p>
      <w:pPr>
        <w:pStyle w:val="32"/>
        <w:numPr>
          <w:ilvl w:val="0"/>
          <w:numId w:val="57"/>
        </w:numPr>
        <w:tabs>
          <w:tab w:val="left" w:pos="1683"/>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液位仪表选用超声波液位计结合就地磁翻板液位计和</w:t>
      </w:r>
      <w:r>
        <w:rPr>
          <w:rFonts w:hint="eastAsia" w:asciiTheme="minorEastAsia" w:hAnsiTheme="minorEastAsia" w:eastAsiaTheme="minorEastAsia" w:cstheme="minorEastAsia"/>
          <w:color w:val="auto"/>
          <w:sz w:val="24"/>
          <w:szCs w:val="24"/>
        </w:rPr>
        <w:t>浮球液位计。</w:t>
      </w:r>
    </w:p>
    <w:p>
      <w:pPr>
        <w:pStyle w:val="32"/>
        <w:numPr>
          <w:ilvl w:val="0"/>
          <w:numId w:val="57"/>
        </w:numPr>
        <w:tabs>
          <w:tab w:val="left" w:pos="1683"/>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流量仪表选用电磁流量计。</w:t>
      </w:r>
    </w:p>
    <w:p>
      <w:pPr>
        <w:pStyle w:val="32"/>
        <w:numPr>
          <w:ilvl w:val="0"/>
          <w:numId w:val="57"/>
        </w:numPr>
        <w:tabs>
          <w:tab w:val="left" w:pos="1683"/>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压力表采用不锈钢耐震压力表。</w:t>
      </w:r>
    </w:p>
    <w:p>
      <w:pPr>
        <w:pStyle w:val="32"/>
        <w:numPr>
          <w:ilvl w:val="0"/>
          <w:numId w:val="57"/>
        </w:numPr>
        <w:tabs>
          <w:tab w:val="left" w:pos="1683"/>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在线分析仪表选用在线溶氧仪、氨氮检测仪、</w:t>
      </w:r>
      <w:r>
        <w:rPr>
          <w:rFonts w:hint="eastAsia" w:asciiTheme="minorEastAsia" w:hAnsiTheme="minorEastAsia" w:eastAsiaTheme="minorEastAsia" w:cstheme="minorEastAsia"/>
          <w:color w:val="auto"/>
          <w:sz w:val="24"/>
          <w:szCs w:val="24"/>
        </w:rPr>
        <w:t>PH/T</w:t>
      </w:r>
      <w:r>
        <w:rPr>
          <w:rFonts w:hint="eastAsia" w:asciiTheme="minorEastAsia" w:hAnsiTheme="minorEastAsia" w:eastAsiaTheme="minorEastAsia" w:cstheme="minorEastAsia"/>
          <w:color w:val="auto"/>
          <w:spacing w:val="-11"/>
          <w:sz w:val="24"/>
          <w:szCs w:val="24"/>
        </w:rPr>
        <w:t>、</w:t>
      </w:r>
      <w:r>
        <w:rPr>
          <w:rFonts w:hint="eastAsia" w:asciiTheme="minorEastAsia" w:hAnsiTheme="minorEastAsia" w:eastAsiaTheme="minorEastAsia" w:cstheme="minorEastAsia"/>
          <w:color w:val="auto"/>
          <w:sz w:val="24"/>
          <w:szCs w:val="24"/>
        </w:rPr>
        <w:t>COD</w:t>
      </w:r>
      <w:r>
        <w:rPr>
          <w:rFonts w:hint="eastAsia" w:asciiTheme="minorEastAsia" w:hAnsiTheme="minorEastAsia" w:eastAsiaTheme="minorEastAsia" w:cstheme="minorEastAsia"/>
          <w:color w:val="auto"/>
          <w:spacing w:val="-3"/>
          <w:sz w:val="24"/>
          <w:szCs w:val="24"/>
        </w:rPr>
        <w:t xml:space="preserve"> 等。</w:t>
      </w:r>
    </w:p>
    <w:p>
      <w:pPr>
        <w:spacing w:line="500" w:lineRule="exact"/>
        <w:ind w:firstLine="480" w:firstLineChars="200"/>
        <w:jc w:val="both"/>
        <w:rPr>
          <w:rFonts w:asciiTheme="minorEastAsia" w:hAnsiTheme="minorEastAsia" w:eastAsiaTheme="minorEastAsia" w:cstheme="minorEastAsia"/>
          <w:color w:val="auto"/>
          <w:sz w:val="24"/>
          <w:szCs w:val="24"/>
        </w:rPr>
        <w:sectPr>
          <w:footerReference r:id="rId11" w:type="default"/>
          <w:type w:val="nextColumn"/>
          <w:pgSz w:w="11910" w:h="16840"/>
          <w:pgMar w:top="1418" w:right="1418" w:bottom="1418" w:left="1701" w:header="0" w:footer="512" w:gutter="0"/>
          <w:cols w:space="720" w:num="1"/>
        </w:sectPr>
      </w:pPr>
    </w:p>
    <w:p>
      <w:pPr>
        <w:pStyle w:val="2"/>
        <w:ind w:left="0"/>
        <w:jc w:val="center"/>
        <w:rPr>
          <w:color w:val="auto"/>
        </w:rPr>
      </w:pPr>
      <w:bookmarkStart w:id="103" w:name="七_、项目管理及实施计划"/>
      <w:bookmarkEnd w:id="103"/>
      <w:bookmarkStart w:id="104" w:name="_Toc8518"/>
      <w:bookmarkStart w:id="105" w:name="_Toc19106"/>
      <w:r>
        <w:rPr>
          <w:rFonts w:hint="eastAsia"/>
          <w:color w:val="auto"/>
        </w:rPr>
        <w:t>七 、项目管理及实施计划</w:t>
      </w:r>
      <w:bookmarkEnd w:id="104"/>
      <w:bookmarkEnd w:id="105"/>
    </w:p>
    <w:p>
      <w:pPr>
        <w:pStyle w:val="2"/>
        <w:numPr>
          <w:ilvl w:val="1"/>
          <w:numId w:val="58"/>
        </w:numPr>
        <w:tabs>
          <w:tab w:val="left" w:pos="1100"/>
        </w:tabs>
        <w:spacing w:before="0" w:line="500" w:lineRule="exact"/>
        <w:jc w:val="both"/>
        <w:rPr>
          <w:rFonts w:asciiTheme="minorEastAsia" w:hAnsiTheme="minorEastAsia" w:eastAsiaTheme="minorEastAsia" w:cstheme="minorEastAsia"/>
          <w:color w:val="auto"/>
          <w:sz w:val="24"/>
          <w:szCs w:val="24"/>
        </w:rPr>
      </w:pPr>
      <w:bookmarkStart w:id="106" w:name="7.1实施原则"/>
      <w:bookmarkEnd w:id="106"/>
      <w:bookmarkStart w:id="107" w:name="_Toc23471"/>
      <w:bookmarkStart w:id="108" w:name="_Toc6874"/>
      <w:r>
        <w:rPr>
          <w:rFonts w:hint="eastAsia" w:asciiTheme="minorEastAsia" w:hAnsiTheme="minorEastAsia" w:eastAsiaTheme="minorEastAsia" w:cstheme="minorEastAsia"/>
          <w:color w:val="auto"/>
          <w:sz w:val="24"/>
          <w:szCs w:val="24"/>
        </w:rPr>
        <w:t>实施原则</w:t>
      </w:r>
      <w:bookmarkEnd w:id="107"/>
      <w:bookmarkEnd w:id="108"/>
    </w:p>
    <w:p>
      <w:pPr>
        <w:pStyle w:val="32"/>
        <w:numPr>
          <w:ilvl w:val="0"/>
          <w:numId w:val="59"/>
        </w:numPr>
        <w:tabs>
          <w:tab w:val="left" w:pos="1683"/>
        </w:tabs>
        <w:spacing w:line="500" w:lineRule="exact"/>
        <w:ind w:left="0"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本工程项目的实施应符合国内基本建设项目的审批程序。因本项目工作点分散，时间要求又紧迫，建议由罗定分局负责确定项目的全过程、预结算、监理等服务类项目的实施单位。</w:t>
      </w:r>
    </w:p>
    <w:p>
      <w:pPr>
        <w:pStyle w:val="32"/>
        <w:numPr>
          <w:ilvl w:val="0"/>
          <w:numId w:val="59"/>
        </w:numPr>
        <w:tabs>
          <w:tab w:val="left" w:pos="1683"/>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施工必须具备相应的设计资质，或者与有相应资质的</w:t>
      </w:r>
      <w:r>
        <w:rPr>
          <w:rFonts w:hint="eastAsia" w:asciiTheme="minorEastAsia" w:hAnsiTheme="minorEastAsia" w:eastAsiaTheme="minorEastAsia" w:cstheme="minorEastAsia"/>
          <w:color w:val="auto"/>
          <w:spacing w:val="4"/>
          <w:sz w:val="24"/>
          <w:szCs w:val="24"/>
        </w:rPr>
        <w:t>设计单位组成联合体，</w:t>
      </w:r>
      <w:r>
        <w:rPr>
          <w:rFonts w:hint="eastAsia" w:asciiTheme="minorEastAsia" w:hAnsiTheme="minorEastAsia" w:eastAsiaTheme="minorEastAsia" w:cstheme="minorEastAsia"/>
          <w:color w:val="auto"/>
          <w:spacing w:val="-8"/>
          <w:sz w:val="24"/>
          <w:szCs w:val="24"/>
        </w:rPr>
        <w:t>按设计给出</w:t>
      </w:r>
      <w:r>
        <w:rPr>
          <w:rFonts w:hint="eastAsia" w:asciiTheme="minorEastAsia" w:hAnsiTheme="minorEastAsia" w:eastAsiaTheme="minorEastAsia" w:cstheme="minorEastAsia"/>
          <w:color w:val="auto"/>
          <w:spacing w:val="-5"/>
          <w:sz w:val="24"/>
          <w:szCs w:val="24"/>
        </w:rPr>
        <w:t>来的分期施工图进行施工、采购、运营一体化运作。</w:t>
      </w:r>
    </w:p>
    <w:p>
      <w:pPr>
        <w:pStyle w:val="32"/>
        <w:numPr>
          <w:ilvl w:val="2"/>
          <w:numId w:val="60"/>
        </w:numPr>
        <w:tabs>
          <w:tab w:val="left" w:pos="1196"/>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计划与安排</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初步项目实施计划安排如下：</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第一阶段：完成本项目采用EPC</w:t>
      </w:r>
      <w:r>
        <w:rPr>
          <w:rFonts w:hint="eastAsia" w:asciiTheme="minorEastAsia" w:hAnsiTheme="minorEastAsia" w:eastAsiaTheme="minorEastAsia" w:cstheme="minorEastAsia"/>
          <w:color w:val="auto"/>
          <w:spacing w:val="-8"/>
          <w:sz w:val="24"/>
          <w:szCs w:val="24"/>
        </w:rPr>
        <w:t>模式可行性研究报告后，后</w:t>
      </w:r>
      <w:r>
        <w:rPr>
          <w:rFonts w:hint="eastAsia" w:asciiTheme="minorEastAsia" w:hAnsiTheme="minorEastAsia" w:eastAsiaTheme="minorEastAsia" w:cstheme="minorEastAsia"/>
          <w:color w:val="auto"/>
          <w:spacing w:val="-5"/>
          <w:sz w:val="24"/>
          <w:szCs w:val="24"/>
        </w:rPr>
        <w:t>续环节包括项目实施方案、实施人采购。</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第二阶段：完成实施人采购后，由实施人组建项目公司并由项目公司完成项目的初步设计及审查、施工图设计、工程施工、设备安装调试、竣工验收、试运行等阶段。</w:t>
      </w:r>
    </w:p>
    <w:p>
      <w:pPr>
        <w:pStyle w:val="10"/>
        <w:spacing w:line="500" w:lineRule="exact"/>
        <w:ind w:firstLine="480" w:firstLineChars="200"/>
        <w:jc w:val="both"/>
        <w:rPr>
          <w:rFonts w:hint="default" w:asciiTheme="minorEastAsia" w:hAnsiTheme="minorEastAsia" w:eastAsiaTheme="minorEastAsia" w:cstheme="minorEastAsia"/>
          <w:color w:val="auto"/>
          <w:sz w:val="24"/>
          <w:szCs w:val="24"/>
          <w:lang w:val="en-US" w:eastAsia="zh-CN"/>
        </w:rPr>
      </w:pPr>
      <w:r>
        <w:rPr>
          <w:rFonts w:hint="eastAsia" w:asciiTheme="minorEastAsia" w:hAnsiTheme="minorEastAsia" w:eastAsiaTheme="minorEastAsia" w:cstheme="minorEastAsia"/>
          <w:color w:val="auto"/>
          <w:sz w:val="24"/>
          <w:szCs w:val="24"/>
          <w:lang w:val="en-US" w:eastAsia="zh-CN"/>
        </w:rPr>
        <w:t>2024年01月</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z w:val="24"/>
          <w:szCs w:val="24"/>
          <w:lang w:val="en-US" w:eastAsia="zh-CN"/>
        </w:rPr>
        <w:t>2024年03月完成可行性研究报告编制及项目立项；</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202</w:t>
      </w:r>
      <w:r>
        <w:rPr>
          <w:rFonts w:hint="eastAsia" w:asciiTheme="minorEastAsia" w:hAnsiTheme="minorEastAsia" w:eastAsiaTheme="minorEastAsia" w:cstheme="minorEastAsia"/>
          <w:color w:val="auto"/>
          <w:sz w:val="24"/>
          <w:szCs w:val="24"/>
          <w:lang w:val="en-US" w:eastAsia="zh-CN"/>
        </w:rPr>
        <w:t>4</w:t>
      </w:r>
      <w:r>
        <w:rPr>
          <w:rFonts w:hint="eastAsia" w:asciiTheme="minorEastAsia" w:hAnsiTheme="minorEastAsia" w:eastAsiaTheme="minorEastAsia" w:cstheme="minorEastAsia"/>
          <w:color w:val="auto"/>
          <w:sz w:val="24"/>
          <w:szCs w:val="24"/>
        </w:rPr>
        <w:t>年</w:t>
      </w:r>
      <w:r>
        <w:rPr>
          <w:rFonts w:hint="eastAsia" w:asciiTheme="minorEastAsia" w:hAnsiTheme="minorEastAsia" w:eastAsiaTheme="minorEastAsia" w:cstheme="minorEastAsia"/>
          <w:color w:val="auto"/>
          <w:sz w:val="24"/>
          <w:szCs w:val="24"/>
          <w:lang w:val="en-US" w:eastAsia="zh-CN"/>
        </w:rPr>
        <w:t>4</w:t>
      </w:r>
      <w:r>
        <w:rPr>
          <w:rFonts w:hint="eastAsia" w:asciiTheme="minorEastAsia" w:hAnsiTheme="minorEastAsia" w:eastAsiaTheme="minorEastAsia" w:cstheme="minorEastAsia"/>
          <w:color w:val="auto"/>
          <w:sz w:val="24"/>
          <w:szCs w:val="24"/>
        </w:rPr>
        <w:t>月完成实施人对全过程咨询单位的招标；</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202</w:t>
      </w:r>
      <w:r>
        <w:rPr>
          <w:rFonts w:hint="eastAsia" w:asciiTheme="minorEastAsia" w:hAnsiTheme="minorEastAsia" w:eastAsiaTheme="minorEastAsia" w:cstheme="minorEastAsia"/>
          <w:color w:val="auto"/>
          <w:sz w:val="24"/>
          <w:szCs w:val="24"/>
          <w:lang w:val="en-US" w:eastAsia="zh-CN"/>
        </w:rPr>
        <w:t>4</w:t>
      </w:r>
      <w:r>
        <w:rPr>
          <w:rFonts w:hint="eastAsia" w:asciiTheme="minorEastAsia" w:hAnsiTheme="minorEastAsia" w:eastAsiaTheme="minorEastAsia" w:cstheme="minorEastAsia"/>
          <w:color w:val="auto"/>
          <w:sz w:val="24"/>
          <w:szCs w:val="24"/>
        </w:rPr>
        <w:t>年</w:t>
      </w:r>
      <w:r>
        <w:rPr>
          <w:rFonts w:hint="eastAsia" w:asciiTheme="minorEastAsia" w:hAnsiTheme="minorEastAsia" w:eastAsiaTheme="minorEastAsia" w:cstheme="minorEastAsia"/>
          <w:color w:val="auto"/>
          <w:sz w:val="24"/>
          <w:szCs w:val="24"/>
          <w:lang w:val="en-US" w:eastAsia="zh-CN"/>
        </w:rPr>
        <w:t>5</w:t>
      </w:r>
      <w:r>
        <w:rPr>
          <w:rFonts w:hint="eastAsia" w:asciiTheme="minorEastAsia" w:hAnsiTheme="minorEastAsia" w:eastAsiaTheme="minorEastAsia" w:cstheme="minorEastAsia"/>
          <w:color w:val="auto"/>
          <w:sz w:val="24"/>
          <w:szCs w:val="24"/>
          <w:lang w:val="en-US"/>
        </w:rPr>
        <w:t>月</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z w:val="24"/>
          <w:szCs w:val="24"/>
          <w:lang w:val="en-US" w:eastAsia="zh-CN"/>
        </w:rPr>
        <w:t>7</w:t>
      </w:r>
      <w:r>
        <w:rPr>
          <w:rFonts w:hint="eastAsia" w:asciiTheme="minorEastAsia" w:hAnsiTheme="minorEastAsia" w:eastAsiaTheme="minorEastAsia" w:cstheme="minorEastAsia"/>
          <w:color w:val="auto"/>
          <w:sz w:val="24"/>
          <w:szCs w:val="24"/>
        </w:rPr>
        <w:t>月实施人完成对EPC单位的招标，并组建项目公司并完成EPC合同签署；</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202</w:t>
      </w:r>
      <w:r>
        <w:rPr>
          <w:rFonts w:hint="eastAsia" w:asciiTheme="minorEastAsia" w:hAnsiTheme="minorEastAsia" w:eastAsiaTheme="minorEastAsia" w:cstheme="minorEastAsia"/>
          <w:color w:val="auto"/>
          <w:sz w:val="24"/>
          <w:szCs w:val="24"/>
          <w:lang w:val="en-US" w:eastAsia="zh-CN"/>
        </w:rPr>
        <w:t>4</w:t>
      </w:r>
      <w:r>
        <w:rPr>
          <w:rFonts w:hint="eastAsia" w:asciiTheme="minorEastAsia" w:hAnsiTheme="minorEastAsia" w:eastAsiaTheme="minorEastAsia" w:cstheme="minorEastAsia"/>
          <w:color w:val="auto"/>
          <w:sz w:val="24"/>
          <w:szCs w:val="24"/>
        </w:rPr>
        <w:t>年</w:t>
      </w:r>
      <w:r>
        <w:rPr>
          <w:rFonts w:hint="eastAsia" w:asciiTheme="minorEastAsia" w:hAnsiTheme="minorEastAsia" w:eastAsiaTheme="minorEastAsia" w:cstheme="minorEastAsia"/>
          <w:color w:val="auto"/>
          <w:sz w:val="24"/>
          <w:szCs w:val="24"/>
          <w:lang w:val="en-US" w:eastAsia="zh-CN"/>
        </w:rPr>
        <w:t>8</w:t>
      </w:r>
      <w:r>
        <w:rPr>
          <w:rFonts w:hint="eastAsia" w:asciiTheme="minorEastAsia" w:hAnsiTheme="minorEastAsia" w:eastAsiaTheme="minorEastAsia" w:cstheme="minorEastAsia"/>
          <w:color w:val="auto"/>
          <w:sz w:val="24"/>
          <w:szCs w:val="24"/>
        </w:rPr>
        <w:t>月～202</w:t>
      </w:r>
      <w:r>
        <w:rPr>
          <w:rFonts w:hint="eastAsia" w:asciiTheme="minorEastAsia" w:hAnsiTheme="minorEastAsia" w:eastAsiaTheme="minorEastAsia" w:cstheme="minorEastAsia"/>
          <w:color w:val="auto"/>
          <w:sz w:val="24"/>
          <w:szCs w:val="24"/>
          <w:lang w:val="en-US" w:eastAsia="zh-CN"/>
        </w:rPr>
        <w:t>5</w:t>
      </w:r>
      <w:r>
        <w:rPr>
          <w:rFonts w:hint="eastAsia" w:asciiTheme="minorEastAsia" w:hAnsiTheme="minorEastAsia" w:eastAsiaTheme="minorEastAsia" w:cstheme="minorEastAsia"/>
          <w:color w:val="auto"/>
          <w:sz w:val="24"/>
          <w:szCs w:val="24"/>
        </w:rPr>
        <w:t>年</w:t>
      </w:r>
      <w:r>
        <w:rPr>
          <w:rFonts w:hint="eastAsia" w:asciiTheme="minorEastAsia" w:hAnsiTheme="minorEastAsia" w:eastAsiaTheme="minorEastAsia" w:cstheme="minorEastAsia"/>
          <w:color w:val="auto"/>
          <w:sz w:val="24"/>
          <w:szCs w:val="24"/>
          <w:lang w:val="en-US" w:eastAsia="zh-CN"/>
        </w:rPr>
        <w:t>6</w:t>
      </w:r>
      <w:r>
        <w:rPr>
          <w:rFonts w:hint="eastAsia" w:asciiTheme="minorEastAsia" w:hAnsiTheme="minorEastAsia" w:eastAsiaTheme="minorEastAsia" w:cstheme="minorEastAsia"/>
          <w:color w:val="auto"/>
          <w:sz w:val="24"/>
          <w:szCs w:val="24"/>
        </w:rPr>
        <w:t>月完成项目工程初步设计及审查、施工图设计及施工图审查、土建、设备、安装调试、试运行；2024年</w:t>
      </w:r>
      <w:r>
        <w:rPr>
          <w:rFonts w:hint="eastAsia" w:asciiTheme="minorEastAsia" w:hAnsiTheme="minorEastAsia" w:eastAsiaTheme="minorEastAsia" w:cstheme="minorEastAsia"/>
          <w:color w:val="auto"/>
          <w:sz w:val="24"/>
          <w:szCs w:val="24"/>
          <w:lang w:val="en-US" w:eastAsia="zh-CN"/>
        </w:rPr>
        <w:t>7</w:t>
      </w:r>
      <w:r>
        <w:rPr>
          <w:rFonts w:hint="eastAsia" w:asciiTheme="minorEastAsia" w:hAnsiTheme="minorEastAsia" w:eastAsiaTheme="minorEastAsia" w:cstheme="minorEastAsia"/>
          <w:color w:val="auto"/>
          <w:sz w:val="24"/>
          <w:szCs w:val="24"/>
        </w:rPr>
        <w:t>月1日前正式运行。</w:t>
      </w:r>
    </w:p>
    <w:p>
      <w:pPr>
        <w:pStyle w:val="32"/>
        <w:numPr>
          <w:ilvl w:val="2"/>
          <w:numId w:val="60"/>
        </w:numPr>
        <w:tabs>
          <w:tab w:val="left" w:pos="1540"/>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设计、施工与安装</w:t>
      </w:r>
    </w:p>
    <w:p>
      <w:pPr>
        <w:pStyle w:val="10"/>
        <w:spacing w:line="500" w:lineRule="exact"/>
        <w:ind w:firstLine="50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7"/>
          <w:sz w:val="24"/>
          <w:szCs w:val="24"/>
        </w:rPr>
        <w:t>罗定市自然村</w:t>
      </w:r>
      <w:r>
        <w:rPr>
          <w:rFonts w:hint="eastAsia" w:asciiTheme="minorEastAsia" w:hAnsiTheme="minorEastAsia" w:eastAsiaTheme="minorEastAsia" w:cstheme="minorEastAsia"/>
          <w:color w:val="auto"/>
          <w:sz w:val="24"/>
          <w:szCs w:val="24"/>
        </w:rPr>
        <w:t>EPC</w:t>
      </w:r>
      <w:r>
        <w:rPr>
          <w:rFonts w:hint="eastAsia" w:asciiTheme="minorEastAsia" w:hAnsiTheme="minorEastAsia" w:eastAsiaTheme="minorEastAsia" w:cstheme="minorEastAsia"/>
          <w:color w:val="auto"/>
          <w:spacing w:val="-13"/>
          <w:sz w:val="24"/>
          <w:szCs w:val="24"/>
        </w:rPr>
        <w:t>模式整市推进污水处理设施建设项目的设</w:t>
      </w:r>
      <w:r>
        <w:rPr>
          <w:rFonts w:hint="eastAsia" w:asciiTheme="minorEastAsia" w:hAnsiTheme="minorEastAsia" w:eastAsiaTheme="minorEastAsia" w:cstheme="minorEastAsia"/>
          <w:color w:val="auto"/>
          <w:spacing w:val="-6"/>
          <w:sz w:val="24"/>
          <w:szCs w:val="24"/>
        </w:rPr>
        <w:t>计、施工、安装和运营必须执行国家、省市相关的规范与标准，并且应因地制宜，符合罗定市本地特点，满足相关要求。制定完</w:t>
      </w:r>
      <w:r>
        <w:rPr>
          <w:rFonts w:hint="eastAsia" w:asciiTheme="minorEastAsia" w:hAnsiTheme="minorEastAsia" w:eastAsiaTheme="minorEastAsia" w:cstheme="minorEastAsia"/>
          <w:color w:val="auto"/>
          <w:spacing w:val="-5"/>
          <w:sz w:val="24"/>
          <w:szCs w:val="24"/>
        </w:rPr>
        <w:t xml:space="preserve">善的质量保障措施，确保项目的进度、质量、安全符合相关要 </w:t>
      </w:r>
      <w:r>
        <w:rPr>
          <w:rFonts w:hint="eastAsia" w:asciiTheme="minorEastAsia" w:hAnsiTheme="minorEastAsia" w:eastAsiaTheme="minorEastAsia" w:cstheme="minorEastAsia"/>
          <w:color w:val="auto"/>
          <w:spacing w:val="-6"/>
          <w:sz w:val="24"/>
          <w:szCs w:val="24"/>
        </w:rPr>
        <w:t>求，高效高质完成项目建设。所有关于项目设计、施工、安装等</w:t>
      </w:r>
      <w:r>
        <w:rPr>
          <w:rFonts w:hint="eastAsia" w:asciiTheme="minorEastAsia" w:hAnsiTheme="minorEastAsia" w:eastAsiaTheme="minorEastAsia" w:cstheme="minorEastAsia"/>
          <w:color w:val="auto"/>
          <w:spacing w:val="-5"/>
          <w:sz w:val="24"/>
          <w:szCs w:val="24"/>
        </w:rPr>
        <w:t>方面的技术文件都应存入技术档案以备查用。</w:t>
      </w:r>
    </w:p>
    <w:p>
      <w:pPr>
        <w:pStyle w:val="32"/>
        <w:numPr>
          <w:ilvl w:val="2"/>
          <w:numId w:val="61"/>
        </w:numPr>
        <w:tabs>
          <w:tab w:val="left" w:pos="1796"/>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调试与试运营</w:t>
      </w:r>
    </w:p>
    <w:p>
      <w:pPr>
        <w:pStyle w:val="32"/>
        <w:numPr>
          <w:ilvl w:val="0"/>
          <w:numId w:val="62"/>
        </w:numPr>
        <w:tabs>
          <w:tab w:val="left" w:pos="1683"/>
        </w:tabs>
        <w:spacing w:line="500" w:lineRule="exact"/>
        <w:ind w:left="0"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项目竣工验收后，应进行试运行，确保项目能到达运行效果要求。</w:t>
      </w:r>
    </w:p>
    <w:p>
      <w:pPr>
        <w:pStyle w:val="32"/>
        <w:numPr>
          <w:ilvl w:val="0"/>
          <w:numId w:val="62"/>
        </w:numPr>
        <w:tabs>
          <w:tab w:val="left" w:pos="1683"/>
        </w:tabs>
        <w:spacing w:line="500" w:lineRule="exact"/>
        <w:ind w:left="0"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国内配套设备的调试可根据有关的技术标准进行或由供货单位派人进行技术指导。</w:t>
      </w:r>
    </w:p>
    <w:p>
      <w:pPr>
        <w:pStyle w:val="32"/>
        <w:numPr>
          <w:ilvl w:val="0"/>
          <w:numId w:val="62"/>
        </w:numPr>
        <w:tabs>
          <w:tab w:val="left" w:pos="1683"/>
        </w:tabs>
        <w:spacing w:line="500" w:lineRule="exact"/>
        <w:ind w:left="0"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试运转工作应邀请有关专家、设计单位、安装单位共同参加，试运转操作人员上岗前必须通过专业技术培训。</w:t>
      </w:r>
    </w:p>
    <w:p>
      <w:pPr>
        <w:pStyle w:val="32"/>
        <w:numPr>
          <w:ilvl w:val="0"/>
          <w:numId w:val="62"/>
        </w:numPr>
        <w:tabs>
          <w:tab w:val="left" w:pos="1683"/>
        </w:tabs>
        <w:spacing w:line="500" w:lineRule="exact"/>
        <w:ind w:left="0"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有关设备调试、通水试运转以及验收等项工作的技术文件必须存档备查。</w:t>
      </w:r>
    </w:p>
    <w:p>
      <w:pPr>
        <w:pStyle w:val="32"/>
        <w:numPr>
          <w:ilvl w:val="2"/>
          <w:numId w:val="61"/>
        </w:numPr>
        <w:tabs>
          <w:tab w:val="left" w:pos="1796"/>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运行管理</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（1）基本要求</w:t>
      </w:r>
    </w:p>
    <w:p>
      <w:pPr>
        <w:pStyle w:val="32"/>
        <w:numPr>
          <w:ilvl w:val="0"/>
          <w:numId w:val="63"/>
        </w:numPr>
        <w:tabs>
          <w:tab w:val="left" w:pos="1404"/>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建立专业管理团队，分片区进行的设计施工则进行相同</w:t>
      </w:r>
      <w:r>
        <w:rPr>
          <w:rFonts w:hint="eastAsia" w:asciiTheme="minorEastAsia" w:hAnsiTheme="minorEastAsia" w:eastAsiaTheme="minorEastAsia" w:cstheme="minorEastAsia"/>
          <w:color w:val="auto"/>
          <w:spacing w:val="-6"/>
          <w:sz w:val="24"/>
          <w:szCs w:val="24"/>
        </w:rPr>
        <w:t>片区的运行管理。对生产操作工人、维修工人、管理职工等进</w:t>
      </w:r>
      <w:r>
        <w:rPr>
          <w:rFonts w:hint="eastAsia" w:asciiTheme="minorEastAsia" w:hAnsiTheme="minorEastAsia" w:eastAsiaTheme="minorEastAsia" w:cstheme="minorEastAsia"/>
          <w:color w:val="auto"/>
          <w:spacing w:val="-6"/>
          <w:sz w:val="24"/>
          <w:szCs w:val="24"/>
          <w:lang w:val="en-US"/>
        </w:rPr>
        <w:t>行</w:t>
      </w:r>
      <w:r>
        <w:rPr>
          <w:rFonts w:hint="eastAsia" w:asciiTheme="minorEastAsia" w:hAnsiTheme="minorEastAsia" w:eastAsiaTheme="minorEastAsia" w:cstheme="minorEastAsia"/>
          <w:color w:val="auto"/>
          <w:sz w:val="24"/>
          <w:szCs w:val="24"/>
        </w:rPr>
        <w:t>必要的资格审查，并组织进行上岗前的专业技术培训。</w:t>
      </w:r>
    </w:p>
    <w:p>
      <w:pPr>
        <w:pStyle w:val="32"/>
        <w:numPr>
          <w:ilvl w:val="0"/>
          <w:numId w:val="63"/>
        </w:numPr>
        <w:tabs>
          <w:tab w:val="left" w:pos="1404"/>
        </w:tabs>
        <w:spacing w:line="500" w:lineRule="exact"/>
        <w:ind w:left="0"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制订健全的岗位负责制，安全操作规程等工厂管理规章</w:t>
      </w:r>
      <w:r>
        <w:rPr>
          <w:rFonts w:hint="eastAsia" w:asciiTheme="minorEastAsia" w:hAnsiTheme="minorEastAsia" w:eastAsiaTheme="minorEastAsia" w:cstheme="minorEastAsia"/>
          <w:color w:val="auto"/>
          <w:spacing w:val="-5"/>
          <w:sz w:val="24"/>
          <w:szCs w:val="24"/>
        </w:rPr>
        <w:t>制度，确保对设施的运行管理规范、高效、安全。</w:t>
      </w:r>
    </w:p>
    <w:p>
      <w:pPr>
        <w:pStyle w:val="32"/>
        <w:numPr>
          <w:ilvl w:val="0"/>
          <w:numId w:val="63"/>
        </w:numPr>
        <w:tabs>
          <w:tab w:val="left" w:pos="1404"/>
        </w:tabs>
        <w:spacing w:line="500" w:lineRule="exact"/>
        <w:ind w:left="0"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建立完善的档案制度，及时真实记录构筑物和设备的运</w:t>
      </w:r>
      <w:r>
        <w:rPr>
          <w:rFonts w:hint="eastAsia" w:asciiTheme="minorEastAsia" w:hAnsiTheme="minorEastAsia" w:eastAsiaTheme="minorEastAsia" w:cstheme="minorEastAsia"/>
          <w:color w:val="auto"/>
          <w:spacing w:val="-5"/>
          <w:sz w:val="24"/>
          <w:szCs w:val="24"/>
        </w:rPr>
        <w:t>行情况、维护保养工作和维护情况，定期总结运行经验。</w:t>
      </w:r>
    </w:p>
    <w:p>
      <w:pPr>
        <w:pStyle w:val="32"/>
        <w:numPr>
          <w:ilvl w:val="0"/>
          <w:numId w:val="63"/>
        </w:numPr>
        <w:tabs>
          <w:tab w:val="left" w:pos="1404"/>
        </w:tabs>
        <w:spacing w:line="500" w:lineRule="exact"/>
        <w:ind w:left="0"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根据实际情况合理安排管理人员，做到节约资源、提高</w:t>
      </w:r>
      <w:r>
        <w:rPr>
          <w:rFonts w:hint="eastAsia" w:asciiTheme="minorEastAsia" w:hAnsiTheme="minorEastAsia" w:eastAsiaTheme="minorEastAsia" w:cstheme="minorEastAsia"/>
          <w:color w:val="auto"/>
          <w:spacing w:val="-2"/>
          <w:sz w:val="24"/>
          <w:szCs w:val="24"/>
        </w:rPr>
        <w:t>效率。</w:t>
      </w:r>
    </w:p>
    <w:p>
      <w:pPr>
        <w:pStyle w:val="32"/>
        <w:numPr>
          <w:ilvl w:val="2"/>
          <w:numId w:val="61"/>
        </w:numPr>
        <w:tabs>
          <w:tab w:val="left" w:pos="1796"/>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厂网的维护养护要求</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设施养护确保设施建筑物和设备的完好性和正常使用，城镇污水处理设施保证人员连续值守，并制定合理的养护计划，定期对设施进行定期维护检修；农村污水处理设施以无人值守模式建设，安排巡视人员每天进行巡查，保证项目的正常运行，发现设施出现故障，及时进行维修。对设施的维护，应确保各构筑物、工艺管道完好率100%，机电设备完好率达98%，设施每年连续稳定运行时间达360天以上。</w:t>
      </w:r>
    </w:p>
    <w:p>
      <w:pPr>
        <w:pStyle w:val="32"/>
        <w:numPr>
          <w:ilvl w:val="2"/>
          <w:numId w:val="61"/>
        </w:numPr>
        <w:tabs>
          <w:tab w:val="left" w:pos="1796"/>
        </w:tabs>
        <w:spacing w:line="500" w:lineRule="exact"/>
        <w:ind w:left="0" w:firstLine="482" w:firstLine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管网养护</w:t>
      </w:r>
    </w:p>
    <w:p>
      <w:pPr>
        <w:pStyle w:val="10"/>
        <w:spacing w:line="500" w:lineRule="exact"/>
        <w:ind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管道的养护内容包括巡查管理、管道的清疏、管道的维修等。</w:t>
      </w:r>
      <w:r>
        <w:rPr>
          <w:rFonts w:hint="eastAsia" w:asciiTheme="minorEastAsia" w:hAnsiTheme="minorEastAsia" w:eastAsiaTheme="minorEastAsia" w:cstheme="minorEastAsia"/>
          <w:color w:val="auto"/>
          <w:spacing w:val="-5"/>
          <w:sz w:val="24"/>
          <w:szCs w:val="24"/>
        </w:rPr>
        <w:t>管道的管理主要以巡查为主，安排人员定期对管网进行巡查与养</w:t>
      </w:r>
      <w:r>
        <w:rPr>
          <w:rFonts w:hint="eastAsia" w:asciiTheme="minorEastAsia" w:hAnsiTheme="minorEastAsia" w:eastAsiaTheme="minorEastAsia" w:cstheme="minorEastAsia"/>
          <w:color w:val="auto"/>
          <w:spacing w:val="-3"/>
          <w:sz w:val="24"/>
          <w:szCs w:val="24"/>
        </w:rPr>
        <w:t>护。</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管道的巡查主要拨款检查井井盖、井座的完好状况、水位水流情况、管道及闸门井的淤积情况，并定期检查管内情况，检查管道有无变形、渗漏、堵塞、腐蚀、破损等。管道的清疏主要是根据巡查情况，组织人员定期进行清淤、捞渣等作业，保证水流畅通。</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管道的维修内容包括检查井及井盖井座的维修更换、局部管理的更新改造补漏等。</w:t>
      </w:r>
    </w:p>
    <w:p>
      <w:pPr>
        <w:pStyle w:val="2"/>
        <w:numPr>
          <w:ilvl w:val="1"/>
          <w:numId w:val="58"/>
        </w:numPr>
        <w:tabs>
          <w:tab w:val="left" w:pos="1100"/>
        </w:tabs>
        <w:spacing w:before="0" w:line="500" w:lineRule="exact"/>
        <w:jc w:val="both"/>
        <w:rPr>
          <w:rFonts w:asciiTheme="minorEastAsia" w:hAnsiTheme="minorEastAsia" w:eastAsiaTheme="minorEastAsia" w:cstheme="minorEastAsia"/>
          <w:color w:val="auto"/>
          <w:sz w:val="24"/>
          <w:szCs w:val="24"/>
        </w:rPr>
      </w:pPr>
      <w:bookmarkStart w:id="109" w:name="7.2人员编制"/>
      <w:bookmarkEnd w:id="109"/>
      <w:bookmarkStart w:id="110" w:name="_Toc21267"/>
      <w:bookmarkStart w:id="111" w:name="_Toc21824"/>
      <w:r>
        <w:rPr>
          <w:rFonts w:hint="eastAsia" w:asciiTheme="minorEastAsia" w:hAnsiTheme="minorEastAsia" w:eastAsiaTheme="minorEastAsia" w:cstheme="minorEastAsia"/>
          <w:color w:val="auto"/>
          <w:sz w:val="24"/>
          <w:szCs w:val="24"/>
        </w:rPr>
        <w:t>人员编制</w:t>
      </w:r>
      <w:bookmarkEnd w:id="110"/>
      <w:bookmarkEnd w:id="111"/>
    </w:p>
    <w:p>
      <w:pPr>
        <w:pStyle w:val="10"/>
        <w:spacing w:line="500" w:lineRule="exact"/>
        <w:ind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农村污水处理设施规模小，设施点多，为节约人力成本，提高</w:t>
      </w:r>
      <w:r>
        <w:rPr>
          <w:rFonts w:hint="eastAsia" w:asciiTheme="minorEastAsia" w:hAnsiTheme="minorEastAsia" w:eastAsiaTheme="minorEastAsia" w:cstheme="minorEastAsia"/>
          <w:color w:val="auto"/>
          <w:spacing w:val="-5"/>
          <w:sz w:val="24"/>
          <w:szCs w:val="24"/>
        </w:rPr>
        <w:t>效率，应按无人值守模式的设施进行设计建设，仅需安排相关巡视人员和维修人员。结合本项目实际情况，建议以镇为单位设立驻 点，镇区污水处理设施安排</w:t>
      </w:r>
      <w:r>
        <w:rPr>
          <w:rFonts w:hint="eastAsia" w:asciiTheme="minorEastAsia" w:hAnsiTheme="minorEastAsia" w:eastAsiaTheme="minorEastAsia" w:cstheme="minorEastAsia"/>
          <w:color w:val="auto"/>
          <w:sz w:val="24"/>
          <w:szCs w:val="24"/>
        </w:rPr>
        <w:t>24</w:t>
      </w:r>
      <w:r>
        <w:rPr>
          <w:rFonts w:hint="eastAsia" w:asciiTheme="minorEastAsia" w:hAnsiTheme="minorEastAsia" w:eastAsiaTheme="minorEastAsia" w:cstheme="minorEastAsia"/>
          <w:color w:val="auto"/>
          <w:spacing w:val="-5"/>
          <w:sz w:val="24"/>
          <w:szCs w:val="24"/>
        </w:rPr>
        <w:t>小时值守管理，农村污水设施则仅安排人员巡视，并确保每天巡视一次，设施的配套管网根据实际情况和要求，制定合理的巡查计划。</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综上分析，本项目的主要人员组织设置如下：</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全市设立总部，负责统筹管理全市设施运行情况，以及协助每个镇驻点的工作。</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每个镇设立驻点，负责镇区污水处理设施的运行和养护，以及巡查维修各地管网、泵站及各村污水处理设施。</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本项目的人员编制建议如下表：</w:t>
      </w:r>
    </w:p>
    <w:p>
      <w:pPr>
        <w:spacing w:line="500" w:lineRule="exact"/>
        <w:ind w:firstLine="422" w:firstLineChars="200"/>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表7.</w:t>
      </w:r>
      <w:r>
        <w:rPr>
          <w:rFonts w:hint="eastAsia" w:asciiTheme="minorEastAsia" w:hAnsiTheme="minorEastAsia" w:eastAsiaTheme="minorEastAsia" w:cstheme="minorEastAsia"/>
          <w:b/>
          <w:color w:val="auto"/>
          <w:sz w:val="21"/>
          <w:szCs w:val="21"/>
          <w:lang w:val="en-US"/>
        </w:rPr>
        <w:t>2</w:t>
      </w:r>
      <w:r>
        <w:rPr>
          <w:rFonts w:hint="eastAsia" w:asciiTheme="minorEastAsia" w:hAnsiTheme="minorEastAsia" w:eastAsiaTheme="minorEastAsia" w:cstheme="minorEastAsia"/>
          <w:b/>
          <w:color w:val="auto"/>
          <w:sz w:val="21"/>
          <w:szCs w:val="21"/>
        </w:rPr>
        <w:t>-1 项目人员编制</w:t>
      </w:r>
    </w:p>
    <w:tbl>
      <w:tblPr>
        <w:tblStyle w:val="27"/>
        <w:tblpPr w:leftFromText="180" w:rightFromText="180" w:vertAnchor="text" w:horzAnchor="margin" w:tblpY="151"/>
        <w:tblW w:w="5000" w:type="pct"/>
        <w:tblInd w:w="0" w:type="dxa"/>
        <w:tblLayout w:type="autofit"/>
        <w:tblCellMar>
          <w:top w:w="0" w:type="dxa"/>
          <w:left w:w="108" w:type="dxa"/>
          <w:bottom w:w="0" w:type="dxa"/>
          <w:right w:w="108" w:type="dxa"/>
        </w:tblCellMar>
      </w:tblPr>
      <w:tblGrid>
        <w:gridCol w:w="2251"/>
        <w:gridCol w:w="2252"/>
        <w:gridCol w:w="2252"/>
        <w:gridCol w:w="2252"/>
      </w:tblGrid>
      <w:tr>
        <w:tblPrEx>
          <w:tblCellMar>
            <w:top w:w="0" w:type="dxa"/>
            <w:left w:w="108" w:type="dxa"/>
            <w:bottom w:w="0" w:type="dxa"/>
            <w:right w:w="108" w:type="dxa"/>
          </w:tblCellMar>
        </w:tblPrEx>
        <w:trPr>
          <w:trHeight w:val="20" w:hRule="atLeast"/>
        </w:trPr>
        <w:tc>
          <w:tcPr>
            <w:tcW w:w="1250" w:type="pct"/>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部门</w:t>
            </w:r>
          </w:p>
        </w:tc>
        <w:tc>
          <w:tcPr>
            <w:tcW w:w="1250" w:type="pct"/>
            <w:tcBorders>
              <w:top w:val="single" w:color="000000" w:sz="8" w:space="0"/>
              <w:left w:val="nil"/>
              <w:bottom w:val="single" w:color="000000" w:sz="8" w:space="0"/>
              <w:right w:val="single" w:color="000000" w:sz="8" w:space="0"/>
            </w:tcBorders>
            <w:shd w:val="clear" w:color="auto" w:fill="auto"/>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岗位</w:t>
            </w:r>
          </w:p>
        </w:tc>
        <w:tc>
          <w:tcPr>
            <w:tcW w:w="1250" w:type="pct"/>
            <w:tcBorders>
              <w:top w:val="single" w:color="000000" w:sz="8" w:space="0"/>
              <w:left w:val="nil"/>
              <w:bottom w:val="single" w:color="000000" w:sz="8" w:space="0"/>
              <w:right w:val="single" w:color="000000" w:sz="8" w:space="0"/>
            </w:tcBorders>
            <w:shd w:val="clear" w:color="auto" w:fill="auto"/>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人数</w:t>
            </w:r>
          </w:p>
        </w:tc>
        <w:tc>
          <w:tcPr>
            <w:tcW w:w="1250" w:type="pct"/>
            <w:tcBorders>
              <w:top w:val="single" w:color="000000" w:sz="8" w:space="0"/>
              <w:left w:val="nil"/>
              <w:bottom w:val="single" w:color="000000" w:sz="8" w:space="0"/>
              <w:right w:val="single" w:color="000000" w:sz="8" w:space="0"/>
            </w:tcBorders>
            <w:shd w:val="clear" w:color="auto" w:fill="auto"/>
            <w:vAlign w:val="center"/>
          </w:tcPr>
          <w:p>
            <w:pPr>
              <w:widowControl/>
              <w:autoSpaceDE/>
              <w:autoSpaceDN/>
              <w:spacing w:line="40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备注</w:t>
            </w:r>
          </w:p>
        </w:tc>
      </w:tr>
      <w:tr>
        <w:tblPrEx>
          <w:tblCellMar>
            <w:top w:w="0" w:type="dxa"/>
            <w:left w:w="108" w:type="dxa"/>
            <w:bottom w:w="0" w:type="dxa"/>
            <w:right w:w="108" w:type="dxa"/>
          </w:tblCellMar>
        </w:tblPrEx>
        <w:trPr>
          <w:trHeight w:val="20" w:hRule="atLeast"/>
        </w:trPr>
        <w:tc>
          <w:tcPr>
            <w:tcW w:w="1250" w:type="pct"/>
            <w:tcBorders>
              <w:top w:val="nil"/>
              <w:left w:val="single" w:color="000000" w:sz="8" w:space="0"/>
              <w:bottom w:val="nil"/>
              <w:right w:val="single" w:color="000000" w:sz="8" w:space="0"/>
            </w:tcBorders>
            <w:shd w:val="clear" w:color="auto" w:fill="auto"/>
            <w:vAlign w:val="center"/>
          </w:tcPr>
          <w:p>
            <w:pPr>
              <w:widowControl/>
              <w:autoSpaceDE/>
              <w:autoSpaceDN/>
              <w:spacing w:line="460" w:lineRule="exact"/>
              <w:jc w:val="center"/>
              <w:rPr>
                <w:rFonts w:ascii="宋体" w:hAnsi="宋体" w:eastAsia="宋体" w:cs="宋体"/>
                <w:b/>
                <w:bCs/>
                <w:color w:val="auto"/>
                <w:sz w:val="21"/>
                <w:szCs w:val="21"/>
                <w:lang w:val="en-US" w:bidi="ar-SA"/>
              </w:rPr>
            </w:pP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总负责人</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1</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spacing w:line="400" w:lineRule="exact"/>
              <w:jc w:val="center"/>
              <w:rPr>
                <w:rFonts w:ascii="宋体" w:hAnsi="宋体" w:eastAsia="宋体" w:cs="宋体"/>
                <w:color w:val="auto"/>
                <w:sz w:val="21"/>
                <w:szCs w:val="21"/>
                <w:lang w:val="en-US" w:bidi="ar-SA"/>
              </w:rPr>
            </w:pPr>
          </w:p>
        </w:tc>
      </w:tr>
      <w:tr>
        <w:trPr>
          <w:trHeight w:val="20" w:hRule="atLeast"/>
        </w:trPr>
        <w:tc>
          <w:tcPr>
            <w:tcW w:w="1250" w:type="pct"/>
            <w:tcBorders>
              <w:top w:val="nil"/>
              <w:left w:val="single" w:color="000000" w:sz="8" w:space="0"/>
              <w:bottom w:val="nil"/>
              <w:right w:val="single" w:color="000000" w:sz="8" w:space="0"/>
            </w:tcBorders>
            <w:shd w:val="clear" w:color="auto" w:fill="auto"/>
            <w:vAlign w:val="center"/>
          </w:tcPr>
          <w:p>
            <w:pPr>
              <w:widowControl/>
              <w:autoSpaceDE/>
              <w:autoSpaceDN/>
              <w:spacing w:line="460" w:lineRule="exact"/>
              <w:jc w:val="center"/>
              <w:rPr>
                <w:rFonts w:ascii="宋体" w:hAnsi="宋体" w:eastAsia="宋体" w:cs="宋体"/>
                <w:b/>
                <w:bCs/>
                <w:color w:val="auto"/>
                <w:sz w:val="21"/>
                <w:szCs w:val="21"/>
                <w:lang w:val="en-US" w:bidi="ar-SA"/>
              </w:rPr>
            </w:pP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技术负责人</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1</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spacing w:line="400" w:lineRule="exact"/>
              <w:jc w:val="center"/>
              <w:rPr>
                <w:rFonts w:ascii="宋体" w:hAnsi="宋体" w:eastAsia="宋体" w:cs="宋体"/>
                <w:color w:val="auto"/>
                <w:sz w:val="21"/>
                <w:szCs w:val="21"/>
                <w:lang w:val="en-US" w:bidi="ar-SA"/>
              </w:rPr>
            </w:pPr>
          </w:p>
        </w:tc>
      </w:tr>
      <w:tr>
        <w:tblPrEx>
          <w:tblCellMar>
            <w:top w:w="0" w:type="dxa"/>
            <w:left w:w="108" w:type="dxa"/>
            <w:bottom w:w="0" w:type="dxa"/>
            <w:right w:w="108" w:type="dxa"/>
          </w:tblCellMar>
        </w:tblPrEx>
        <w:trPr>
          <w:trHeight w:val="20" w:hRule="atLeast"/>
        </w:trPr>
        <w:tc>
          <w:tcPr>
            <w:tcW w:w="1250" w:type="pct"/>
            <w:tcBorders>
              <w:top w:val="nil"/>
              <w:left w:val="single" w:color="000000" w:sz="8" w:space="0"/>
              <w:bottom w:val="nil"/>
              <w:right w:val="single" w:color="000000" w:sz="8" w:space="0"/>
            </w:tcBorders>
            <w:shd w:val="clear" w:color="auto" w:fill="auto"/>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总部</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管理工程师</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1</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spacing w:line="400" w:lineRule="exact"/>
              <w:jc w:val="center"/>
              <w:rPr>
                <w:rFonts w:ascii="宋体" w:hAnsi="宋体" w:eastAsia="宋体" w:cs="宋体"/>
                <w:color w:val="auto"/>
                <w:sz w:val="21"/>
                <w:szCs w:val="21"/>
                <w:lang w:val="en-US" w:bidi="ar-SA"/>
              </w:rPr>
            </w:pPr>
          </w:p>
        </w:tc>
      </w:tr>
      <w:tr>
        <w:tblPrEx>
          <w:tblCellMar>
            <w:top w:w="0" w:type="dxa"/>
            <w:left w:w="108" w:type="dxa"/>
            <w:bottom w:w="0" w:type="dxa"/>
            <w:right w:w="108" w:type="dxa"/>
          </w:tblCellMar>
        </w:tblPrEx>
        <w:trPr>
          <w:trHeight w:val="20" w:hRule="atLeast"/>
        </w:trPr>
        <w:tc>
          <w:tcPr>
            <w:tcW w:w="125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spacing w:line="460" w:lineRule="exact"/>
              <w:jc w:val="center"/>
              <w:rPr>
                <w:rFonts w:ascii="宋体" w:hAnsi="宋体" w:eastAsia="宋体" w:cs="宋体"/>
                <w:color w:val="auto"/>
                <w:sz w:val="21"/>
                <w:szCs w:val="21"/>
                <w:lang w:val="en-US" w:bidi="ar-SA"/>
              </w:rPr>
            </w:pP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文员</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1</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spacing w:line="400" w:lineRule="exact"/>
              <w:jc w:val="center"/>
              <w:rPr>
                <w:rFonts w:ascii="宋体" w:hAnsi="宋体" w:eastAsia="宋体" w:cs="宋体"/>
                <w:color w:val="auto"/>
                <w:sz w:val="21"/>
                <w:szCs w:val="21"/>
                <w:lang w:val="en-US" w:bidi="ar-SA"/>
              </w:rPr>
            </w:pPr>
          </w:p>
        </w:tc>
      </w:tr>
      <w:tr>
        <w:tblPrEx>
          <w:tblCellMar>
            <w:top w:w="0" w:type="dxa"/>
            <w:left w:w="108" w:type="dxa"/>
            <w:bottom w:w="0" w:type="dxa"/>
            <w:right w:w="108" w:type="dxa"/>
          </w:tblCellMar>
        </w:tblPrEx>
        <w:trPr>
          <w:trHeight w:val="20" w:hRule="atLeast"/>
        </w:trPr>
        <w:tc>
          <w:tcPr>
            <w:tcW w:w="1250" w:type="pct"/>
            <w:vMerge w:val="restart"/>
            <w:tcBorders>
              <w:top w:val="nil"/>
              <w:left w:val="single" w:color="000000" w:sz="8" w:space="0"/>
              <w:bottom w:val="single" w:color="000000" w:sz="8" w:space="0"/>
              <w:right w:val="single" w:color="000000" w:sz="8" w:space="0"/>
            </w:tcBorders>
            <w:shd w:val="clear" w:color="auto" w:fill="auto"/>
            <w:vAlign w:val="center"/>
          </w:tcPr>
          <w:p>
            <w:pPr>
              <w:widowControl/>
              <w:autoSpaceDE/>
              <w:autoSpaceDN/>
              <w:spacing w:line="460" w:lineRule="exact"/>
              <w:jc w:val="center"/>
              <w:rPr>
                <w:rFonts w:ascii="宋体" w:hAnsi="宋体" w:eastAsia="宋体" w:cs="宋体"/>
                <w:color w:val="auto"/>
                <w:sz w:val="21"/>
                <w:szCs w:val="21"/>
                <w:lang w:val="en-US" w:bidi="ar-SA"/>
              </w:rPr>
            </w:pP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维修队</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3</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spacing w:line="400" w:lineRule="exact"/>
              <w:jc w:val="center"/>
              <w:rPr>
                <w:rFonts w:ascii="宋体" w:hAnsi="宋体" w:eastAsia="宋体" w:cs="宋体"/>
                <w:color w:val="auto"/>
                <w:sz w:val="21"/>
                <w:szCs w:val="21"/>
                <w:lang w:val="en-US" w:bidi="ar-SA"/>
              </w:rPr>
            </w:pPr>
          </w:p>
        </w:tc>
      </w:tr>
      <w:tr>
        <w:tblPrEx>
          <w:tblCellMar>
            <w:top w:w="0" w:type="dxa"/>
            <w:left w:w="108" w:type="dxa"/>
            <w:bottom w:w="0" w:type="dxa"/>
            <w:right w:w="108" w:type="dxa"/>
          </w:tblCellMar>
        </w:tblPrEx>
        <w:trPr>
          <w:trHeight w:val="20" w:hRule="atLeast"/>
        </w:trPr>
        <w:tc>
          <w:tcPr>
            <w:tcW w:w="1250" w:type="pct"/>
            <w:vMerge w:val="continue"/>
            <w:tcBorders>
              <w:top w:val="nil"/>
              <w:left w:val="single" w:color="000000" w:sz="8" w:space="0"/>
              <w:bottom w:val="single" w:color="000000" w:sz="8" w:space="0"/>
              <w:right w:val="single" w:color="000000" w:sz="8" w:space="0"/>
            </w:tcBorders>
            <w:vAlign w:val="center"/>
          </w:tcPr>
          <w:p>
            <w:pPr>
              <w:widowControl/>
              <w:autoSpaceDE/>
              <w:autoSpaceDN/>
              <w:spacing w:line="460" w:lineRule="exact"/>
              <w:jc w:val="center"/>
              <w:rPr>
                <w:rFonts w:ascii="宋体" w:hAnsi="宋体" w:eastAsia="宋体" w:cs="宋体"/>
                <w:color w:val="auto"/>
                <w:sz w:val="21"/>
                <w:szCs w:val="21"/>
                <w:lang w:val="en-US" w:bidi="ar-SA"/>
              </w:rPr>
            </w:pP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化验员</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3</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spacing w:line="400" w:lineRule="exact"/>
              <w:jc w:val="center"/>
              <w:rPr>
                <w:rFonts w:ascii="宋体" w:hAnsi="宋体" w:eastAsia="宋体" w:cs="宋体"/>
                <w:color w:val="auto"/>
                <w:sz w:val="21"/>
                <w:szCs w:val="21"/>
                <w:lang w:val="en-US" w:bidi="ar-SA"/>
              </w:rPr>
            </w:pPr>
          </w:p>
        </w:tc>
      </w:tr>
      <w:tr>
        <w:tblPrEx>
          <w:tblCellMar>
            <w:top w:w="0" w:type="dxa"/>
            <w:left w:w="108" w:type="dxa"/>
            <w:bottom w:w="0" w:type="dxa"/>
            <w:right w:w="108" w:type="dxa"/>
          </w:tblCellMar>
        </w:tblPrEx>
        <w:trPr>
          <w:trHeight w:val="20" w:hRule="atLeast"/>
        </w:trPr>
        <w:tc>
          <w:tcPr>
            <w:tcW w:w="1250" w:type="pct"/>
            <w:tcBorders>
              <w:top w:val="nil"/>
              <w:left w:val="single" w:color="000000" w:sz="8" w:space="0"/>
              <w:bottom w:val="nil"/>
              <w:right w:val="single" w:color="000000" w:sz="8" w:space="0"/>
            </w:tcBorders>
            <w:shd w:val="clear" w:color="auto" w:fill="auto"/>
            <w:vAlign w:val="center"/>
          </w:tcPr>
          <w:p>
            <w:pPr>
              <w:widowControl/>
              <w:autoSpaceDE/>
              <w:autoSpaceDN/>
              <w:spacing w:line="460" w:lineRule="exact"/>
              <w:jc w:val="center"/>
              <w:rPr>
                <w:rFonts w:ascii="宋体" w:hAnsi="宋体" w:eastAsia="宋体" w:cs="宋体"/>
                <w:b/>
                <w:bCs/>
                <w:color w:val="auto"/>
                <w:sz w:val="21"/>
                <w:szCs w:val="21"/>
                <w:lang w:val="en-US" w:bidi="ar-SA"/>
              </w:rPr>
            </w:pP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生产队</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10</w:t>
            </w:r>
          </w:p>
        </w:tc>
        <w:tc>
          <w:tcPr>
            <w:tcW w:w="1250" w:type="pct"/>
            <w:vMerge w:val="restart"/>
            <w:tcBorders>
              <w:top w:val="nil"/>
              <w:left w:val="single" w:color="000000" w:sz="8" w:space="0"/>
              <w:bottom w:val="single" w:color="000000" w:sz="8" w:space="0"/>
              <w:right w:val="single" w:color="000000" w:sz="8" w:space="0"/>
            </w:tcBorders>
            <w:shd w:val="clear" w:color="auto" w:fill="auto"/>
            <w:vAlign w:val="center"/>
          </w:tcPr>
          <w:p>
            <w:pPr>
              <w:widowControl/>
              <w:autoSpaceDE/>
              <w:autoSpaceDN/>
              <w:spacing w:line="400" w:lineRule="exact"/>
              <w:jc w:val="center"/>
              <w:rPr>
                <w:rFonts w:ascii="宋体" w:hAnsi="宋体" w:eastAsia="宋体" w:cs="宋体"/>
                <w:color w:val="auto"/>
                <w:sz w:val="21"/>
                <w:szCs w:val="21"/>
                <w:lang w:val="en-US" w:bidi="ar-SA"/>
              </w:rPr>
            </w:pPr>
          </w:p>
        </w:tc>
      </w:tr>
      <w:tr>
        <w:tblPrEx>
          <w:tblCellMar>
            <w:top w:w="0" w:type="dxa"/>
            <w:left w:w="108" w:type="dxa"/>
            <w:bottom w:w="0" w:type="dxa"/>
            <w:right w:w="108" w:type="dxa"/>
          </w:tblCellMar>
        </w:tblPrEx>
        <w:trPr>
          <w:trHeight w:val="20" w:hRule="atLeast"/>
        </w:trPr>
        <w:tc>
          <w:tcPr>
            <w:tcW w:w="1250" w:type="pct"/>
            <w:tcBorders>
              <w:top w:val="nil"/>
              <w:left w:val="single" w:color="000000" w:sz="8" w:space="0"/>
              <w:bottom w:val="nil"/>
              <w:right w:val="single" w:color="000000" w:sz="8" w:space="0"/>
            </w:tcBorders>
            <w:shd w:val="clear" w:color="auto" w:fill="auto"/>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驻点</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巡查队</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40</w:t>
            </w:r>
          </w:p>
        </w:tc>
        <w:tc>
          <w:tcPr>
            <w:tcW w:w="1250" w:type="pct"/>
            <w:vMerge w:val="continue"/>
            <w:tcBorders>
              <w:top w:val="nil"/>
              <w:left w:val="single" w:color="000000" w:sz="8" w:space="0"/>
              <w:bottom w:val="single" w:color="000000" w:sz="8" w:space="0"/>
              <w:right w:val="single" w:color="000000" w:sz="8" w:space="0"/>
            </w:tcBorders>
            <w:vAlign w:val="center"/>
          </w:tcPr>
          <w:p>
            <w:pPr>
              <w:widowControl/>
              <w:autoSpaceDE/>
              <w:autoSpaceDN/>
              <w:spacing w:line="400" w:lineRule="exact"/>
              <w:jc w:val="center"/>
              <w:rPr>
                <w:rFonts w:ascii="宋体" w:hAnsi="宋体" w:eastAsia="宋体" w:cs="宋体"/>
                <w:color w:val="auto"/>
                <w:sz w:val="21"/>
                <w:szCs w:val="21"/>
                <w:lang w:val="en-US" w:bidi="ar-SA"/>
              </w:rPr>
            </w:pPr>
          </w:p>
        </w:tc>
      </w:tr>
      <w:tr>
        <w:tblPrEx>
          <w:tblCellMar>
            <w:top w:w="0" w:type="dxa"/>
            <w:left w:w="108" w:type="dxa"/>
            <w:bottom w:w="0" w:type="dxa"/>
            <w:right w:w="108" w:type="dxa"/>
          </w:tblCellMar>
        </w:tblPrEx>
        <w:trPr>
          <w:trHeight w:val="20" w:hRule="atLeast"/>
        </w:trPr>
        <w:tc>
          <w:tcPr>
            <w:tcW w:w="125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spacing w:line="460" w:lineRule="exact"/>
              <w:jc w:val="center"/>
              <w:rPr>
                <w:rFonts w:ascii="宋体" w:hAnsi="宋体" w:eastAsia="宋体" w:cs="宋体"/>
                <w:color w:val="auto"/>
                <w:sz w:val="21"/>
                <w:szCs w:val="21"/>
                <w:lang w:val="en-US" w:bidi="ar-SA"/>
              </w:rPr>
            </w:pP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维修队</w:t>
            </w:r>
          </w:p>
        </w:tc>
        <w:tc>
          <w:tcPr>
            <w:tcW w:w="1250" w:type="pct"/>
            <w:tcBorders>
              <w:top w:val="nil"/>
              <w:left w:val="nil"/>
              <w:bottom w:val="single" w:color="000000" w:sz="8" w:space="0"/>
              <w:right w:val="single" w:color="000000" w:sz="8" w:space="0"/>
            </w:tcBorders>
            <w:shd w:val="clear" w:color="auto" w:fill="auto"/>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5</w:t>
            </w:r>
          </w:p>
        </w:tc>
        <w:tc>
          <w:tcPr>
            <w:tcW w:w="1250" w:type="pct"/>
            <w:vMerge w:val="continue"/>
            <w:tcBorders>
              <w:top w:val="nil"/>
              <w:left w:val="single" w:color="000000" w:sz="8" w:space="0"/>
              <w:bottom w:val="single" w:color="000000" w:sz="8" w:space="0"/>
              <w:right w:val="single" w:color="000000" w:sz="8" w:space="0"/>
            </w:tcBorders>
            <w:vAlign w:val="center"/>
          </w:tcPr>
          <w:p>
            <w:pPr>
              <w:widowControl/>
              <w:autoSpaceDE/>
              <w:autoSpaceDN/>
              <w:spacing w:line="400" w:lineRule="exact"/>
              <w:jc w:val="center"/>
              <w:rPr>
                <w:rFonts w:ascii="宋体" w:hAnsi="宋体" w:eastAsia="宋体" w:cs="宋体"/>
                <w:color w:val="auto"/>
                <w:sz w:val="21"/>
                <w:szCs w:val="21"/>
                <w:lang w:val="en-US" w:bidi="ar-SA"/>
              </w:rPr>
            </w:pPr>
          </w:p>
        </w:tc>
      </w:tr>
      <w:tr>
        <w:tblPrEx>
          <w:tblCellMar>
            <w:top w:w="0" w:type="dxa"/>
            <w:left w:w="108" w:type="dxa"/>
            <w:bottom w:w="0" w:type="dxa"/>
            <w:right w:w="108" w:type="dxa"/>
          </w:tblCellMar>
        </w:tblPrEx>
        <w:trPr>
          <w:trHeight w:val="20" w:hRule="atLeast"/>
        </w:trPr>
        <w:tc>
          <w:tcPr>
            <w:tcW w:w="1250" w:type="pct"/>
            <w:tcBorders>
              <w:top w:val="nil"/>
              <w:left w:val="single" w:color="000000" w:sz="8" w:space="0"/>
              <w:bottom w:val="single" w:color="000000" w:sz="8" w:space="0"/>
              <w:right w:val="single" w:color="000000" w:sz="8" w:space="0"/>
            </w:tcBorders>
            <w:shd w:val="clear" w:color="auto" w:fill="auto"/>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合计</w:t>
            </w:r>
          </w:p>
        </w:tc>
        <w:tc>
          <w:tcPr>
            <w:tcW w:w="3750" w:type="pct"/>
            <w:gridSpan w:val="3"/>
            <w:tcBorders>
              <w:top w:val="single" w:color="000000" w:sz="8" w:space="0"/>
              <w:left w:val="nil"/>
              <w:bottom w:val="single" w:color="000000" w:sz="8" w:space="0"/>
              <w:right w:val="single" w:color="000000" w:sz="8" w:space="0"/>
            </w:tcBorders>
            <w:shd w:val="clear" w:color="auto" w:fill="auto"/>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65</w:t>
            </w:r>
          </w:p>
        </w:tc>
      </w:tr>
    </w:tbl>
    <w:p>
      <w:pPr>
        <w:pStyle w:val="26"/>
        <w:rPr>
          <w:color w:val="auto"/>
        </w:rPr>
      </w:pPr>
    </w:p>
    <w:p>
      <w:pPr>
        <w:pStyle w:val="25"/>
        <w:ind w:firstLine="280"/>
        <w:rPr>
          <w:color w:val="auto"/>
        </w:rPr>
      </w:pPr>
    </w:p>
    <w:p>
      <w:pPr>
        <w:rPr>
          <w:color w:val="auto"/>
        </w:rPr>
      </w:pPr>
    </w:p>
    <w:p>
      <w:pPr>
        <w:pStyle w:val="26"/>
        <w:rPr>
          <w:color w:val="auto"/>
        </w:rPr>
      </w:pPr>
    </w:p>
    <w:p>
      <w:pPr>
        <w:pStyle w:val="2"/>
        <w:numPr>
          <w:ilvl w:val="1"/>
          <w:numId w:val="58"/>
        </w:numPr>
        <w:tabs>
          <w:tab w:val="left" w:pos="1100"/>
        </w:tabs>
        <w:spacing w:before="0" w:line="500" w:lineRule="exact"/>
        <w:jc w:val="both"/>
        <w:rPr>
          <w:rFonts w:asciiTheme="minorEastAsia" w:hAnsiTheme="minorEastAsia" w:eastAsiaTheme="minorEastAsia" w:cstheme="minorEastAsia"/>
          <w:color w:val="auto"/>
          <w:sz w:val="24"/>
          <w:szCs w:val="24"/>
        </w:rPr>
      </w:pPr>
      <w:bookmarkStart w:id="112" w:name="7.3项目实施计划"/>
      <w:bookmarkEnd w:id="112"/>
      <w:bookmarkStart w:id="113" w:name="_Toc9015"/>
      <w:bookmarkStart w:id="114" w:name="_Toc23699"/>
      <w:r>
        <w:rPr>
          <w:rFonts w:hint="eastAsia" w:asciiTheme="minorEastAsia" w:hAnsiTheme="minorEastAsia" w:eastAsiaTheme="minorEastAsia" w:cstheme="minorEastAsia"/>
          <w:color w:val="auto"/>
          <w:sz w:val="24"/>
          <w:szCs w:val="24"/>
        </w:rPr>
        <w:t>项目实施计划</w:t>
      </w:r>
      <w:bookmarkEnd w:id="113"/>
      <w:bookmarkEnd w:id="114"/>
    </w:p>
    <w:p>
      <w:pPr>
        <w:pStyle w:val="10"/>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表7.</w:t>
      </w:r>
      <w:r>
        <w:rPr>
          <w:rFonts w:hint="eastAsia" w:asciiTheme="minorEastAsia" w:hAnsiTheme="minorEastAsia" w:eastAsiaTheme="minorEastAsia" w:cstheme="minorEastAsia"/>
          <w:b/>
          <w:color w:val="auto"/>
          <w:sz w:val="21"/>
          <w:szCs w:val="21"/>
          <w:lang w:val="en-US"/>
        </w:rPr>
        <w:t>3</w:t>
      </w:r>
      <w:r>
        <w:rPr>
          <w:rFonts w:hint="eastAsia" w:asciiTheme="minorEastAsia" w:hAnsiTheme="minorEastAsia" w:eastAsiaTheme="minorEastAsia" w:cstheme="minorEastAsia"/>
          <w:b/>
          <w:color w:val="auto"/>
          <w:sz w:val="21"/>
          <w:szCs w:val="21"/>
        </w:rPr>
        <w:t>-</w:t>
      </w:r>
      <w:r>
        <w:rPr>
          <w:rFonts w:hint="eastAsia" w:asciiTheme="minorEastAsia" w:hAnsiTheme="minorEastAsia" w:eastAsiaTheme="minorEastAsia" w:cstheme="minorEastAsia"/>
          <w:b/>
          <w:color w:val="auto"/>
          <w:sz w:val="21"/>
          <w:szCs w:val="21"/>
          <w:lang w:val="en-US"/>
        </w:rPr>
        <w:t>1</w:t>
      </w:r>
      <w:r>
        <w:rPr>
          <w:rFonts w:hint="eastAsia" w:asciiTheme="minorEastAsia" w:hAnsiTheme="minorEastAsia" w:eastAsiaTheme="minorEastAsia" w:cstheme="minorEastAsia"/>
          <w:b/>
          <w:color w:val="auto"/>
          <w:sz w:val="21"/>
          <w:szCs w:val="21"/>
        </w:rPr>
        <w:t xml:space="preserve"> 项目实施计划表</w:t>
      </w:r>
    </w:p>
    <w:tbl>
      <w:tblPr>
        <w:tblStyle w:val="27"/>
        <w:tblW w:w="8537" w:type="dxa"/>
        <w:tblInd w:w="32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845"/>
        <w:gridCol w:w="3491"/>
        <w:gridCol w:w="220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2845" w:type="dxa"/>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时间</w:t>
            </w:r>
          </w:p>
        </w:tc>
        <w:tc>
          <w:tcPr>
            <w:tcW w:w="3491" w:type="dxa"/>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计划任务</w:t>
            </w:r>
          </w:p>
        </w:tc>
        <w:tc>
          <w:tcPr>
            <w:tcW w:w="2201" w:type="dxa"/>
            <w:vAlign w:val="center"/>
          </w:tcPr>
          <w:p>
            <w:pPr>
              <w:spacing w:line="460" w:lineRule="exact"/>
              <w:jc w:val="center"/>
              <w:rPr>
                <w:color w:val="auto"/>
                <w:sz w:val="21"/>
                <w:szCs w:val="21"/>
              </w:rPr>
            </w:pPr>
            <w:r>
              <w:rPr>
                <w:rFonts w:hint="eastAsia" w:ascii="宋体" w:hAnsi="宋体" w:eastAsia="宋体" w:cs="宋体"/>
                <w:color w:val="auto"/>
                <w:sz w:val="21"/>
                <w:szCs w:val="21"/>
                <w:lang w:val="en-US" w:bidi="ar-SA"/>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2845" w:type="dxa"/>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202</w:t>
            </w:r>
            <w:r>
              <w:rPr>
                <w:rFonts w:hint="eastAsia" w:ascii="宋体" w:hAnsi="宋体" w:eastAsia="宋体" w:cs="宋体"/>
                <w:color w:val="auto"/>
                <w:sz w:val="21"/>
                <w:szCs w:val="21"/>
                <w:lang w:val="en-US" w:eastAsia="zh-CN" w:bidi="ar-SA"/>
              </w:rPr>
              <w:t>4</w:t>
            </w:r>
            <w:r>
              <w:rPr>
                <w:rFonts w:hint="eastAsia" w:ascii="宋体" w:hAnsi="宋体" w:eastAsia="宋体" w:cs="宋体"/>
                <w:color w:val="auto"/>
                <w:sz w:val="21"/>
                <w:szCs w:val="21"/>
                <w:lang w:val="en-US" w:bidi="ar-SA"/>
              </w:rPr>
              <w:t>年0</w:t>
            </w:r>
            <w:r>
              <w:rPr>
                <w:rFonts w:hint="eastAsia" w:ascii="宋体" w:hAnsi="宋体" w:eastAsia="宋体" w:cs="宋体"/>
                <w:color w:val="auto"/>
                <w:sz w:val="21"/>
                <w:szCs w:val="21"/>
                <w:lang w:val="en-US" w:eastAsia="zh-CN" w:bidi="ar-SA"/>
              </w:rPr>
              <w:t>1</w:t>
            </w:r>
            <w:r>
              <w:rPr>
                <w:rFonts w:hint="eastAsia" w:ascii="宋体" w:hAnsi="宋体" w:eastAsia="宋体" w:cs="宋体"/>
                <w:color w:val="auto"/>
                <w:sz w:val="21"/>
                <w:szCs w:val="21"/>
                <w:lang w:val="en-US" w:bidi="ar-SA"/>
              </w:rPr>
              <w:t>月至0</w:t>
            </w:r>
            <w:r>
              <w:rPr>
                <w:rFonts w:hint="eastAsia" w:ascii="宋体" w:hAnsi="宋体" w:eastAsia="宋体" w:cs="宋体"/>
                <w:color w:val="auto"/>
                <w:sz w:val="21"/>
                <w:szCs w:val="21"/>
                <w:lang w:val="en-US" w:eastAsia="zh-CN" w:bidi="ar-SA"/>
              </w:rPr>
              <w:t>2</w:t>
            </w:r>
            <w:r>
              <w:rPr>
                <w:rFonts w:hint="eastAsia" w:ascii="宋体" w:hAnsi="宋体" w:eastAsia="宋体" w:cs="宋体"/>
                <w:color w:val="auto"/>
                <w:sz w:val="21"/>
                <w:szCs w:val="21"/>
                <w:lang w:val="en-US" w:bidi="ar-SA"/>
              </w:rPr>
              <w:t>月</w:t>
            </w:r>
          </w:p>
        </w:tc>
        <w:tc>
          <w:tcPr>
            <w:tcW w:w="3491" w:type="dxa"/>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可行性研</w:t>
            </w:r>
          </w:p>
        </w:tc>
        <w:tc>
          <w:tcPr>
            <w:tcW w:w="2201" w:type="dxa"/>
            <w:vAlign w:val="center"/>
          </w:tcPr>
          <w:p>
            <w:pPr>
              <w:spacing w:line="460" w:lineRule="exact"/>
              <w:jc w:val="center"/>
              <w:rPr>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2845" w:type="dxa"/>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时间</w:t>
            </w:r>
          </w:p>
        </w:tc>
        <w:tc>
          <w:tcPr>
            <w:tcW w:w="3491" w:type="dxa"/>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计划任务</w:t>
            </w:r>
          </w:p>
        </w:tc>
        <w:tc>
          <w:tcPr>
            <w:tcW w:w="2201" w:type="dxa"/>
            <w:vAlign w:val="center"/>
          </w:tcPr>
          <w:p>
            <w:pPr>
              <w:spacing w:line="460" w:lineRule="exact"/>
              <w:jc w:val="center"/>
              <w:rPr>
                <w:color w:val="auto"/>
                <w:sz w:val="21"/>
                <w:szCs w:val="21"/>
              </w:rPr>
            </w:pPr>
            <w:r>
              <w:rPr>
                <w:rFonts w:hint="eastAsia" w:ascii="宋体" w:hAnsi="宋体" w:eastAsia="宋体" w:cs="宋体"/>
                <w:color w:val="auto"/>
                <w:sz w:val="21"/>
                <w:szCs w:val="21"/>
                <w:lang w:val="en-US" w:bidi="ar-SA"/>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2845" w:type="dxa"/>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202</w:t>
            </w:r>
            <w:r>
              <w:rPr>
                <w:rFonts w:hint="eastAsia" w:ascii="宋体" w:hAnsi="宋体" w:eastAsia="宋体" w:cs="宋体"/>
                <w:color w:val="auto"/>
                <w:sz w:val="21"/>
                <w:szCs w:val="21"/>
                <w:lang w:val="en-US" w:eastAsia="zh-CN" w:bidi="ar-SA"/>
              </w:rPr>
              <w:t>4</w:t>
            </w:r>
            <w:r>
              <w:rPr>
                <w:rFonts w:hint="eastAsia" w:ascii="宋体" w:hAnsi="宋体" w:eastAsia="宋体" w:cs="宋体"/>
                <w:color w:val="auto"/>
                <w:sz w:val="21"/>
                <w:szCs w:val="21"/>
                <w:lang w:val="en-US" w:bidi="ar-SA"/>
              </w:rPr>
              <w:t>年</w:t>
            </w:r>
            <w:r>
              <w:rPr>
                <w:rFonts w:hint="eastAsia" w:ascii="宋体" w:hAnsi="宋体" w:eastAsia="宋体" w:cs="宋体"/>
                <w:color w:val="auto"/>
                <w:sz w:val="21"/>
                <w:szCs w:val="21"/>
                <w:lang w:val="en-US" w:eastAsia="zh-CN" w:bidi="ar-SA"/>
              </w:rPr>
              <w:t>03</w:t>
            </w:r>
            <w:r>
              <w:rPr>
                <w:rFonts w:hint="eastAsia" w:ascii="宋体" w:hAnsi="宋体" w:eastAsia="宋体" w:cs="宋体"/>
                <w:color w:val="auto"/>
                <w:sz w:val="21"/>
                <w:szCs w:val="21"/>
                <w:lang w:val="en-US" w:bidi="ar-SA"/>
              </w:rPr>
              <w:t>月</w:t>
            </w:r>
          </w:p>
        </w:tc>
        <w:tc>
          <w:tcPr>
            <w:tcW w:w="3491" w:type="dxa"/>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项目立项</w:t>
            </w:r>
          </w:p>
        </w:tc>
        <w:tc>
          <w:tcPr>
            <w:tcW w:w="2201" w:type="dxa"/>
            <w:vAlign w:val="center"/>
          </w:tcPr>
          <w:p>
            <w:pPr>
              <w:spacing w:line="460" w:lineRule="exact"/>
              <w:jc w:val="center"/>
              <w:rPr>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2845" w:type="dxa"/>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202</w:t>
            </w:r>
            <w:r>
              <w:rPr>
                <w:rFonts w:hint="eastAsia" w:ascii="宋体" w:hAnsi="宋体" w:eastAsia="宋体" w:cs="宋体"/>
                <w:color w:val="auto"/>
                <w:sz w:val="21"/>
                <w:szCs w:val="21"/>
                <w:lang w:val="en-US" w:eastAsia="zh-CN" w:bidi="ar-SA"/>
              </w:rPr>
              <w:t>4</w:t>
            </w:r>
            <w:r>
              <w:rPr>
                <w:rFonts w:hint="eastAsia" w:ascii="宋体" w:hAnsi="宋体" w:eastAsia="宋体" w:cs="宋体"/>
                <w:color w:val="auto"/>
                <w:sz w:val="21"/>
                <w:szCs w:val="21"/>
                <w:lang w:val="en-US" w:bidi="ar-SA"/>
              </w:rPr>
              <w:t>年0</w:t>
            </w:r>
            <w:r>
              <w:rPr>
                <w:rFonts w:hint="eastAsia" w:ascii="宋体" w:hAnsi="宋体" w:eastAsia="宋体" w:cs="宋体"/>
                <w:color w:val="auto"/>
                <w:sz w:val="21"/>
                <w:szCs w:val="21"/>
                <w:lang w:val="en-US" w:eastAsia="zh-CN" w:bidi="ar-SA"/>
              </w:rPr>
              <w:t>4</w:t>
            </w:r>
            <w:r>
              <w:rPr>
                <w:rFonts w:hint="eastAsia" w:ascii="宋体" w:hAnsi="宋体" w:eastAsia="宋体" w:cs="宋体"/>
                <w:color w:val="auto"/>
                <w:sz w:val="21"/>
                <w:szCs w:val="21"/>
                <w:lang w:val="en-US" w:bidi="ar-SA"/>
              </w:rPr>
              <w:t>月至0</w:t>
            </w:r>
            <w:r>
              <w:rPr>
                <w:rFonts w:hint="eastAsia" w:ascii="宋体" w:hAnsi="宋体" w:eastAsia="宋体" w:cs="宋体"/>
                <w:color w:val="auto"/>
                <w:sz w:val="21"/>
                <w:szCs w:val="21"/>
                <w:lang w:val="en-US" w:eastAsia="zh-CN" w:bidi="ar-SA"/>
              </w:rPr>
              <w:t>6</w:t>
            </w:r>
            <w:r>
              <w:rPr>
                <w:rFonts w:hint="eastAsia" w:ascii="宋体" w:hAnsi="宋体" w:eastAsia="宋体" w:cs="宋体"/>
                <w:color w:val="auto"/>
                <w:sz w:val="21"/>
                <w:szCs w:val="21"/>
                <w:lang w:val="en-US" w:bidi="ar-SA"/>
              </w:rPr>
              <w:t>月</w:t>
            </w:r>
          </w:p>
        </w:tc>
        <w:tc>
          <w:tcPr>
            <w:tcW w:w="3491" w:type="dxa"/>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EPC 招标前期准备（含全过程咨询）</w:t>
            </w:r>
          </w:p>
        </w:tc>
        <w:tc>
          <w:tcPr>
            <w:tcW w:w="2201" w:type="dxa"/>
            <w:vAlign w:val="center"/>
          </w:tcPr>
          <w:p>
            <w:pPr>
              <w:spacing w:line="460" w:lineRule="exact"/>
              <w:jc w:val="center"/>
              <w:rPr>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2845" w:type="dxa"/>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202</w:t>
            </w:r>
            <w:r>
              <w:rPr>
                <w:rFonts w:hint="eastAsia" w:ascii="宋体" w:hAnsi="宋体" w:eastAsia="宋体" w:cs="宋体"/>
                <w:color w:val="auto"/>
                <w:sz w:val="21"/>
                <w:szCs w:val="21"/>
                <w:lang w:val="en-US" w:eastAsia="zh-CN" w:bidi="ar-SA"/>
              </w:rPr>
              <w:t>4</w:t>
            </w:r>
            <w:r>
              <w:rPr>
                <w:rFonts w:hint="eastAsia" w:ascii="宋体" w:hAnsi="宋体" w:eastAsia="宋体" w:cs="宋体"/>
                <w:color w:val="auto"/>
                <w:sz w:val="21"/>
                <w:szCs w:val="21"/>
                <w:lang w:val="en-US" w:bidi="ar-SA"/>
              </w:rPr>
              <w:t>年0</w:t>
            </w:r>
            <w:r>
              <w:rPr>
                <w:rFonts w:hint="eastAsia" w:ascii="宋体" w:hAnsi="宋体" w:eastAsia="宋体" w:cs="宋体"/>
                <w:color w:val="auto"/>
                <w:sz w:val="21"/>
                <w:szCs w:val="21"/>
                <w:lang w:val="en-US" w:eastAsia="zh-CN" w:bidi="ar-SA"/>
              </w:rPr>
              <w:t>7</w:t>
            </w:r>
            <w:r>
              <w:rPr>
                <w:rFonts w:hint="eastAsia" w:ascii="宋体" w:hAnsi="宋体" w:eastAsia="宋体" w:cs="宋体"/>
                <w:color w:val="auto"/>
                <w:sz w:val="21"/>
                <w:szCs w:val="21"/>
                <w:lang w:val="en-US" w:bidi="ar-SA"/>
              </w:rPr>
              <w:t>月</w:t>
            </w:r>
          </w:p>
        </w:tc>
        <w:tc>
          <w:tcPr>
            <w:tcW w:w="3491" w:type="dxa"/>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EPC 招标</w:t>
            </w:r>
          </w:p>
        </w:tc>
        <w:tc>
          <w:tcPr>
            <w:tcW w:w="2201" w:type="dxa"/>
            <w:vAlign w:val="center"/>
          </w:tcPr>
          <w:p>
            <w:pPr>
              <w:spacing w:line="460" w:lineRule="exact"/>
              <w:jc w:val="center"/>
              <w:rPr>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2845" w:type="dxa"/>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202</w:t>
            </w:r>
            <w:r>
              <w:rPr>
                <w:rFonts w:hint="eastAsia" w:ascii="宋体" w:hAnsi="宋体" w:eastAsia="宋体" w:cs="宋体"/>
                <w:color w:val="auto"/>
                <w:sz w:val="21"/>
                <w:szCs w:val="21"/>
                <w:lang w:val="en-US" w:eastAsia="zh-CN" w:bidi="ar-SA"/>
              </w:rPr>
              <w:t>4</w:t>
            </w:r>
            <w:r>
              <w:rPr>
                <w:rFonts w:hint="eastAsia" w:ascii="宋体" w:hAnsi="宋体" w:eastAsia="宋体" w:cs="宋体"/>
                <w:color w:val="auto"/>
                <w:sz w:val="21"/>
                <w:szCs w:val="21"/>
                <w:lang w:val="en-US" w:bidi="ar-SA"/>
              </w:rPr>
              <w:t>年0</w:t>
            </w:r>
            <w:r>
              <w:rPr>
                <w:rFonts w:hint="eastAsia" w:ascii="宋体" w:hAnsi="宋体" w:eastAsia="宋体" w:cs="宋体"/>
                <w:color w:val="auto"/>
                <w:sz w:val="21"/>
                <w:szCs w:val="21"/>
                <w:lang w:val="en-US" w:eastAsia="zh-CN" w:bidi="ar-SA"/>
              </w:rPr>
              <w:t>8</w:t>
            </w:r>
            <w:r>
              <w:rPr>
                <w:rFonts w:hint="eastAsia" w:ascii="宋体" w:hAnsi="宋体" w:eastAsia="宋体" w:cs="宋体"/>
                <w:color w:val="auto"/>
                <w:sz w:val="21"/>
                <w:szCs w:val="21"/>
                <w:lang w:val="en-US" w:bidi="ar-SA"/>
              </w:rPr>
              <w:t>月</w:t>
            </w:r>
          </w:p>
        </w:tc>
        <w:tc>
          <w:tcPr>
            <w:tcW w:w="3491" w:type="dxa"/>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施工图设计</w:t>
            </w:r>
          </w:p>
        </w:tc>
        <w:tc>
          <w:tcPr>
            <w:tcW w:w="2201" w:type="dxa"/>
            <w:vAlign w:val="center"/>
          </w:tcPr>
          <w:p>
            <w:pPr>
              <w:spacing w:line="460" w:lineRule="exact"/>
              <w:jc w:val="center"/>
              <w:rPr>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2845" w:type="dxa"/>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202</w:t>
            </w:r>
            <w:r>
              <w:rPr>
                <w:rFonts w:hint="eastAsia" w:ascii="宋体" w:hAnsi="宋体" w:eastAsia="宋体" w:cs="宋体"/>
                <w:color w:val="auto"/>
                <w:sz w:val="21"/>
                <w:szCs w:val="21"/>
                <w:lang w:val="en-US" w:eastAsia="zh-CN" w:bidi="ar-SA"/>
              </w:rPr>
              <w:t>4</w:t>
            </w:r>
            <w:r>
              <w:rPr>
                <w:rFonts w:hint="eastAsia" w:ascii="宋体" w:hAnsi="宋体" w:eastAsia="宋体" w:cs="宋体"/>
                <w:color w:val="auto"/>
                <w:sz w:val="21"/>
                <w:szCs w:val="21"/>
                <w:lang w:val="en-US" w:bidi="ar-SA"/>
              </w:rPr>
              <w:t>年</w:t>
            </w:r>
            <w:r>
              <w:rPr>
                <w:rFonts w:hint="eastAsia" w:ascii="宋体" w:hAnsi="宋体" w:eastAsia="宋体" w:cs="宋体"/>
                <w:color w:val="auto"/>
                <w:sz w:val="21"/>
                <w:szCs w:val="21"/>
                <w:lang w:val="en-US" w:eastAsia="zh-CN" w:bidi="ar-SA"/>
              </w:rPr>
              <w:t>09</w:t>
            </w:r>
            <w:r>
              <w:rPr>
                <w:rFonts w:hint="eastAsia" w:ascii="宋体" w:hAnsi="宋体" w:eastAsia="宋体" w:cs="宋体"/>
                <w:color w:val="auto"/>
                <w:sz w:val="21"/>
                <w:szCs w:val="21"/>
                <w:lang w:val="en-US" w:bidi="ar-SA"/>
              </w:rPr>
              <w:t>月</w:t>
            </w:r>
          </w:p>
        </w:tc>
        <w:tc>
          <w:tcPr>
            <w:tcW w:w="3491" w:type="dxa"/>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预算及审核</w:t>
            </w:r>
          </w:p>
        </w:tc>
        <w:tc>
          <w:tcPr>
            <w:tcW w:w="2201" w:type="dxa"/>
            <w:vAlign w:val="center"/>
          </w:tcPr>
          <w:p>
            <w:pPr>
              <w:spacing w:line="460" w:lineRule="exact"/>
              <w:jc w:val="center"/>
              <w:rPr>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2845" w:type="dxa"/>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202</w:t>
            </w:r>
            <w:r>
              <w:rPr>
                <w:rFonts w:hint="eastAsia" w:ascii="宋体" w:hAnsi="宋体" w:eastAsia="宋体" w:cs="宋体"/>
                <w:color w:val="auto"/>
                <w:sz w:val="21"/>
                <w:szCs w:val="21"/>
                <w:lang w:val="en-US" w:eastAsia="zh-CN" w:bidi="ar-SA"/>
              </w:rPr>
              <w:t>4</w:t>
            </w:r>
            <w:r>
              <w:rPr>
                <w:rFonts w:hint="eastAsia" w:ascii="宋体" w:hAnsi="宋体" w:eastAsia="宋体" w:cs="宋体"/>
                <w:color w:val="auto"/>
                <w:sz w:val="21"/>
                <w:szCs w:val="21"/>
                <w:lang w:val="en-US" w:bidi="ar-SA"/>
              </w:rPr>
              <w:t>年</w:t>
            </w:r>
            <w:r>
              <w:rPr>
                <w:rFonts w:hint="eastAsia" w:ascii="宋体" w:hAnsi="宋体" w:eastAsia="宋体" w:cs="宋体"/>
                <w:color w:val="auto"/>
                <w:sz w:val="21"/>
                <w:szCs w:val="21"/>
                <w:lang w:val="en-US" w:eastAsia="zh-CN" w:bidi="ar-SA"/>
              </w:rPr>
              <w:t>10</w:t>
            </w:r>
            <w:r>
              <w:rPr>
                <w:rFonts w:hint="eastAsia" w:ascii="宋体" w:hAnsi="宋体" w:eastAsia="宋体" w:cs="宋体"/>
                <w:color w:val="auto"/>
                <w:sz w:val="21"/>
                <w:szCs w:val="21"/>
                <w:lang w:val="en-US" w:bidi="ar-SA"/>
              </w:rPr>
              <w:t>月至202</w:t>
            </w:r>
            <w:r>
              <w:rPr>
                <w:rFonts w:hint="eastAsia" w:ascii="宋体" w:hAnsi="宋体" w:eastAsia="宋体" w:cs="宋体"/>
                <w:color w:val="auto"/>
                <w:sz w:val="21"/>
                <w:szCs w:val="21"/>
                <w:lang w:val="en-US" w:eastAsia="zh-CN" w:bidi="ar-SA"/>
              </w:rPr>
              <w:t>5</w:t>
            </w:r>
            <w:r>
              <w:rPr>
                <w:rFonts w:hint="eastAsia" w:ascii="宋体" w:hAnsi="宋体" w:eastAsia="宋体" w:cs="宋体"/>
                <w:color w:val="auto"/>
                <w:sz w:val="21"/>
                <w:szCs w:val="21"/>
                <w:lang w:val="en-US" w:bidi="ar-SA"/>
              </w:rPr>
              <w:t>年</w:t>
            </w:r>
            <w:r>
              <w:rPr>
                <w:rFonts w:hint="eastAsia" w:ascii="宋体" w:hAnsi="宋体" w:eastAsia="宋体" w:cs="宋体"/>
                <w:color w:val="auto"/>
                <w:sz w:val="21"/>
                <w:szCs w:val="21"/>
                <w:lang w:val="en-US" w:eastAsia="zh-CN" w:bidi="ar-SA"/>
              </w:rPr>
              <w:t>06</w:t>
            </w:r>
            <w:r>
              <w:rPr>
                <w:rFonts w:hint="eastAsia" w:ascii="宋体" w:hAnsi="宋体" w:eastAsia="宋体" w:cs="宋体"/>
                <w:color w:val="auto"/>
                <w:sz w:val="21"/>
                <w:szCs w:val="21"/>
                <w:lang w:val="en-US" w:bidi="ar-SA"/>
              </w:rPr>
              <w:t>月</w:t>
            </w:r>
          </w:p>
        </w:tc>
        <w:tc>
          <w:tcPr>
            <w:tcW w:w="3491" w:type="dxa"/>
            <w:vAlign w:val="center"/>
          </w:tcPr>
          <w:p>
            <w:pPr>
              <w:widowControl/>
              <w:autoSpaceDE/>
              <w:autoSpaceDN/>
              <w:spacing w:line="460" w:lineRule="exact"/>
              <w:jc w:val="center"/>
              <w:rPr>
                <w:rFonts w:ascii="宋体" w:hAnsi="宋体" w:eastAsia="宋体" w:cs="宋体"/>
                <w:color w:val="auto"/>
                <w:sz w:val="21"/>
                <w:szCs w:val="21"/>
                <w:lang w:val="en-US" w:bidi="ar-SA"/>
              </w:rPr>
            </w:pPr>
            <w:r>
              <w:rPr>
                <w:rFonts w:hint="eastAsia" w:ascii="宋体" w:hAnsi="宋体" w:eastAsia="宋体" w:cs="宋体"/>
                <w:color w:val="auto"/>
                <w:sz w:val="21"/>
                <w:szCs w:val="21"/>
                <w:lang w:val="en-US" w:bidi="ar-SA"/>
              </w:rPr>
              <w:t>站点及管道施工</w:t>
            </w:r>
          </w:p>
        </w:tc>
        <w:tc>
          <w:tcPr>
            <w:tcW w:w="2201" w:type="dxa"/>
            <w:vAlign w:val="center"/>
          </w:tcPr>
          <w:p>
            <w:pPr>
              <w:spacing w:line="460" w:lineRule="exact"/>
              <w:jc w:val="center"/>
              <w:rPr>
                <w:color w:val="auto"/>
                <w:sz w:val="21"/>
                <w:szCs w:val="21"/>
              </w:rPr>
            </w:pPr>
          </w:p>
        </w:tc>
      </w:tr>
    </w:tbl>
    <w:p>
      <w:pPr>
        <w:pStyle w:val="32"/>
        <w:numPr>
          <w:ilvl w:val="0"/>
          <w:numId w:val="0"/>
        </w:numPr>
        <w:tabs>
          <w:tab w:val="left" w:pos="1796"/>
        </w:tabs>
        <w:spacing w:line="500" w:lineRule="exact"/>
        <w:ind w:left="482"/>
        <w:jc w:val="both"/>
        <w:rPr>
          <w:rFonts w:asciiTheme="minorEastAsia" w:hAnsiTheme="minorEastAsia" w:eastAsiaTheme="minorEastAsia" w:cstheme="minorEastAsia"/>
          <w:b/>
          <w:color w:val="auto"/>
          <w:sz w:val="24"/>
          <w:szCs w:val="24"/>
        </w:rPr>
      </w:pPr>
      <w:r>
        <w:rPr>
          <w:rFonts w:hint="eastAsia" w:ascii="黑体" w:hAnsi="黑体" w:eastAsia="黑体" w:cs="黑体"/>
          <w:b/>
          <w:color w:val="auto"/>
          <w:sz w:val="28"/>
          <w:szCs w:val="28"/>
        </w:rPr>
        <w:t>7.3.1</w:t>
      </w:r>
      <w:r>
        <w:rPr>
          <w:rFonts w:hint="eastAsia" w:ascii="黑体" w:hAnsi="黑体" w:eastAsia="黑体" w:cs="黑体"/>
          <w:b/>
          <w:color w:val="auto"/>
          <w:sz w:val="28"/>
          <w:szCs w:val="28"/>
          <w:lang w:val="en-US"/>
        </w:rPr>
        <w:t xml:space="preserve"> </w:t>
      </w:r>
      <w:r>
        <w:rPr>
          <w:rFonts w:hint="eastAsia" w:asciiTheme="minorEastAsia" w:hAnsiTheme="minorEastAsia" w:eastAsiaTheme="minorEastAsia" w:cstheme="minorEastAsia"/>
          <w:b/>
          <w:color w:val="auto"/>
          <w:sz w:val="24"/>
          <w:szCs w:val="24"/>
        </w:rPr>
        <w:t>实施原则步骤</w:t>
      </w:r>
    </w:p>
    <w:p>
      <w:pPr>
        <w:pStyle w:val="32"/>
        <w:numPr>
          <w:ilvl w:val="0"/>
          <w:numId w:val="64"/>
        </w:numPr>
        <w:tabs>
          <w:tab w:val="left" w:pos="1683"/>
        </w:tabs>
        <w:spacing w:line="500" w:lineRule="exact"/>
        <w:ind w:left="0"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本工程项目的实施首先应符合国内基本建设项目的审批程序。</w:t>
      </w:r>
    </w:p>
    <w:p>
      <w:pPr>
        <w:pStyle w:val="32"/>
        <w:numPr>
          <w:ilvl w:val="0"/>
          <w:numId w:val="64"/>
        </w:numPr>
        <w:tabs>
          <w:tab w:val="left" w:pos="1683"/>
        </w:tabs>
        <w:spacing w:line="500" w:lineRule="exact"/>
        <w:ind w:left="0"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本工程的建设单位，将对本项目筹划、筹资、人事任免、</w:t>
      </w:r>
      <w:r>
        <w:rPr>
          <w:rFonts w:hint="eastAsia" w:asciiTheme="minorEastAsia" w:hAnsiTheme="minorEastAsia" w:eastAsiaTheme="minorEastAsia" w:cstheme="minorEastAsia"/>
          <w:color w:val="auto"/>
          <w:spacing w:val="-5"/>
          <w:sz w:val="24"/>
          <w:szCs w:val="24"/>
        </w:rPr>
        <w:t>招投标、建设直至生产经营管理、债务偿还以及资产保值增值实行全过程、全方位负责。</w:t>
      </w:r>
    </w:p>
    <w:p>
      <w:pPr>
        <w:pStyle w:val="32"/>
        <w:numPr>
          <w:ilvl w:val="0"/>
          <w:numId w:val="64"/>
        </w:numPr>
        <w:tabs>
          <w:tab w:val="left" w:pos="1683"/>
        </w:tabs>
        <w:spacing w:line="500" w:lineRule="exact"/>
        <w:ind w:left="0"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建设单位按照国家法规实行国内公开招标，再由建设单位</w:t>
      </w:r>
      <w:r>
        <w:rPr>
          <w:rFonts w:hint="eastAsia" w:asciiTheme="minorEastAsia" w:hAnsiTheme="minorEastAsia" w:eastAsiaTheme="minorEastAsia" w:cstheme="minorEastAsia"/>
          <w:color w:val="auto"/>
          <w:spacing w:val="-5"/>
          <w:sz w:val="24"/>
          <w:szCs w:val="24"/>
        </w:rPr>
        <w:t>择优选择勘察、设计、供货、施工安装、监理等履行单位。</w:t>
      </w:r>
    </w:p>
    <w:p>
      <w:pPr>
        <w:pStyle w:val="32"/>
        <w:numPr>
          <w:ilvl w:val="0"/>
          <w:numId w:val="64"/>
        </w:numPr>
        <w:tabs>
          <w:tab w:val="left" w:pos="1683"/>
        </w:tabs>
        <w:spacing w:line="500" w:lineRule="exact"/>
        <w:ind w:left="0"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项目的勘察、设计、供货、施工安装、监理等履行单位应</w:t>
      </w:r>
      <w:r>
        <w:rPr>
          <w:rFonts w:hint="eastAsia" w:asciiTheme="minorEastAsia" w:hAnsiTheme="minorEastAsia" w:eastAsiaTheme="minorEastAsia" w:cstheme="minorEastAsia"/>
          <w:color w:val="auto"/>
          <w:spacing w:val="-5"/>
          <w:sz w:val="24"/>
          <w:szCs w:val="24"/>
        </w:rPr>
        <w:t>与项目法人履行必要的法律手续，合约责任按国家的有关法律、法</w:t>
      </w:r>
      <w:r>
        <w:rPr>
          <w:rFonts w:hint="eastAsia" w:asciiTheme="minorEastAsia" w:hAnsiTheme="minorEastAsia" w:eastAsiaTheme="minorEastAsia" w:cstheme="minorEastAsia"/>
          <w:color w:val="auto"/>
          <w:spacing w:val="-3"/>
          <w:sz w:val="24"/>
          <w:szCs w:val="24"/>
        </w:rPr>
        <w:t>规执行。</w:t>
      </w:r>
    </w:p>
    <w:p>
      <w:pPr>
        <w:pStyle w:val="32"/>
        <w:numPr>
          <w:ilvl w:val="0"/>
          <w:numId w:val="0"/>
        </w:numPr>
        <w:tabs>
          <w:tab w:val="left" w:pos="1796"/>
        </w:tabs>
        <w:spacing w:line="500" w:lineRule="exact"/>
        <w:ind w:left="482"/>
        <w:jc w:val="both"/>
        <w:rPr>
          <w:rFonts w:asciiTheme="minorEastAsia" w:hAnsiTheme="minorEastAsia" w:eastAsiaTheme="minorEastAsia" w:cstheme="minorEastAsia"/>
          <w:b/>
          <w:color w:val="auto"/>
          <w:sz w:val="24"/>
          <w:szCs w:val="24"/>
        </w:rPr>
      </w:pPr>
      <w:r>
        <w:rPr>
          <w:rFonts w:hint="eastAsia" w:ascii="黑体" w:hAnsi="黑体" w:eastAsia="黑体" w:cs="黑体"/>
          <w:b/>
          <w:color w:val="auto"/>
          <w:sz w:val="28"/>
          <w:szCs w:val="28"/>
        </w:rPr>
        <w:t>7.3.2</w:t>
      </w:r>
      <w:r>
        <w:rPr>
          <w:rFonts w:hint="eastAsia" w:asciiTheme="minorEastAsia" w:hAnsiTheme="minorEastAsia" w:eastAsiaTheme="minorEastAsia" w:cstheme="minorEastAsia"/>
          <w:b/>
          <w:color w:val="auto"/>
          <w:sz w:val="24"/>
          <w:szCs w:val="24"/>
          <w:lang w:val="en-US"/>
        </w:rPr>
        <w:t xml:space="preserve"> </w:t>
      </w:r>
      <w:r>
        <w:rPr>
          <w:rFonts w:hint="eastAsia" w:asciiTheme="minorEastAsia" w:hAnsiTheme="minorEastAsia" w:eastAsiaTheme="minorEastAsia" w:cstheme="minorEastAsia"/>
          <w:b/>
          <w:color w:val="auto"/>
          <w:sz w:val="24"/>
          <w:szCs w:val="24"/>
        </w:rPr>
        <w:t>进度计划与安排</w:t>
      </w:r>
    </w:p>
    <w:p>
      <w:pPr>
        <w:pStyle w:val="32"/>
        <w:numPr>
          <w:ilvl w:val="0"/>
          <w:numId w:val="0"/>
        </w:numPr>
        <w:tabs>
          <w:tab w:val="left" w:pos="1796"/>
        </w:tabs>
        <w:spacing w:line="500" w:lineRule="exact"/>
        <w:ind w:left="482"/>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Cs/>
          <w:color w:val="auto"/>
          <w:sz w:val="24"/>
          <w:szCs w:val="24"/>
        </w:rPr>
        <w:t>初步项目实施计划安排如下</w:t>
      </w:r>
      <w:r>
        <w:rPr>
          <w:rFonts w:hint="eastAsia" w:asciiTheme="minorEastAsia" w:hAnsiTheme="minorEastAsia" w:eastAsiaTheme="minorEastAsia" w:cstheme="minorEastAsia"/>
          <w:b/>
          <w:color w:val="auto"/>
          <w:sz w:val="24"/>
          <w:szCs w:val="24"/>
        </w:rPr>
        <w:t>：</w:t>
      </w:r>
    </w:p>
    <w:p>
      <w:pPr>
        <w:pStyle w:val="10"/>
        <w:spacing w:line="500" w:lineRule="exact"/>
        <w:ind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工程进度力求安排紧凑，互相衔接，互相交叉，有利于缩短建</w:t>
      </w:r>
      <w:r>
        <w:rPr>
          <w:rFonts w:hint="eastAsia" w:asciiTheme="minorEastAsia" w:hAnsiTheme="minorEastAsia" w:eastAsiaTheme="minorEastAsia" w:cstheme="minorEastAsia"/>
          <w:color w:val="auto"/>
          <w:spacing w:val="-5"/>
          <w:sz w:val="24"/>
          <w:szCs w:val="24"/>
        </w:rPr>
        <w:t>设周期，按时按质完成项目建设。本工程总工期为</w:t>
      </w:r>
      <w:r>
        <w:rPr>
          <w:rFonts w:hint="eastAsia" w:asciiTheme="minorEastAsia" w:hAnsiTheme="minorEastAsia" w:eastAsiaTheme="minorEastAsia" w:cstheme="minorEastAsia"/>
          <w:color w:val="auto"/>
          <w:sz w:val="24"/>
          <w:szCs w:val="24"/>
          <w:lang w:val="en-US" w:eastAsia="zh-CN"/>
        </w:rPr>
        <w:t>18个月</w:t>
      </w:r>
      <w:r>
        <w:rPr>
          <w:rFonts w:hint="eastAsia" w:asciiTheme="minorEastAsia" w:hAnsiTheme="minorEastAsia" w:eastAsiaTheme="minorEastAsia" w:cstheme="minorEastAsia"/>
          <w:color w:val="auto"/>
          <w:spacing w:val="-11"/>
          <w:sz w:val="24"/>
          <w:szCs w:val="24"/>
        </w:rPr>
        <w:t>（</w:t>
      </w:r>
      <w:r>
        <w:rPr>
          <w:rFonts w:hint="eastAsia" w:asciiTheme="minorEastAsia" w:hAnsiTheme="minorEastAsia" w:eastAsiaTheme="minorEastAsia" w:cstheme="minorEastAsia"/>
          <w:color w:val="auto"/>
          <w:spacing w:val="-11"/>
          <w:sz w:val="24"/>
          <w:szCs w:val="24"/>
          <w:lang w:val="en-US"/>
        </w:rPr>
        <w:t>不含2023年启动年</w:t>
      </w:r>
      <w:r>
        <w:rPr>
          <w:rFonts w:hint="eastAsia" w:asciiTheme="minorEastAsia" w:hAnsiTheme="minorEastAsia" w:eastAsiaTheme="minorEastAsia" w:cstheme="minorEastAsia"/>
          <w:color w:val="auto"/>
          <w:spacing w:val="-11"/>
          <w:sz w:val="24"/>
          <w:szCs w:val="24"/>
        </w:rPr>
        <w:t>），项目进</w:t>
      </w:r>
      <w:r>
        <w:rPr>
          <w:rFonts w:hint="eastAsia" w:asciiTheme="minorEastAsia" w:hAnsiTheme="minorEastAsia" w:eastAsiaTheme="minorEastAsia" w:cstheme="minorEastAsia"/>
          <w:color w:val="auto"/>
          <w:spacing w:val="-7"/>
          <w:sz w:val="24"/>
          <w:szCs w:val="24"/>
        </w:rPr>
        <w:t>度计划见下表：</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（1）可行性研究报告编制：202</w:t>
      </w:r>
      <w:r>
        <w:rPr>
          <w:rFonts w:hint="eastAsia" w:asciiTheme="minorEastAsia" w:hAnsiTheme="minorEastAsia" w:eastAsiaTheme="minorEastAsia" w:cstheme="minorEastAsia"/>
          <w:color w:val="auto"/>
          <w:sz w:val="24"/>
          <w:szCs w:val="24"/>
          <w:lang w:val="en-US" w:eastAsia="zh-CN"/>
        </w:rPr>
        <w:t>4</w:t>
      </w:r>
      <w:r>
        <w:rPr>
          <w:rFonts w:hint="eastAsia" w:asciiTheme="minorEastAsia" w:hAnsiTheme="minorEastAsia" w:eastAsiaTheme="minorEastAsia" w:cstheme="minorEastAsia"/>
          <w:color w:val="auto"/>
          <w:sz w:val="24"/>
          <w:szCs w:val="24"/>
        </w:rPr>
        <w:t>年</w:t>
      </w:r>
      <w:r>
        <w:rPr>
          <w:rFonts w:hint="eastAsia" w:asciiTheme="minorEastAsia" w:hAnsiTheme="minorEastAsia" w:eastAsiaTheme="minorEastAsia" w:cstheme="minorEastAsia"/>
          <w:color w:val="auto"/>
          <w:sz w:val="24"/>
          <w:szCs w:val="24"/>
          <w:lang w:val="en-US" w:eastAsia="zh-CN"/>
        </w:rPr>
        <w:t>01</w:t>
      </w:r>
      <w:r>
        <w:rPr>
          <w:rFonts w:hint="eastAsia" w:asciiTheme="minorEastAsia" w:hAnsiTheme="minorEastAsia" w:eastAsiaTheme="minorEastAsia" w:cstheme="minorEastAsia"/>
          <w:color w:val="auto"/>
          <w:sz w:val="24"/>
          <w:szCs w:val="24"/>
        </w:rPr>
        <w:t>月至202</w:t>
      </w:r>
      <w:r>
        <w:rPr>
          <w:rFonts w:hint="eastAsia" w:asciiTheme="minorEastAsia" w:hAnsiTheme="minorEastAsia" w:eastAsiaTheme="minorEastAsia" w:cstheme="minorEastAsia"/>
          <w:color w:val="auto"/>
          <w:sz w:val="24"/>
          <w:szCs w:val="24"/>
          <w:lang w:val="en-US" w:eastAsia="zh-CN"/>
        </w:rPr>
        <w:t>4</w:t>
      </w:r>
      <w:r>
        <w:rPr>
          <w:rFonts w:hint="eastAsia" w:asciiTheme="minorEastAsia" w:hAnsiTheme="minorEastAsia" w:eastAsiaTheme="minorEastAsia" w:cstheme="minorEastAsia"/>
          <w:color w:val="auto"/>
          <w:sz w:val="24"/>
          <w:szCs w:val="24"/>
        </w:rPr>
        <w:t>年</w:t>
      </w:r>
      <w:r>
        <w:rPr>
          <w:rFonts w:hint="eastAsia" w:asciiTheme="minorEastAsia" w:hAnsiTheme="minorEastAsia" w:eastAsiaTheme="minorEastAsia" w:cstheme="minorEastAsia"/>
          <w:color w:val="auto"/>
          <w:sz w:val="24"/>
          <w:szCs w:val="24"/>
          <w:lang w:val="en-US" w:eastAsia="zh-CN"/>
        </w:rPr>
        <w:t>02</w:t>
      </w:r>
      <w:r>
        <w:rPr>
          <w:rFonts w:hint="eastAsia" w:asciiTheme="minorEastAsia" w:hAnsiTheme="minorEastAsia" w:eastAsiaTheme="minorEastAsia" w:cstheme="minorEastAsia"/>
          <w:color w:val="auto"/>
          <w:sz w:val="24"/>
          <w:szCs w:val="24"/>
        </w:rPr>
        <w:t>月；</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（2）项目立项：202</w:t>
      </w:r>
      <w:r>
        <w:rPr>
          <w:rFonts w:hint="eastAsia" w:asciiTheme="minorEastAsia" w:hAnsiTheme="minorEastAsia" w:eastAsiaTheme="minorEastAsia" w:cstheme="minorEastAsia"/>
          <w:color w:val="auto"/>
          <w:sz w:val="24"/>
          <w:szCs w:val="24"/>
          <w:lang w:val="en-US" w:eastAsia="zh-CN"/>
        </w:rPr>
        <w:t>4</w:t>
      </w:r>
      <w:r>
        <w:rPr>
          <w:rFonts w:hint="eastAsia" w:asciiTheme="minorEastAsia" w:hAnsiTheme="minorEastAsia" w:eastAsiaTheme="minorEastAsia" w:cstheme="minorEastAsia"/>
          <w:color w:val="auto"/>
          <w:sz w:val="24"/>
          <w:szCs w:val="24"/>
        </w:rPr>
        <w:t>年</w:t>
      </w:r>
      <w:r>
        <w:rPr>
          <w:rFonts w:hint="eastAsia" w:asciiTheme="minorEastAsia" w:hAnsiTheme="minorEastAsia" w:eastAsiaTheme="minorEastAsia" w:cstheme="minorEastAsia"/>
          <w:color w:val="auto"/>
          <w:sz w:val="24"/>
          <w:szCs w:val="24"/>
          <w:lang w:val="en-US" w:eastAsia="zh-CN"/>
        </w:rPr>
        <w:t>03</w:t>
      </w:r>
      <w:r>
        <w:rPr>
          <w:rFonts w:hint="eastAsia" w:asciiTheme="minorEastAsia" w:hAnsiTheme="minorEastAsia" w:eastAsiaTheme="minorEastAsia" w:cstheme="minorEastAsia"/>
          <w:color w:val="auto"/>
          <w:sz w:val="24"/>
          <w:szCs w:val="24"/>
        </w:rPr>
        <w:t>月；</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（3）EPC</w:t>
      </w:r>
      <w:r>
        <w:rPr>
          <w:rFonts w:hint="eastAsia" w:asciiTheme="minorEastAsia" w:hAnsiTheme="minorEastAsia" w:eastAsiaTheme="minorEastAsia" w:cstheme="minorEastAsia"/>
          <w:color w:val="auto"/>
          <w:spacing w:val="-12"/>
          <w:sz w:val="24"/>
          <w:szCs w:val="24"/>
        </w:rPr>
        <w:t xml:space="preserve"> 招标前期准备：</w:t>
      </w:r>
      <w:r>
        <w:rPr>
          <w:rFonts w:hint="eastAsia" w:asciiTheme="minorEastAsia" w:hAnsiTheme="minorEastAsia" w:eastAsiaTheme="minorEastAsia" w:cstheme="minorEastAsia"/>
          <w:color w:val="auto"/>
          <w:spacing w:val="-3"/>
          <w:sz w:val="24"/>
          <w:szCs w:val="24"/>
        </w:rPr>
        <w:t>202</w:t>
      </w:r>
      <w:r>
        <w:rPr>
          <w:rFonts w:hint="eastAsia" w:asciiTheme="minorEastAsia" w:hAnsiTheme="minorEastAsia" w:eastAsiaTheme="minorEastAsia" w:cstheme="minorEastAsia"/>
          <w:color w:val="auto"/>
          <w:spacing w:val="-3"/>
          <w:sz w:val="24"/>
          <w:szCs w:val="24"/>
          <w:lang w:val="en-US" w:eastAsia="zh-CN"/>
        </w:rPr>
        <w:t>4</w:t>
      </w:r>
      <w:r>
        <w:rPr>
          <w:rFonts w:hint="eastAsia" w:asciiTheme="minorEastAsia" w:hAnsiTheme="minorEastAsia" w:eastAsiaTheme="minorEastAsia" w:cstheme="minorEastAsia"/>
          <w:color w:val="auto"/>
          <w:spacing w:val="-1"/>
          <w:sz w:val="24"/>
          <w:szCs w:val="24"/>
        </w:rPr>
        <w:t>年</w:t>
      </w:r>
      <w:r>
        <w:rPr>
          <w:rFonts w:hint="eastAsia" w:asciiTheme="minorEastAsia" w:hAnsiTheme="minorEastAsia" w:eastAsiaTheme="minorEastAsia" w:cstheme="minorEastAsia"/>
          <w:color w:val="auto"/>
          <w:spacing w:val="-1"/>
          <w:sz w:val="24"/>
          <w:szCs w:val="24"/>
          <w:lang w:val="en-US" w:eastAsia="zh-CN"/>
        </w:rPr>
        <w:t>04</w:t>
      </w:r>
      <w:r>
        <w:rPr>
          <w:rFonts w:hint="eastAsia" w:asciiTheme="minorEastAsia" w:hAnsiTheme="minorEastAsia" w:eastAsiaTheme="minorEastAsia" w:cstheme="minorEastAsia"/>
          <w:color w:val="auto"/>
          <w:spacing w:val="-3"/>
          <w:sz w:val="24"/>
          <w:szCs w:val="24"/>
        </w:rPr>
        <w:t>月</w:t>
      </w:r>
      <w:r>
        <w:rPr>
          <w:rFonts w:hint="eastAsia" w:asciiTheme="minorEastAsia" w:hAnsiTheme="minorEastAsia" w:eastAsiaTheme="minorEastAsia" w:cstheme="minorEastAsia"/>
          <w:color w:val="auto"/>
          <w:spacing w:val="-37"/>
          <w:sz w:val="24"/>
          <w:szCs w:val="24"/>
        </w:rPr>
        <w:t xml:space="preserve">至 </w:t>
      </w:r>
      <w:r>
        <w:rPr>
          <w:rFonts w:hint="eastAsia" w:asciiTheme="minorEastAsia" w:hAnsiTheme="minorEastAsia" w:eastAsiaTheme="minorEastAsia" w:cstheme="minorEastAsia"/>
          <w:color w:val="auto"/>
          <w:sz w:val="24"/>
          <w:szCs w:val="24"/>
        </w:rPr>
        <w:t>202</w:t>
      </w:r>
      <w:r>
        <w:rPr>
          <w:rFonts w:hint="eastAsia" w:asciiTheme="minorEastAsia" w:hAnsiTheme="minorEastAsia" w:eastAsiaTheme="minorEastAsia" w:cstheme="minorEastAsia"/>
          <w:color w:val="auto"/>
          <w:sz w:val="24"/>
          <w:szCs w:val="24"/>
          <w:lang w:val="en-US" w:eastAsia="zh-CN"/>
        </w:rPr>
        <w:t>4</w:t>
      </w:r>
      <w:r>
        <w:rPr>
          <w:rFonts w:hint="eastAsia" w:asciiTheme="minorEastAsia" w:hAnsiTheme="minorEastAsia" w:eastAsiaTheme="minorEastAsia" w:cstheme="minorEastAsia"/>
          <w:color w:val="auto"/>
          <w:spacing w:val="-2"/>
          <w:sz w:val="24"/>
          <w:szCs w:val="24"/>
        </w:rPr>
        <w:t>年</w:t>
      </w:r>
      <w:r>
        <w:rPr>
          <w:rFonts w:hint="eastAsia" w:asciiTheme="minorEastAsia" w:hAnsiTheme="minorEastAsia" w:eastAsiaTheme="minorEastAsia" w:cstheme="minorEastAsia"/>
          <w:color w:val="auto"/>
          <w:spacing w:val="-2"/>
          <w:sz w:val="24"/>
          <w:szCs w:val="24"/>
          <w:lang w:val="en-US" w:eastAsia="zh-CN"/>
        </w:rPr>
        <w:t>0</w:t>
      </w:r>
      <w:r>
        <w:rPr>
          <w:rFonts w:hint="eastAsia" w:asciiTheme="minorEastAsia" w:hAnsiTheme="minorEastAsia" w:eastAsiaTheme="minorEastAsia" w:cstheme="minorEastAsia"/>
          <w:color w:val="auto"/>
          <w:sz w:val="24"/>
          <w:szCs w:val="24"/>
          <w:lang w:val="en-US" w:eastAsia="zh-CN"/>
        </w:rPr>
        <w:t>6</w:t>
      </w:r>
      <w:r>
        <w:rPr>
          <w:rFonts w:hint="eastAsia" w:asciiTheme="minorEastAsia" w:hAnsiTheme="minorEastAsia" w:eastAsiaTheme="minorEastAsia" w:cstheme="minorEastAsia"/>
          <w:color w:val="auto"/>
          <w:spacing w:val="-3"/>
          <w:sz w:val="24"/>
          <w:szCs w:val="24"/>
        </w:rPr>
        <w:t>月</w:t>
      </w:r>
      <w:r>
        <w:rPr>
          <w:rFonts w:hint="eastAsia" w:asciiTheme="minorEastAsia" w:hAnsiTheme="minorEastAsia" w:eastAsiaTheme="minorEastAsia" w:cstheme="minorEastAsia"/>
          <w:color w:val="auto"/>
          <w:sz w:val="24"/>
          <w:szCs w:val="24"/>
        </w:rPr>
        <w:t>；</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（4）EPC招标：202</w:t>
      </w:r>
      <w:r>
        <w:rPr>
          <w:rFonts w:hint="eastAsia" w:asciiTheme="minorEastAsia" w:hAnsiTheme="minorEastAsia" w:eastAsiaTheme="minorEastAsia" w:cstheme="minorEastAsia"/>
          <w:color w:val="auto"/>
          <w:sz w:val="24"/>
          <w:szCs w:val="24"/>
          <w:lang w:val="en-US" w:eastAsia="zh-CN"/>
        </w:rPr>
        <w:t>4</w:t>
      </w:r>
      <w:r>
        <w:rPr>
          <w:rFonts w:hint="eastAsia" w:asciiTheme="minorEastAsia" w:hAnsiTheme="minorEastAsia" w:eastAsiaTheme="minorEastAsia" w:cstheme="minorEastAsia"/>
          <w:color w:val="auto"/>
          <w:sz w:val="24"/>
          <w:szCs w:val="24"/>
        </w:rPr>
        <w:t>年</w:t>
      </w:r>
      <w:r>
        <w:rPr>
          <w:rFonts w:hint="eastAsia" w:asciiTheme="minorEastAsia" w:hAnsiTheme="minorEastAsia" w:eastAsiaTheme="minorEastAsia" w:cstheme="minorEastAsia"/>
          <w:color w:val="auto"/>
          <w:sz w:val="24"/>
          <w:szCs w:val="24"/>
          <w:lang w:val="en-US" w:eastAsia="zh-CN"/>
        </w:rPr>
        <w:t>07</w:t>
      </w:r>
      <w:r>
        <w:rPr>
          <w:rFonts w:hint="eastAsia" w:asciiTheme="minorEastAsia" w:hAnsiTheme="minorEastAsia" w:eastAsiaTheme="minorEastAsia" w:cstheme="minorEastAsia"/>
          <w:color w:val="auto"/>
          <w:sz w:val="24"/>
          <w:szCs w:val="24"/>
        </w:rPr>
        <w:t>月；</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（5）施工图设计：202</w:t>
      </w:r>
      <w:r>
        <w:rPr>
          <w:rFonts w:hint="eastAsia" w:asciiTheme="minorEastAsia" w:hAnsiTheme="minorEastAsia" w:eastAsiaTheme="minorEastAsia" w:cstheme="minorEastAsia"/>
          <w:color w:val="auto"/>
          <w:sz w:val="24"/>
          <w:szCs w:val="24"/>
          <w:lang w:val="en-US" w:eastAsia="zh-CN"/>
        </w:rPr>
        <w:t>4</w:t>
      </w:r>
      <w:r>
        <w:rPr>
          <w:rFonts w:hint="eastAsia" w:asciiTheme="minorEastAsia" w:hAnsiTheme="minorEastAsia" w:eastAsiaTheme="minorEastAsia" w:cstheme="minorEastAsia"/>
          <w:color w:val="auto"/>
          <w:sz w:val="24"/>
          <w:szCs w:val="24"/>
        </w:rPr>
        <w:t>年</w:t>
      </w:r>
      <w:r>
        <w:rPr>
          <w:rFonts w:hint="eastAsia" w:asciiTheme="minorEastAsia" w:hAnsiTheme="minorEastAsia" w:eastAsiaTheme="minorEastAsia" w:cstheme="minorEastAsia"/>
          <w:color w:val="auto"/>
          <w:sz w:val="24"/>
          <w:szCs w:val="24"/>
          <w:lang w:val="en-US" w:eastAsia="zh-CN"/>
        </w:rPr>
        <w:t>08</w:t>
      </w:r>
      <w:r>
        <w:rPr>
          <w:rFonts w:hint="eastAsia" w:asciiTheme="minorEastAsia" w:hAnsiTheme="minorEastAsia" w:eastAsiaTheme="minorEastAsia" w:cstheme="minorEastAsia"/>
          <w:color w:val="auto"/>
          <w:sz w:val="24"/>
          <w:szCs w:val="24"/>
        </w:rPr>
        <w:t>月；（分片区逐步设计，完成一个站点的设计则施工一个站点）</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（6）预算及审核：202</w:t>
      </w:r>
      <w:r>
        <w:rPr>
          <w:rFonts w:hint="eastAsia" w:asciiTheme="minorEastAsia" w:hAnsiTheme="minorEastAsia" w:eastAsiaTheme="minorEastAsia" w:cstheme="minorEastAsia"/>
          <w:color w:val="auto"/>
          <w:sz w:val="24"/>
          <w:szCs w:val="24"/>
          <w:lang w:val="en-US" w:eastAsia="zh-CN"/>
        </w:rPr>
        <w:t>4</w:t>
      </w:r>
      <w:r>
        <w:rPr>
          <w:rFonts w:hint="eastAsia" w:asciiTheme="minorEastAsia" w:hAnsiTheme="minorEastAsia" w:eastAsiaTheme="minorEastAsia" w:cstheme="minorEastAsia"/>
          <w:color w:val="auto"/>
          <w:sz w:val="24"/>
          <w:szCs w:val="24"/>
        </w:rPr>
        <w:t>年</w:t>
      </w:r>
      <w:r>
        <w:rPr>
          <w:rFonts w:hint="eastAsia" w:asciiTheme="minorEastAsia" w:hAnsiTheme="minorEastAsia" w:eastAsiaTheme="minorEastAsia" w:cstheme="minorEastAsia"/>
          <w:color w:val="auto"/>
          <w:sz w:val="24"/>
          <w:szCs w:val="24"/>
          <w:lang w:val="en-US" w:eastAsia="zh-CN"/>
        </w:rPr>
        <w:t>09</w:t>
      </w:r>
      <w:r>
        <w:rPr>
          <w:rFonts w:hint="eastAsia" w:asciiTheme="minorEastAsia" w:hAnsiTheme="minorEastAsia" w:eastAsiaTheme="minorEastAsia" w:cstheme="minorEastAsia"/>
          <w:color w:val="auto"/>
          <w:sz w:val="24"/>
          <w:szCs w:val="24"/>
        </w:rPr>
        <w:t>月；（分片区逐步预算及审核）</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（7）</w:t>
      </w:r>
      <w:r>
        <w:rPr>
          <w:rFonts w:hint="eastAsia" w:asciiTheme="minorEastAsia" w:hAnsiTheme="minorEastAsia" w:eastAsiaTheme="minorEastAsia" w:cstheme="minorEastAsia"/>
          <w:color w:val="auto"/>
          <w:spacing w:val="-5"/>
          <w:sz w:val="24"/>
          <w:szCs w:val="24"/>
        </w:rPr>
        <w:t>站点及管道施工：</w:t>
      </w:r>
      <w:r>
        <w:rPr>
          <w:rFonts w:hint="eastAsia" w:asciiTheme="minorEastAsia" w:hAnsiTheme="minorEastAsia" w:eastAsiaTheme="minorEastAsia" w:cstheme="minorEastAsia"/>
          <w:color w:val="auto"/>
          <w:sz w:val="24"/>
          <w:szCs w:val="24"/>
        </w:rPr>
        <w:t>202</w:t>
      </w:r>
      <w:r>
        <w:rPr>
          <w:rFonts w:hint="eastAsia" w:asciiTheme="minorEastAsia" w:hAnsiTheme="minorEastAsia" w:eastAsiaTheme="minorEastAsia" w:cstheme="minorEastAsia"/>
          <w:color w:val="auto"/>
          <w:sz w:val="24"/>
          <w:szCs w:val="24"/>
          <w:lang w:val="en-US" w:eastAsia="zh-CN"/>
        </w:rPr>
        <w:t>4</w:t>
      </w:r>
      <w:r>
        <w:rPr>
          <w:rFonts w:hint="eastAsia" w:asciiTheme="minorEastAsia" w:hAnsiTheme="minorEastAsia" w:eastAsiaTheme="minorEastAsia" w:cstheme="minorEastAsia"/>
          <w:color w:val="auto"/>
          <w:spacing w:val="-1"/>
          <w:sz w:val="24"/>
          <w:szCs w:val="24"/>
        </w:rPr>
        <w:t>年</w:t>
      </w:r>
      <w:r>
        <w:rPr>
          <w:rFonts w:hint="eastAsia" w:asciiTheme="minorEastAsia" w:hAnsiTheme="minorEastAsia" w:eastAsiaTheme="minorEastAsia" w:cstheme="minorEastAsia"/>
          <w:color w:val="auto"/>
          <w:sz w:val="24"/>
          <w:szCs w:val="24"/>
          <w:lang w:val="en-US" w:eastAsia="zh-CN"/>
        </w:rPr>
        <w:t>10</w:t>
      </w:r>
      <w:r>
        <w:rPr>
          <w:rFonts w:hint="eastAsia" w:asciiTheme="minorEastAsia" w:hAnsiTheme="minorEastAsia" w:eastAsiaTheme="minorEastAsia" w:cstheme="minorEastAsia"/>
          <w:color w:val="auto"/>
          <w:spacing w:val="-3"/>
          <w:sz w:val="24"/>
          <w:szCs w:val="24"/>
        </w:rPr>
        <w:t>月</w:t>
      </w:r>
      <w:r>
        <w:rPr>
          <w:rFonts w:hint="eastAsia" w:asciiTheme="minorEastAsia" w:hAnsiTheme="minorEastAsia" w:eastAsiaTheme="minorEastAsia" w:cstheme="minorEastAsia"/>
          <w:color w:val="auto"/>
          <w:spacing w:val="-38"/>
          <w:sz w:val="24"/>
          <w:szCs w:val="24"/>
        </w:rPr>
        <w:t xml:space="preserve">至 </w:t>
      </w:r>
      <w:r>
        <w:rPr>
          <w:rFonts w:hint="eastAsia" w:asciiTheme="minorEastAsia" w:hAnsiTheme="minorEastAsia" w:eastAsiaTheme="minorEastAsia" w:cstheme="minorEastAsia"/>
          <w:color w:val="auto"/>
          <w:sz w:val="24"/>
          <w:szCs w:val="24"/>
        </w:rPr>
        <w:t>202</w:t>
      </w:r>
      <w:r>
        <w:rPr>
          <w:rFonts w:hint="eastAsia" w:asciiTheme="minorEastAsia" w:hAnsiTheme="minorEastAsia" w:eastAsiaTheme="minorEastAsia" w:cstheme="minorEastAsia"/>
          <w:color w:val="auto"/>
          <w:sz w:val="24"/>
          <w:szCs w:val="24"/>
          <w:lang w:val="en-US" w:eastAsia="zh-CN"/>
        </w:rPr>
        <w:t>5</w:t>
      </w:r>
      <w:r>
        <w:rPr>
          <w:rFonts w:hint="eastAsia" w:asciiTheme="minorEastAsia" w:hAnsiTheme="minorEastAsia" w:eastAsiaTheme="minorEastAsia" w:cstheme="minorEastAsia"/>
          <w:color w:val="auto"/>
          <w:spacing w:val="-1"/>
          <w:sz w:val="24"/>
          <w:szCs w:val="24"/>
        </w:rPr>
        <w:t>年</w:t>
      </w:r>
      <w:r>
        <w:rPr>
          <w:rFonts w:hint="eastAsia" w:asciiTheme="minorEastAsia" w:hAnsiTheme="minorEastAsia" w:eastAsiaTheme="minorEastAsia" w:cstheme="minorEastAsia"/>
          <w:color w:val="auto"/>
          <w:spacing w:val="-1"/>
          <w:sz w:val="24"/>
          <w:szCs w:val="24"/>
          <w:lang w:val="en-US" w:eastAsia="zh-CN"/>
        </w:rPr>
        <w:t>06</w:t>
      </w:r>
      <w:r>
        <w:rPr>
          <w:rFonts w:hint="eastAsia" w:asciiTheme="minorEastAsia" w:hAnsiTheme="minorEastAsia" w:eastAsiaTheme="minorEastAsia" w:cstheme="minorEastAsia"/>
          <w:color w:val="auto"/>
          <w:spacing w:val="-26"/>
          <w:sz w:val="24"/>
          <w:szCs w:val="24"/>
        </w:rPr>
        <w:t>月</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pacing w:val="-5"/>
          <w:sz w:val="24"/>
          <w:szCs w:val="24"/>
        </w:rPr>
        <w:t>分片区按设计图纸逐步实施</w:t>
      </w:r>
      <w:r>
        <w:rPr>
          <w:rFonts w:hint="eastAsia" w:asciiTheme="minorEastAsia" w:hAnsiTheme="minorEastAsia" w:eastAsiaTheme="minorEastAsia" w:cstheme="minorEastAsia"/>
          <w:color w:val="auto"/>
          <w:sz w:val="24"/>
          <w:szCs w:val="24"/>
        </w:rPr>
        <w:t>）</w:t>
      </w:r>
    </w:p>
    <w:p>
      <w:pPr>
        <w:spacing w:line="500" w:lineRule="exact"/>
        <w:ind w:firstLine="480" w:firstLineChars="200"/>
        <w:jc w:val="both"/>
        <w:rPr>
          <w:rFonts w:asciiTheme="minorEastAsia" w:hAnsiTheme="minorEastAsia" w:eastAsiaTheme="minorEastAsia" w:cstheme="minorEastAsia"/>
          <w:color w:val="auto"/>
          <w:sz w:val="24"/>
          <w:szCs w:val="24"/>
        </w:rPr>
        <w:sectPr>
          <w:footerReference r:id="rId12" w:type="default"/>
          <w:type w:val="nextColumn"/>
          <w:pgSz w:w="11910" w:h="16840"/>
          <w:pgMar w:top="1418" w:right="1418" w:bottom="1418" w:left="1701" w:header="0" w:footer="512" w:gutter="0"/>
          <w:cols w:space="720" w:num="1"/>
        </w:sectPr>
      </w:pPr>
    </w:p>
    <w:p>
      <w:pPr>
        <w:pStyle w:val="2"/>
        <w:numPr>
          <w:ilvl w:val="0"/>
          <w:numId w:val="65"/>
        </w:numPr>
        <w:jc w:val="center"/>
        <w:rPr>
          <w:color w:val="auto"/>
        </w:rPr>
      </w:pPr>
      <w:bookmarkStart w:id="115" w:name="_Toc15352"/>
      <w:bookmarkStart w:id="116" w:name="_Toc20818"/>
      <w:r>
        <w:rPr>
          <w:rFonts w:hint="eastAsia"/>
          <w:color w:val="auto"/>
        </w:rPr>
        <w:t>环境保护</w:t>
      </w:r>
      <w:bookmarkEnd w:id="115"/>
      <w:bookmarkEnd w:id="116"/>
    </w:p>
    <w:p>
      <w:pPr>
        <w:pStyle w:val="2"/>
        <w:tabs>
          <w:tab w:val="left" w:pos="1548"/>
        </w:tabs>
        <w:spacing w:before="0" w:line="500" w:lineRule="exact"/>
        <w:ind w:left="0"/>
        <w:jc w:val="both"/>
        <w:rPr>
          <w:rFonts w:asciiTheme="minorEastAsia" w:hAnsiTheme="minorEastAsia" w:eastAsiaTheme="minorEastAsia" w:cstheme="minorEastAsia"/>
          <w:color w:val="auto"/>
          <w:sz w:val="24"/>
          <w:szCs w:val="24"/>
        </w:rPr>
      </w:pPr>
      <w:bookmarkStart w:id="117" w:name="8.1分析依据"/>
      <w:bookmarkEnd w:id="117"/>
      <w:bookmarkStart w:id="118" w:name="_Toc4249"/>
      <w:bookmarkStart w:id="119" w:name="_Toc2397"/>
      <w:r>
        <w:rPr>
          <w:rFonts w:hint="eastAsia"/>
          <w:color w:val="auto"/>
          <w:sz w:val="30"/>
          <w:szCs w:val="30"/>
        </w:rPr>
        <w:t>8.1</w:t>
      </w:r>
      <w:r>
        <w:rPr>
          <w:rFonts w:hint="eastAsia"/>
          <w:color w:val="auto"/>
          <w:sz w:val="30"/>
          <w:szCs w:val="30"/>
          <w:lang w:val="en-US"/>
        </w:rPr>
        <w:t xml:space="preserve"> </w:t>
      </w:r>
      <w:r>
        <w:rPr>
          <w:rFonts w:hint="eastAsia" w:asciiTheme="minorEastAsia" w:hAnsiTheme="minorEastAsia" w:eastAsiaTheme="minorEastAsia" w:cstheme="minorEastAsia"/>
          <w:color w:val="auto"/>
          <w:sz w:val="24"/>
          <w:szCs w:val="24"/>
        </w:rPr>
        <w:t>分析依据</w:t>
      </w:r>
      <w:bookmarkEnd w:id="118"/>
      <w:bookmarkEnd w:id="119"/>
    </w:p>
    <w:p>
      <w:pPr>
        <w:pStyle w:val="32"/>
        <w:numPr>
          <w:ilvl w:val="0"/>
          <w:numId w:val="66"/>
        </w:numPr>
        <w:tabs>
          <w:tab w:val="left" w:pos="1683"/>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《中华人民共和国环境保护法》</w:t>
      </w:r>
      <w:r>
        <w:rPr>
          <w:rFonts w:hint="eastAsia" w:asciiTheme="minorEastAsia" w:hAnsiTheme="minorEastAsia" w:eastAsiaTheme="minorEastAsia" w:cstheme="minorEastAsia"/>
          <w:color w:val="auto"/>
          <w:sz w:val="24"/>
          <w:szCs w:val="24"/>
        </w:rPr>
        <w:t>2015</w:t>
      </w:r>
      <w:r>
        <w:rPr>
          <w:rFonts w:hint="eastAsia" w:asciiTheme="minorEastAsia" w:hAnsiTheme="minorEastAsia" w:eastAsiaTheme="minorEastAsia" w:cstheme="minorEastAsia"/>
          <w:color w:val="auto"/>
          <w:spacing w:val="-2"/>
          <w:sz w:val="24"/>
          <w:szCs w:val="24"/>
        </w:rPr>
        <w:t>年</w:t>
      </w:r>
      <w:r>
        <w:rPr>
          <w:rFonts w:hint="eastAsia" w:asciiTheme="minorEastAsia" w:hAnsiTheme="minorEastAsia" w:eastAsiaTheme="minorEastAsia" w:cstheme="minorEastAsia"/>
          <w:color w:val="auto"/>
          <w:sz w:val="24"/>
          <w:szCs w:val="24"/>
        </w:rPr>
        <w:t>1</w:t>
      </w:r>
      <w:r>
        <w:rPr>
          <w:rFonts w:hint="eastAsia" w:asciiTheme="minorEastAsia" w:hAnsiTheme="minorEastAsia" w:eastAsiaTheme="minorEastAsia" w:cstheme="minorEastAsia"/>
          <w:color w:val="auto"/>
          <w:spacing w:val="-20"/>
          <w:sz w:val="24"/>
          <w:szCs w:val="24"/>
        </w:rPr>
        <w:t>月；</w:t>
      </w:r>
    </w:p>
    <w:p>
      <w:pPr>
        <w:pStyle w:val="32"/>
        <w:numPr>
          <w:ilvl w:val="0"/>
          <w:numId w:val="66"/>
        </w:numPr>
        <w:tabs>
          <w:tab w:val="left" w:pos="1683"/>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《中华人民共和国大气污染防治法》</w:t>
      </w:r>
      <w:r>
        <w:rPr>
          <w:rFonts w:hint="eastAsia" w:asciiTheme="minorEastAsia" w:hAnsiTheme="minorEastAsia" w:eastAsiaTheme="minorEastAsia" w:cstheme="minorEastAsia"/>
          <w:color w:val="auto"/>
          <w:sz w:val="24"/>
          <w:szCs w:val="24"/>
        </w:rPr>
        <w:t>2000</w:t>
      </w:r>
      <w:r>
        <w:rPr>
          <w:rFonts w:hint="eastAsia" w:asciiTheme="minorEastAsia" w:hAnsiTheme="minorEastAsia" w:eastAsiaTheme="minorEastAsia" w:cstheme="minorEastAsia"/>
          <w:color w:val="auto"/>
          <w:spacing w:val="-3"/>
          <w:sz w:val="24"/>
          <w:szCs w:val="24"/>
        </w:rPr>
        <w:t>年</w:t>
      </w:r>
      <w:r>
        <w:rPr>
          <w:rFonts w:hint="eastAsia" w:asciiTheme="minorEastAsia" w:hAnsiTheme="minorEastAsia" w:eastAsiaTheme="minorEastAsia" w:cstheme="minorEastAsia"/>
          <w:color w:val="auto"/>
          <w:sz w:val="24"/>
          <w:szCs w:val="24"/>
        </w:rPr>
        <w:t>9</w:t>
      </w:r>
      <w:r>
        <w:rPr>
          <w:rFonts w:hint="eastAsia" w:asciiTheme="minorEastAsia" w:hAnsiTheme="minorEastAsia" w:eastAsiaTheme="minorEastAsia" w:cstheme="minorEastAsia"/>
          <w:color w:val="auto"/>
          <w:spacing w:val="-18"/>
          <w:sz w:val="24"/>
          <w:szCs w:val="24"/>
        </w:rPr>
        <w:t>月；</w:t>
      </w:r>
    </w:p>
    <w:p>
      <w:pPr>
        <w:pStyle w:val="32"/>
        <w:numPr>
          <w:ilvl w:val="0"/>
          <w:numId w:val="66"/>
        </w:numPr>
        <w:tabs>
          <w:tab w:val="left" w:pos="1683"/>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《中华人民共和国水污染防治法》</w:t>
      </w:r>
      <w:r>
        <w:rPr>
          <w:rFonts w:hint="eastAsia" w:asciiTheme="minorEastAsia" w:hAnsiTheme="minorEastAsia" w:eastAsiaTheme="minorEastAsia" w:cstheme="minorEastAsia"/>
          <w:color w:val="auto"/>
          <w:sz w:val="24"/>
          <w:szCs w:val="24"/>
        </w:rPr>
        <w:t>2018</w:t>
      </w:r>
      <w:r>
        <w:rPr>
          <w:rFonts w:hint="eastAsia" w:asciiTheme="minorEastAsia" w:hAnsiTheme="minorEastAsia" w:eastAsiaTheme="minorEastAsia" w:cstheme="minorEastAsia"/>
          <w:color w:val="auto"/>
          <w:spacing w:val="-3"/>
          <w:sz w:val="24"/>
          <w:szCs w:val="24"/>
        </w:rPr>
        <w:t>年</w:t>
      </w:r>
      <w:r>
        <w:rPr>
          <w:rFonts w:hint="eastAsia" w:asciiTheme="minorEastAsia" w:hAnsiTheme="minorEastAsia" w:eastAsiaTheme="minorEastAsia" w:cstheme="minorEastAsia"/>
          <w:color w:val="auto"/>
          <w:sz w:val="24"/>
          <w:szCs w:val="24"/>
        </w:rPr>
        <w:t>1</w:t>
      </w:r>
      <w:r>
        <w:rPr>
          <w:rFonts w:hint="eastAsia" w:asciiTheme="minorEastAsia" w:hAnsiTheme="minorEastAsia" w:eastAsiaTheme="minorEastAsia" w:cstheme="minorEastAsia"/>
          <w:color w:val="auto"/>
          <w:spacing w:val="-18"/>
          <w:sz w:val="24"/>
          <w:szCs w:val="24"/>
        </w:rPr>
        <w:t>月；</w:t>
      </w:r>
    </w:p>
    <w:p>
      <w:pPr>
        <w:pStyle w:val="32"/>
        <w:numPr>
          <w:ilvl w:val="0"/>
          <w:numId w:val="66"/>
        </w:numPr>
        <w:tabs>
          <w:tab w:val="left" w:pos="1683"/>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《中华人民共和国固体废弃物污染防治法》</w:t>
      </w:r>
      <w:r>
        <w:rPr>
          <w:rFonts w:hint="eastAsia" w:asciiTheme="minorEastAsia" w:hAnsiTheme="minorEastAsia" w:eastAsiaTheme="minorEastAsia" w:cstheme="minorEastAsia"/>
          <w:color w:val="auto"/>
          <w:sz w:val="24"/>
          <w:szCs w:val="24"/>
        </w:rPr>
        <w:t>2005</w:t>
      </w:r>
      <w:r>
        <w:rPr>
          <w:rFonts w:hint="eastAsia" w:asciiTheme="minorEastAsia" w:hAnsiTheme="minorEastAsia" w:eastAsiaTheme="minorEastAsia" w:cstheme="minorEastAsia"/>
          <w:color w:val="auto"/>
          <w:spacing w:val="-4"/>
          <w:sz w:val="24"/>
          <w:szCs w:val="24"/>
        </w:rPr>
        <w:t>年</w:t>
      </w:r>
      <w:r>
        <w:rPr>
          <w:rFonts w:hint="eastAsia" w:asciiTheme="minorEastAsia" w:hAnsiTheme="minorEastAsia" w:eastAsiaTheme="minorEastAsia" w:cstheme="minorEastAsia"/>
          <w:color w:val="auto"/>
          <w:sz w:val="24"/>
          <w:szCs w:val="24"/>
        </w:rPr>
        <w:t>4</w:t>
      </w:r>
      <w:r>
        <w:rPr>
          <w:rFonts w:hint="eastAsia" w:asciiTheme="minorEastAsia" w:hAnsiTheme="minorEastAsia" w:eastAsiaTheme="minorEastAsia" w:cstheme="minorEastAsia"/>
          <w:color w:val="auto"/>
          <w:spacing w:val="-18"/>
          <w:sz w:val="24"/>
          <w:szCs w:val="24"/>
        </w:rPr>
        <w:t>月；</w:t>
      </w:r>
    </w:p>
    <w:p>
      <w:pPr>
        <w:pStyle w:val="32"/>
        <w:numPr>
          <w:ilvl w:val="0"/>
          <w:numId w:val="66"/>
        </w:numPr>
        <w:tabs>
          <w:tab w:val="left" w:pos="1683"/>
        </w:tabs>
        <w:spacing w:line="500" w:lineRule="exact"/>
        <w:ind w:left="0" w:firstLine="44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0"/>
          <w:sz w:val="24"/>
          <w:szCs w:val="24"/>
        </w:rPr>
        <w:t xml:space="preserve">《建设项目环境保护管理条例》——国务院令第 </w:t>
      </w:r>
      <w:r>
        <w:rPr>
          <w:rFonts w:hint="eastAsia" w:asciiTheme="minorEastAsia" w:hAnsiTheme="minorEastAsia" w:eastAsiaTheme="minorEastAsia" w:cstheme="minorEastAsia"/>
          <w:color w:val="auto"/>
          <w:sz w:val="24"/>
          <w:szCs w:val="24"/>
        </w:rPr>
        <w:t>253</w:t>
      </w:r>
      <w:r>
        <w:rPr>
          <w:rFonts w:hint="eastAsia" w:asciiTheme="minorEastAsia" w:hAnsiTheme="minorEastAsia" w:eastAsiaTheme="minorEastAsia" w:cstheme="minorEastAsia"/>
          <w:color w:val="auto"/>
          <w:spacing w:val="-15"/>
          <w:sz w:val="24"/>
          <w:szCs w:val="24"/>
        </w:rPr>
        <w:t xml:space="preserve"> 号1998年11</w:t>
      </w:r>
      <w:r>
        <w:rPr>
          <w:rFonts w:hint="eastAsia" w:asciiTheme="minorEastAsia" w:hAnsiTheme="minorEastAsia" w:eastAsiaTheme="minorEastAsia" w:cstheme="minorEastAsia"/>
          <w:color w:val="auto"/>
          <w:spacing w:val="-1"/>
          <w:sz w:val="24"/>
          <w:szCs w:val="24"/>
        </w:rPr>
        <w:t>月；</w:t>
      </w:r>
    </w:p>
    <w:p>
      <w:pPr>
        <w:pStyle w:val="32"/>
        <w:numPr>
          <w:ilvl w:val="0"/>
          <w:numId w:val="66"/>
        </w:numPr>
        <w:tabs>
          <w:tab w:val="left" w:pos="1683"/>
        </w:tabs>
        <w:spacing w:line="500" w:lineRule="exact"/>
        <w:ind w:left="0"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 xml:space="preserve">《关于进一步做好建设项目环境管理工作的几点意见》— </w:t>
      </w:r>
      <w:r>
        <w:rPr>
          <w:rFonts w:hint="eastAsia" w:asciiTheme="minorEastAsia" w:hAnsiTheme="minorEastAsia" w:eastAsiaTheme="minorEastAsia" w:cstheme="minorEastAsia"/>
          <w:color w:val="auto"/>
          <w:spacing w:val="-15"/>
          <w:sz w:val="24"/>
          <w:szCs w:val="24"/>
        </w:rPr>
        <w:t xml:space="preserve">国家环保局环监 </w:t>
      </w:r>
      <w:r>
        <w:rPr>
          <w:rFonts w:hint="eastAsia" w:asciiTheme="minorEastAsia" w:hAnsiTheme="minorEastAsia" w:eastAsiaTheme="minorEastAsia" w:cstheme="minorEastAsia"/>
          <w:color w:val="auto"/>
          <w:sz w:val="24"/>
          <w:szCs w:val="24"/>
        </w:rPr>
        <w:t>93</w:t>
      </w:r>
      <w:r>
        <w:rPr>
          <w:rFonts w:hint="eastAsia" w:asciiTheme="minorEastAsia" w:hAnsiTheme="minorEastAsia" w:eastAsiaTheme="minorEastAsia" w:cstheme="minorEastAsia"/>
          <w:color w:val="auto"/>
          <w:spacing w:val="-6"/>
          <w:sz w:val="24"/>
          <w:szCs w:val="24"/>
        </w:rPr>
        <w:t xml:space="preserve"> 第</w:t>
      </w:r>
      <w:r>
        <w:rPr>
          <w:rFonts w:hint="eastAsia" w:asciiTheme="minorEastAsia" w:hAnsiTheme="minorEastAsia" w:eastAsiaTheme="minorEastAsia" w:cstheme="minorEastAsia"/>
          <w:color w:val="auto"/>
          <w:sz w:val="24"/>
          <w:szCs w:val="24"/>
        </w:rPr>
        <w:t>015</w:t>
      </w:r>
      <w:r>
        <w:rPr>
          <w:rFonts w:hint="eastAsia" w:asciiTheme="minorEastAsia" w:hAnsiTheme="minorEastAsia" w:eastAsiaTheme="minorEastAsia" w:cstheme="minorEastAsia"/>
          <w:color w:val="auto"/>
          <w:spacing w:val="-20"/>
          <w:sz w:val="24"/>
          <w:szCs w:val="24"/>
        </w:rPr>
        <w:t xml:space="preserve"> 号。</w:t>
      </w:r>
    </w:p>
    <w:p>
      <w:pPr>
        <w:pStyle w:val="2"/>
        <w:tabs>
          <w:tab w:val="left" w:pos="1548"/>
        </w:tabs>
        <w:spacing w:before="0" w:line="500" w:lineRule="exact"/>
        <w:ind w:left="0"/>
        <w:jc w:val="both"/>
        <w:rPr>
          <w:rFonts w:asciiTheme="minorEastAsia" w:hAnsiTheme="minorEastAsia" w:eastAsiaTheme="minorEastAsia" w:cstheme="minorEastAsia"/>
          <w:color w:val="auto"/>
          <w:sz w:val="24"/>
          <w:szCs w:val="24"/>
        </w:rPr>
      </w:pPr>
      <w:bookmarkStart w:id="120" w:name="8.2建设项目周围环境现状"/>
      <w:bookmarkEnd w:id="120"/>
      <w:bookmarkStart w:id="121" w:name="_Toc15206"/>
      <w:bookmarkStart w:id="122" w:name="_Toc18025"/>
      <w:r>
        <w:rPr>
          <w:rFonts w:hint="eastAsia"/>
          <w:color w:val="auto"/>
          <w:sz w:val="30"/>
          <w:szCs w:val="30"/>
        </w:rPr>
        <w:t>8.2</w:t>
      </w:r>
      <w:r>
        <w:rPr>
          <w:rFonts w:hint="eastAsia"/>
          <w:color w:val="auto"/>
          <w:sz w:val="30"/>
          <w:szCs w:val="30"/>
          <w:lang w:val="en-US"/>
        </w:rPr>
        <w:t xml:space="preserve"> </w:t>
      </w:r>
      <w:r>
        <w:rPr>
          <w:rFonts w:hint="eastAsia" w:asciiTheme="minorEastAsia" w:hAnsiTheme="minorEastAsia" w:eastAsiaTheme="minorEastAsia" w:cstheme="minorEastAsia"/>
          <w:color w:val="auto"/>
          <w:sz w:val="24"/>
          <w:szCs w:val="24"/>
        </w:rPr>
        <w:t>建设项目周围环境现状</w:t>
      </w:r>
      <w:bookmarkEnd w:id="121"/>
      <w:bookmarkEnd w:id="122"/>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本项目各子项目分布于罗定市城区、各镇区及自然村，按最新标准，2016年罗定市环境质量现状如下：</w:t>
      </w:r>
    </w:p>
    <w:p>
      <w:pPr>
        <w:pStyle w:val="32"/>
        <w:numPr>
          <w:ilvl w:val="0"/>
          <w:numId w:val="67"/>
        </w:numPr>
        <w:tabs>
          <w:tab w:val="left" w:pos="1683"/>
        </w:tabs>
        <w:spacing w:line="500" w:lineRule="exact"/>
        <w:ind w:left="0" w:firstLine="460" w:firstLineChars="200"/>
        <w:jc w:val="both"/>
        <w:rPr>
          <w:rFonts w:asciiTheme="minorEastAsia" w:hAnsiTheme="minorEastAsia" w:eastAsiaTheme="minorEastAsia" w:cstheme="minorEastAsia"/>
          <w:color w:val="auto"/>
          <w:spacing w:val="-5"/>
          <w:sz w:val="24"/>
          <w:szCs w:val="24"/>
        </w:rPr>
      </w:pPr>
      <w:r>
        <w:rPr>
          <w:rFonts w:hint="eastAsia" w:asciiTheme="minorEastAsia" w:hAnsiTheme="minorEastAsia" w:eastAsiaTheme="minorEastAsia" w:cstheme="minorEastAsia"/>
          <w:color w:val="auto"/>
          <w:spacing w:val="-5"/>
          <w:sz w:val="24"/>
          <w:szCs w:val="24"/>
        </w:rPr>
        <w:t>罗定市市区的大气各项监测指标的年平均值均达到（GB3095-1996）II 级标准，大气环境质量总体状况良好；</w:t>
      </w:r>
    </w:p>
    <w:p>
      <w:pPr>
        <w:pStyle w:val="32"/>
        <w:numPr>
          <w:ilvl w:val="0"/>
          <w:numId w:val="67"/>
        </w:numPr>
        <w:tabs>
          <w:tab w:val="left" w:pos="1683"/>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罗定江水质符合《地表水环境质量标准》</w:t>
      </w:r>
      <w:r>
        <w:rPr>
          <w:rFonts w:hint="eastAsia" w:asciiTheme="minorEastAsia" w:hAnsiTheme="minorEastAsia" w:eastAsiaTheme="minorEastAsia" w:cstheme="minorEastAsia"/>
          <w:color w:val="auto"/>
          <w:sz w:val="24"/>
          <w:szCs w:val="24"/>
        </w:rPr>
        <w:t xml:space="preserve">（GB3838- </w:t>
      </w:r>
      <w:r>
        <w:rPr>
          <w:rFonts w:hint="eastAsia" w:asciiTheme="minorEastAsia" w:hAnsiTheme="minorEastAsia" w:eastAsiaTheme="minorEastAsia" w:cstheme="minorEastAsia"/>
          <w:color w:val="auto"/>
          <w:spacing w:val="-3"/>
          <w:sz w:val="24"/>
          <w:szCs w:val="24"/>
        </w:rPr>
        <w:t>2002）</w:t>
      </w:r>
      <w:r>
        <w:rPr>
          <w:rFonts w:hint="eastAsia" w:asciiTheme="minorEastAsia" w:hAnsiTheme="minorEastAsia" w:eastAsiaTheme="minorEastAsia" w:cstheme="minorEastAsia"/>
          <w:color w:val="auto"/>
          <w:spacing w:val="-5"/>
          <w:sz w:val="24"/>
          <w:szCs w:val="24"/>
        </w:rPr>
        <w:t>Ⅲ类水质标准，作为罗定市城市集中式饮用水水源的金银河</w:t>
      </w:r>
      <w:r>
        <w:rPr>
          <w:rFonts w:hint="eastAsia" w:asciiTheme="minorEastAsia" w:hAnsiTheme="minorEastAsia" w:eastAsiaTheme="minorEastAsia" w:cstheme="minorEastAsia"/>
          <w:color w:val="auto"/>
          <w:spacing w:val="-12"/>
          <w:sz w:val="24"/>
          <w:szCs w:val="24"/>
        </w:rPr>
        <w:t>水库、七和水厂吸水口上游</w:t>
      </w:r>
      <w:r>
        <w:rPr>
          <w:rFonts w:hint="eastAsia" w:asciiTheme="minorEastAsia" w:hAnsiTheme="minorEastAsia" w:eastAsiaTheme="minorEastAsia" w:cstheme="minorEastAsia"/>
          <w:color w:val="auto"/>
          <w:sz w:val="24"/>
          <w:szCs w:val="24"/>
        </w:rPr>
        <w:t>100</w:t>
      </w:r>
      <w:r>
        <w:rPr>
          <w:rFonts w:hint="eastAsia" w:asciiTheme="minorEastAsia" w:hAnsiTheme="minorEastAsia" w:eastAsiaTheme="minorEastAsia" w:cstheme="minorEastAsia"/>
          <w:color w:val="auto"/>
          <w:spacing w:val="-12"/>
          <w:sz w:val="24"/>
          <w:szCs w:val="24"/>
        </w:rPr>
        <w:t>米处水质状况达标；</w:t>
      </w:r>
    </w:p>
    <w:p>
      <w:pPr>
        <w:pStyle w:val="32"/>
        <w:numPr>
          <w:ilvl w:val="0"/>
          <w:numId w:val="67"/>
        </w:numPr>
        <w:tabs>
          <w:tab w:val="left" w:pos="1683"/>
        </w:tabs>
        <w:spacing w:line="500" w:lineRule="exact"/>
        <w:ind w:left="0"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市区环境噪声、交通道路噪声均有不同的下降，噪声环境</w:t>
      </w:r>
      <w:r>
        <w:rPr>
          <w:rFonts w:hint="eastAsia" w:asciiTheme="minorEastAsia" w:hAnsiTheme="minorEastAsia" w:eastAsiaTheme="minorEastAsia" w:cstheme="minorEastAsia"/>
          <w:color w:val="auto"/>
          <w:spacing w:val="-4"/>
          <w:sz w:val="24"/>
          <w:szCs w:val="24"/>
        </w:rPr>
        <w:t>状况良好。</w:t>
      </w:r>
    </w:p>
    <w:p>
      <w:pPr>
        <w:pStyle w:val="2"/>
        <w:tabs>
          <w:tab w:val="left" w:pos="1548"/>
        </w:tabs>
        <w:spacing w:before="0" w:line="500" w:lineRule="exact"/>
        <w:ind w:left="0"/>
        <w:jc w:val="both"/>
        <w:rPr>
          <w:rFonts w:asciiTheme="minorEastAsia" w:hAnsiTheme="minorEastAsia" w:eastAsiaTheme="minorEastAsia" w:cstheme="minorEastAsia"/>
          <w:color w:val="auto"/>
          <w:sz w:val="24"/>
          <w:szCs w:val="24"/>
        </w:rPr>
      </w:pPr>
      <w:bookmarkStart w:id="123" w:name="8.3建设期对环境的影响"/>
      <w:bookmarkEnd w:id="123"/>
      <w:bookmarkStart w:id="124" w:name="_Toc6335"/>
      <w:bookmarkStart w:id="125" w:name="_Toc32722"/>
      <w:r>
        <w:rPr>
          <w:rFonts w:hint="eastAsia"/>
          <w:color w:val="auto"/>
          <w:sz w:val="30"/>
          <w:szCs w:val="30"/>
        </w:rPr>
        <w:t>8.3</w:t>
      </w:r>
      <w:r>
        <w:rPr>
          <w:rFonts w:hint="eastAsia"/>
          <w:color w:val="auto"/>
          <w:sz w:val="30"/>
          <w:szCs w:val="30"/>
          <w:lang w:val="en-US"/>
        </w:rPr>
        <w:t xml:space="preserve"> </w:t>
      </w:r>
      <w:r>
        <w:rPr>
          <w:rFonts w:hint="eastAsia" w:asciiTheme="minorEastAsia" w:hAnsiTheme="minorEastAsia" w:eastAsiaTheme="minorEastAsia" w:cstheme="minorEastAsia"/>
          <w:color w:val="auto"/>
          <w:sz w:val="24"/>
          <w:szCs w:val="24"/>
        </w:rPr>
        <w:t>建设期对环境的影响</w:t>
      </w:r>
      <w:bookmarkEnd w:id="124"/>
      <w:bookmarkEnd w:id="125"/>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本项目实施过程中对环境可能造成的影响，将根据其工程特性和实际情况，对工程施工期中可能造成环境影响进行分析及预测， 采取必要的措施降低工程对环境的负面影响。</w:t>
      </w:r>
    </w:p>
    <w:p>
      <w:pPr>
        <w:pStyle w:val="32"/>
        <w:numPr>
          <w:ilvl w:val="2"/>
          <w:numId w:val="68"/>
        </w:numPr>
        <w:tabs>
          <w:tab w:val="left" w:pos="2285"/>
        </w:tabs>
        <w:spacing w:line="500" w:lineRule="exact"/>
        <w:ind w:left="0" w:firstLine="480" w:firstLineChars="200"/>
        <w:jc w:val="both"/>
        <w:rPr>
          <w:rFonts w:asciiTheme="minorEastAsia" w:hAnsiTheme="minorEastAsia" w:eastAsiaTheme="minorEastAsia" w:cstheme="minorEastAsia"/>
          <w:bCs/>
          <w:color w:val="auto"/>
          <w:sz w:val="24"/>
          <w:szCs w:val="24"/>
        </w:rPr>
      </w:pPr>
      <w:r>
        <w:rPr>
          <w:rFonts w:hint="eastAsia" w:asciiTheme="minorEastAsia" w:hAnsiTheme="minorEastAsia" w:eastAsiaTheme="minorEastAsia" w:cstheme="minorEastAsia"/>
          <w:bCs/>
          <w:color w:val="auto"/>
          <w:sz w:val="24"/>
          <w:szCs w:val="24"/>
        </w:rPr>
        <w:t>对大气的影响</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工程施工期间，挖掘的泥土通常堆放在施工现场，短则几个星期，长则数月。堆土裸露，旱干风致，以及车辆过往，漫天尘土，使大气中悬浮颗粒物储量骤增，严重影响市容和景观。另外本工程施工时机械运作、运输及土石方开挖等过程均会产生一些粉尘、烟气，施工扬尘将使附近的建筑物、植物等蒙上厚厚的尘土，使邻近居家普遍蒙上一层泥土，给居住区环境的整洁带来许多麻烦。雨天雨水的冲刷以及车辆的辗压，使施工现场变得泥泞不堪，行人步履艰难。</w:t>
      </w:r>
    </w:p>
    <w:p>
      <w:pPr>
        <w:pStyle w:val="32"/>
        <w:numPr>
          <w:ilvl w:val="2"/>
          <w:numId w:val="68"/>
        </w:numPr>
        <w:tabs>
          <w:tab w:val="left" w:pos="2285"/>
        </w:tabs>
        <w:spacing w:line="500" w:lineRule="exact"/>
        <w:ind w:left="0" w:firstLine="480" w:firstLineChars="200"/>
        <w:jc w:val="both"/>
        <w:rPr>
          <w:rFonts w:asciiTheme="minorEastAsia" w:hAnsiTheme="minorEastAsia" w:eastAsiaTheme="minorEastAsia" w:cstheme="minorEastAsia"/>
          <w:bCs/>
          <w:color w:val="auto"/>
          <w:sz w:val="24"/>
          <w:szCs w:val="24"/>
        </w:rPr>
      </w:pPr>
      <w:r>
        <w:rPr>
          <w:rFonts w:hint="eastAsia" w:asciiTheme="minorEastAsia" w:hAnsiTheme="minorEastAsia" w:eastAsiaTheme="minorEastAsia" w:cstheme="minorEastAsia"/>
          <w:bCs/>
          <w:color w:val="auto"/>
          <w:sz w:val="24"/>
          <w:szCs w:val="24"/>
        </w:rPr>
        <w:t>对水环境的影响</w:t>
      </w:r>
    </w:p>
    <w:p>
      <w:pPr>
        <w:pStyle w:val="10"/>
        <w:spacing w:line="500" w:lineRule="exact"/>
        <w:ind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项目施工时间长，施工期间由于土石方开挖带来的粉尘，降雨冲刷产生的泥沙及施工中废弃物都在不同程度上影响所在地水体，其影响程度和范围与施工季节有一定关系。每年</w:t>
      </w:r>
      <w:r>
        <w:rPr>
          <w:rFonts w:hint="eastAsia" w:asciiTheme="minorEastAsia" w:hAnsiTheme="minorEastAsia" w:eastAsiaTheme="minorEastAsia" w:cstheme="minorEastAsia"/>
          <w:color w:val="auto"/>
          <w:sz w:val="24"/>
          <w:szCs w:val="24"/>
        </w:rPr>
        <w:t>10~12</w:t>
      </w:r>
      <w:r>
        <w:rPr>
          <w:rFonts w:hint="eastAsia" w:asciiTheme="minorEastAsia" w:hAnsiTheme="minorEastAsia" w:eastAsiaTheme="minorEastAsia" w:cstheme="minorEastAsia"/>
          <w:color w:val="auto"/>
          <w:spacing w:val="-7"/>
          <w:sz w:val="24"/>
          <w:szCs w:val="24"/>
        </w:rPr>
        <w:t>月当地多风，</w:t>
      </w:r>
      <w:r>
        <w:rPr>
          <w:rFonts w:hint="eastAsia" w:asciiTheme="minorEastAsia" w:hAnsiTheme="minorEastAsia" w:eastAsiaTheme="minorEastAsia" w:cstheme="minorEastAsia"/>
          <w:color w:val="auto"/>
          <w:spacing w:val="-5"/>
          <w:sz w:val="24"/>
          <w:szCs w:val="24"/>
        </w:rPr>
        <w:t>将有较多的粉尘随风飘落到周边的水体。</w:t>
      </w:r>
      <w:r>
        <w:rPr>
          <w:rFonts w:hint="eastAsia" w:asciiTheme="minorEastAsia" w:hAnsiTheme="minorEastAsia" w:eastAsiaTheme="minorEastAsia" w:cstheme="minorEastAsia"/>
          <w:color w:val="auto"/>
          <w:sz w:val="24"/>
          <w:szCs w:val="24"/>
        </w:rPr>
        <w:t>5~10</w:t>
      </w:r>
      <w:r>
        <w:rPr>
          <w:rFonts w:hint="eastAsia" w:asciiTheme="minorEastAsia" w:hAnsiTheme="minorEastAsia" w:eastAsiaTheme="minorEastAsia" w:cstheme="minorEastAsia"/>
          <w:color w:val="auto"/>
          <w:spacing w:val="-7"/>
          <w:sz w:val="24"/>
          <w:szCs w:val="24"/>
        </w:rPr>
        <w:t>月属雨季，降水量占全</w:t>
      </w:r>
      <w:r>
        <w:rPr>
          <w:rFonts w:hint="eastAsia" w:asciiTheme="minorEastAsia" w:hAnsiTheme="minorEastAsia" w:eastAsiaTheme="minorEastAsia" w:cstheme="minorEastAsia"/>
          <w:color w:val="auto"/>
          <w:spacing w:val="-13"/>
          <w:sz w:val="24"/>
          <w:szCs w:val="24"/>
        </w:rPr>
        <w:t>年的</w:t>
      </w:r>
      <w:r>
        <w:rPr>
          <w:rFonts w:hint="eastAsia" w:asciiTheme="minorEastAsia" w:hAnsiTheme="minorEastAsia" w:eastAsiaTheme="minorEastAsia" w:cstheme="minorEastAsia"/>
          <w:color w:val="auto"/>
          <w:sz w:val="24"/>
          <w:szCs w:val="24"/>
        </w:rPr>
        <w:t>90</w:t>
      </w:r>
      <w:r>
        <w:rPr>
          <w:rFonts w:hint="eastAsia" w:asciiTheme="minorEastAsia" w:hAnsiTheme="minorEastAsia" w:eastAsiaTheme="minorEastAsia" w:cstheme="minorEastAsia"/>
          <w:color w:val="auto"/>
          <w:spacing w:val="-5"/>
          <w:sz w:val="24"/>
          <w:szCs w:val="24"/>
        </w:rPr>
        <w:t>%，因降雨的增多，由径流冲刷到接受水体的污染也将增</w:t>
      </w:r>
      <w:r>
        <w:rPr>
          <w:rFonts w:hint="eastAsia" w:asciiTheme="minorEastAsia" w:hAnsiTheme="minorEastAsia" w:eastAsiaTheme="minorEastAsia" w:cstheme="minorEastAsia"/>
          <w:color w:val="auto"/>
          <w:sz w:val="24"/>
          <w:szCs w:val="24"/>
        </w:rPr>
        <w:t>加。施工过程中也将产生一定量施工污水，施工对水环境的影响主要是泥沙悬浮物和杂质的排入水体，有毒有害物影响不大。</w:t>
      </w:r>
    </w:p>
    <w:p>
      <w:pPr>
        <w:pStyle w:val="32"/>
        <w:numPr>
          <w:ilvl w:val="2"/>
          <w:numId w:val="68"/>
        </w:numPr>
        <w:tabs>
          <w:tab w:val="left" w:pos="2285"/>
        </w:tabs>
        <w:spacing w:line="500" w:lineRule="exact"/>
        <w:ind w:left="0" w:firstLine="480" w:firstLineChars="200"/>
        <w:jc w:val="both"/>
        <w:rPr>
          <w:rFonts w:asciiTheme="minorEastAsia" w:hAnsiTheme="minorEastAsia" w:eastAsiaTheme="minorEastAsia" w:cstheme="minorEastAsia"/>
          <w:bCs/>
          <w:color w:val="auto"/>
          <w:sz w:val="24"/>
          <w:szCs w:val="24"/>
        </w:rPr>
      </w:pPr>
      <w:r>
        <w:rPr>
          <w:rFonts w:hint="eastAsia" w:asciiTheme="minorEastAsia" w:hAnsiTheme="minorEastAsia" w:eastAsiaTheme="minorEastAsia" w:cstheme="minorEastAsia"/>
          <w:bCs/>
          <w:color w:val="auto"/>
          <w:sz w:val="24"/>
          <w:szCs w:val="24"/>
        </w:rPr>
        <w:t>施工噪声的影响</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施工中因土方开挖、施工机械作业等均会产生噪声。不同施工阶段作业噪声限值由于施工机械数量、构成及施工等的随机性，导致了噪声的随机、无规律性，为无组织不连续排放。施工中常用机</w:t>
      </w:r>
      <w:r>
        <w:rPr>
          <w:rFonts w:hint="eastAsia" w:asciiTheme="minorEastAsia" w:hAnsiTheme="minorEastAsia" w:eastAsiaTheme="minorEastAsia" w:cstheme="minorEastAsia"/>
          <w:color w:val="auto"/>
          <w:spacing w:val="-3"/>
          <w:sz w:val="24"/>
          <w:szCs w:val="24"/>
        </w:rPr>
        <w:t>械的声级值最大为</w:t>
      </w:r>
      <w:r>
        <w:rPr>
          <w:rFonts w:hint="eastAsia" w:asciiTheme="minorEastAsia" w:hAnsiTheme="minorEastAsia" w:eastAsiaTheme="minorEastAsia" w:cstheme="minorEastAsia"/>
          <w:color w:val="auto"/>
          <w:sz w:val="24"/>
          <w:szCs w:val="24"/>
        </w:rPr>
        <w:t>90dB(A)，比如履带或轮式装载机、平地机和沥</w:t>
      </w:r>
      <w:r>
        <w:rPr>
          <w:rFonts w:hint="eastAsia" w:asciiTheme="minorEastAsia" w:hAnsiTheme="minorEastAsia" w:eastAsiaTheme="minorEastAsia" w:cstheme="minorEastAsia"/>
          <w:color w:val="auto"/>
          <w:spacing w:val="-7"/>
          <w:sz w:val="24"/>
          <w:szCs w:val="24"/>
        </w:rPr>
        <w:t>青混凝土搅拌机等，噪声声级值为</w:t>
      </w:r>
      <w:r>
        <w:rPr>
          <w:rFonts w:hint="eastAsia" w:asciiTheme="minorEastAsia" w:hAnsiTheme="minorEastAsia" w:eastAsiaTheme="minorEastAsia" w:cstheme="minorEastAsia"/>
          <w:color w:val="auto"/>
          <w:sz w:val="24"/>
          <w:szCs w:val="24"/>
        </w:rPr>
        <w:t>81-88dB（A）</w:t>
      </w:r>
      <w:r>
        <w:rPr>
          <w:rFonts w:hint="eastAsia" w:asciiTheme="minorEastAsia" w:hAnsiTheme="minorEastAsia" w:eastAsiaTheme="minorEastAsia" w:cstheme="minorEastAsia"/>
          <w:color w:val="auto"/>
          <w:spacing w:val="-2"/>
          <w:sz w:val="24"/>
          <w:szCs w:val="24"/>
        </w:rPr>
        <w:t>的机械为压路机、推土机、挖掘机、摊铺机、冲击式钻井机等，对靠近工程范围的居</w:t>
      </w:r>
      <w:r>
        <w:rPr>
          <w:rFonts w:hint="eastAsia" w:asciiTheme="minorEastAsia" w:hAnsiTheme="minorEastAsia" w:eastAsiaTheme="minorEastAsia" w:cstheme="minorEastAsia"/>
          <w:color w:val="auto"/>
          <w:spacing w:val="-5"/>
          <w:sz w:val="24"/>
          <w:szCs w:val="24"/>
        </w:rPr>
        <w:t>民点的日常生活有一定的影响。</w:t>
      </w:r>
    </w:p>
    <w:p>
      <w:pPr>
        <w:pStyle w:val="32"/>
        <w:numPr>
          <w:ilvl w:val="2"/>
          <w:numId w:val="68"/>
        </w:numPr>
        <w:tabs>
          <w:tab w:val="left" w:pos="2285"/>
        </w:tabs>
        <w:spacing w:line="500" w:lineRule="exact"/>
        <w:ind w:left="0" w:firstLine="480" w:firstLineChars="200"/>
        <w:jc w:val="both"/>
        <w:rPr>
          <w:rFonts w:asciiTheme="minorEastAsia" w:hAnsiTheme="minorEastAsia" w:eastAsiaTheme="minorEastAsia" w:cstheme="minorEastAsia"/>
          <w:bCs/>
          <w:color w:val="auto"/>
          <w:sz w:val="24"/>
          <w:szCs w:val="24"/>
        </w:rPr>
      </w:pPr>
      <w:r>
        <w:rPr>
          <w:rFonts w:hint="eastAsia" w:asciiTheme="minorEastAsia" w:hAnsiTheme="minorEastAsia" w:eastAsiaTheme="minorEastAsia" w:cstheme="minorEastAsia"/>
          <w:bCs/>
          <w:color w:val="auto"/>
          <w:sz w:val="24"/>
          <w:szCs w:val="24"/>
        </w:rPr>
        <w:t>固体废弃物的影响</w:t>
      </w:r>
    </w:p>
    <w:p>
      <w:pPr>
        <w:pStyle w:val="10"/>
        <w:spacing w:line="500" w:lineRule="exact"/>
        <w:ind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项目在建设期的固体废弃物主要为施工弃土石方和施工场地内</w:t>
      </w:r>
      <w:r>
        <w:rPr>
          <w:rFonts w:hint="eastAsia" w:asciiTheme="minorEastAsia" w:hAnsiTheme="minorEastAsia" w:eastAsiaTheme="minorEastAsia" w:cstheme="minorEastAsia"/>
          <w:color w:val="auto"/>
          <w:spacing w:val="-5"/>
          <w:sz w:val="24"/>
          <w:szCs w:val="24"/>
        </w:rPr>
        <w:t>的生活垃圾。弃土石方主要产生于土石方开挖过程中，弃土处置地不明确或无规划乱丢乱放，将影响土地利用、河流流畅，破坏自然、生态环境，影响城市的建设和整洁。工程施工时，施工区内劳动力的食宿将会安排在工作区域内。这些临时食宿地的水、电以及生活废弃物若没有做出妥善的安排，则会严重影响施工区的卫生环境，导致工作人员的体力下降，尤其是在夏天，施工区的生活废弃物乱扔则导致蚊蝇孳生，重则致使施工区工人暴发流行疾病，严重影响工程施工进度，同时使附近的居民遭受蚊、蝇、臭气、疾病的</w:t>
      </w:r>
      <w:r>
        <w:rPr>
          <w:rFonts w:hint="eastAsia" w:asciiTheme="minorEastAsia" w:hAnsiTheme="minorEastAsia" w:eastAsiaTheme="minorEastAsia" w:cstheme="minorEastAsia"/>
          <w:color w:val="auto"/>
          <w:spacing w:val="-2"/>
          <w:sz w:val="24"/>
          <w:szCs w:val="24"/>
        </w:rPr>
        <w:t>影响。</w:t>
      </w:r>
    </w:p>
    <w:p>
      <w:pPr>
        <w:pStyle w:val="32"/>
        <w:numPr>
          <w:ilvl w:val="2"/>
          <w:numId w:val="68"/>
        </w:numPr>
        <w:tabs>
          <w:tab w:val="left" w:pos="2285"/>
        </w:tabs>
        <w:spacing w:line="500" w:lineRule="exact"/>
        <w:ind w:left="0" w:firstLine="480" w:firstLineChars="200"/>
        <w:jc w:val="both"/>
        <w:rPr>
          <w:rFonts w:asciiTheme="minorEastAsia" w:hAnsiTheme="minorEastAsia" w:eastAsiaTheme="minorEastAsia" w:cstheme="minorEastAsia"/>
          <w:bCs/>
          <w:color w:val="auto"/>
          <w:sz w:val="24"/>
          <w:szCs w:val="24"/>
        </w:rPr>
      </w:pPr>
      <w:r>
        <w:rPr>
          <w:rFonts w:hint="eastAsia" w:asciiTheme="minorEastAsia" w:hAnsiTheme="minorEastAsia" w:eastAsiaTheme="minorEastAsia" w:cstheme="minorEastAsia"/>
          <w:bCs/>
          <w:color w:val="auto"/>
          <w:sz w:val="24"/>
          <w:szCs w:val="24"/>
        </w:rPr>
        <w:t>水土流失的影响</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本项工程中的水土流失主要集中在土石方的开挖和弃土石方。在工程施工中雨季由于受到雨水的直接侵蚀形成水土流失，同时部分多余土方的废弃在不采取任何防护设施的情况下也将形成一部分水土流失。</w:t>
      </w:r>
    </w:p>
    <w:p>
      <w:pPr>
        <w:spacing w:line="500" w:lineRule="exact"/>
        <w:ind w:firstLine="480" w:firstLineChars="200"/>
        <w:jc w:val="both"/>
        <w:rPr>
          <w:rFonts w:asciiTheme="minorEastAsia" w:hAnsiTheme="minorEastAsia" w:eastAsiaTheme="minorEastAsia" w:cstheme="minorEastAsia"/>
          <w:color w:val="auto"/>
          <w:sz w:val="24"/>
          <w:szCs w:val="24"/>
        </w:rPr>
        <w:sectPr>
          <w:type w:val="nextColumn"/>
          <w:pgSz w:w="11910" w:h="16840"/>
          <w:pgMar w:top="1418" w:right="1418" w:bottom="1418" w:left="1701" w:header="0" w:footer="512" w:gutter="0"/>
          <w:cols w:space="720" w:num="1"/>
        </w:sectPr>
      </w:pPr>
    </w:p>
    <w:p>
      <w:pPr>
        <w:pStyle w:val="32"/>
        <w:numPr>
          <w:ilvl w:val="0"/>
          <w:numId w:val="0"/>
        </w:numPr>
        <w:tabs>
          <w:tab w:val="left" w:pos="1548"/>
        </w:tabs>
        <w:spacing w:line="500" w:lineRule="exact"/>
        <w:jc w:val="both"/>
        <w:rPr>
          <w:rFonts w:asciiTheme="minorEastAsia" w:hAnsiTheme="minorEastAsia" w:eastAsiaTheme="minorEastAsia" w:cstheme="minorEastAsia"/>
          <w:b/>
          <w:color w:val="auto"/>
          <w:sz w:val="24"/>
          <w:szCs w:val="24"/>
        </w:rPr>
      </w:pPr>
      <w:r>
        <w:rPr>
          <w:rFonts w:hint="eastAsia" w:ascii="黑体" w:hAnsi="黑体" w:eastAsia="黑体" w:cs="黑体"/>
          <w:b/>
          <w:color w:val="auto"/>
          <w:sz w:val="30"/>
          <w:szCs w:val="30"/>
        </w:rPr>
        <w:t>8.4</w:t>
      </w:r>
      <w:r>
        <w:rPr>
          <w:rFonts w:hint="eastAsia" w:ascii="黑体" w:hAnsi="黑体" w:eastAsia="黑体" w:cs="黑体"/>
          <w:b/>
          <w:color w:val="auto"/>
          <w:sz w:val="30"/>
          <w:szCs w:val="30"/>
          <w:lang w:val="en-US"/>
        </w:rPr>
        <w:t xml:space="preserve"> </w:t>
      </w:r>
      <w:r>
        <w:rPr>
          <w:rFonts w:hint="eastAsia" w:asciiTheme="minorEastAsia" w:hAnsiTheme="minorEastAsia" w:eastAsiaTheme="minorEastAsia" w:cstheme="minorEastAsia"/>
          <w:b/>
          <w:color w:val="auto"/>
          <w:sz w:val="24"/>
          <w:szCs w:val="24"/>
        </w:rPr>
        <w:t>建设期环境影响的缓解措施</w:t>
      </w:r>
    </w:p>
    <w:p>
      <w:pPr>
        <w:pStyle w:val="32"/>
        <w:numPr>
          <w:ilvl w:val="2"/>
          <w:numId w:val="69"/>
        </w:numPr>
        <w:tabs>
          <w:tab w:val="left" w:pos="2285"/>
        </w:tabs>
        <w:spacing w:line="500" w:lineRule="exact"/>
        <w:ind w:left="0" w:firstLine="480" w:firstLineChars="200"/>
        <w:jc w:val="both"/>
        <w:rPr>
          <w:rFonts w:asciiTheme="minorEastAsia" w:hAnsiTheme="minorEastAsia" w:eastAsiaTheme="minorEastAsia" w:cstheme="minorEastAsia"/>
          <w:bCs/>
          <w:color w:val="auto"/>
          <w:sz w:val="24"/>
          <w:szCs w:val="24"/>
        </w:rPr>
      </w:pPr>
      <w:r>
        <w:rPr>
          <w:rFonts w:hint="eastAsia" w:asciiTheme="minorEastAsia" w:hAnsiTheme="minorEastAsia" w:eastAsiaTheme="minorEastAsia" w:cstheme="minorEastAsia"/>
          <w:bCs/>
          <w:color w:val="auto"/>
          <w:sz w:val="24"/>
          <w:szCs w:val="24"/>
        </w:rPr>
        <w:t>大气环境保护</w:t>
      </w:r>
    </w:p>
    <w:p>
      <w:pPr>
        <w:pStyle w:val="10"/>
        <w:spacing w:line="500" w:lineRule="exact"/>
        <w:ind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为了减少工程扬尘对周围环境的影响，建议施工中遇到连续的</w:t>
      </w:r>
      <w:r>
        <w:rPr>
          <w:rFonts w:hint="eastAsia" w:asciiTheme="minorEastAsia" w:hAnsiTheme="minorEastAsia" w:eastAsiaTheme="minorEastAsia" w:cstheme="minorEastAsia"/>
          <w:color w:val="auto"/>
          <w:spacing w:val="-5"/>
          <w:sz w:val="24"/>
          <w:szCs w:val="24"/>
        </w:rPr>
        <w:t>晴好天气有起风的情况下，对弃土表面洒水，防止扬尘。工程承包者应按照弃土处理计划，及时运走弃土，并在装运的过程中不要超载，装土车沿途不洒落，车辆驶出工地前应将轮子的泥土去除干净，防止沿程弃土满地，影响环境整洁，同时施工者应对工地门前的道路环境实行保洁制度，一旦有弃土、建材撒落应及时清扫。</w:t>
      </w:r>
    </w:p>
    <w:p>
      <w:pPr>
        <w:pStyle w:val="32"/>
        <w:numPr>
          <w:ilvl w:val="2"/>
          <w:numId w:val="69"/>
        </w:numPr>
        <w:tabs>
          <w:tab w:val="left" w:pos="2285"/>
        </w:tabs>
        <w:spacing w:line="500" w:lineRule="exact"/>
        <w:ind w:left="0" w:firstLine="480" w:firstLineChars="200"/>
        <w:jc w:val="both"/>
        <w:rPr>
          <w:rFonts w:asciiTheme="minorEastAsia" w:hAnsiTheme="minorEastAsia" w:eastAsiaTheme="minorEastAsia" w:cstheme="minorEastAsia"/>
          <w:bCs/>
          <w:color w:val="auto"/>
          <w:sz w:val="24"/>
          <w:szCs w:val="24"/>
        </w:rPr>
      </w:pPr>
      <w:r>
        <w:rPr>
          <w:rFonts w:hint="eastAsia" w:asciiTheme="minorEastAsia" w:hAnsiTheme="minorEastAsia" w:eastAsiaTheme="minorEastAsia" w:cstheme="minorEastAsia"/>
          <w:bCs/>
          <w:color w:val="auto"/>
          <w:sz w:val="24"/>
          <w:szCs w:val="24"/>
        </w:rPr>
        <w:t>水环境保护</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施工期间各工段施工中均应建设施工废水临时沉淀池，禁止未经过处理的施工废水及施工人员生活废水进入河道和下水道。为了防止施工时产生的泥沙和尘土影响附近水域的水质，平时需做好清理土料、粉尘工作，避免淤塞下水道和河道。施工中要及时进行防护措施，以保持路基的稳定性及提高抵抗洪水的冲刷能力，减少施工产生的固体悬浮物对水质的影响。</w:t>
      </w:r>
    </w:p>
    <w:p>
      <w:pPr>
        <w:pStyle w:val="32"/>
        <w:numPr>
          <w:ilvl w:val="2"/>
          <w:numId w:val="69"/>
        </w:numPr>
        <w:tabs>
          <w:tab w:val="left" w:pos="2285"/>
        </w:tabs>
        <w:spacing w:line="500" w:lineRule="exact"/>
        <w:ind w:left="0" w:firstLine="480" w:firstLineChars="200"/>
        <w:jc w:val="both"/>
        <w:rPr>
          <w:rFonts w:asciiTheme="minorEastAsia" w:hAnsiTheme="minorEastAsia" w:eastAsiaTheme="minorEastAsia" w:cstheme="minorEastAsia"/>
          <w:bCs/>
          <w:color w:val="auto"/>
          <w:sz w:val="24"/>
          <w:szCs w:val="24"/>
        </w:rPr>
      </w:pPr>
      <w:r>
        <w:rPr>
          <w:rFonts w:hint="eastAsia" w:asciiTheme="minorEastAsia" w:hAnsiTheme="minorEastAsia" w:eastAsiaTheme="minorEastAsia" w:cstheme="minorEastAsia"/>
          <w:bCs/>
          <w:color w:val="auto"/>
          <w:sz w:val="24"/>
          <w:szCs w:val="24"/>
        </w:rPr>
        <w:t>施工噪声的控制</w:t>
      </w:r>
    </w:p>
    <w:p>
      <w:pPr>
        <w:pStyle w:val="10"/>
        <w:spacing w:line="500" w:lineRule="exact"/>
        <w:ind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本工程场地平整、地基处理、施工开挖沟渠、运输车辆喇叭车、发动机声、混凝土搅拌声以及覆土压路机声等造成施工的噪声。为了减少施工对周围居民的影响，工程在距民</w:t>
      </w:r>
      <w:r>
        <w:rPr>
          <w:rFonts w:hint="eastAsia" w:asciiTheme="minorEastAsia" w:hAnsiTheme="minorEastAsia" w:eastAsiaTheme="minorEastAsia" w:cstheme="minorEastAsia"/>
          <w:color w:val="auto"/>
          <w:spacing w:val="-36"/>
          <w:sz w:val="24"/>
          <w:szCs w:val="24"/>
        </w:rPr>
        <w:t xml:space="preserve">舍 </w:t>
      </w:r>
      <w:r>
        <w:rPr>
          <w:rFonts w:hint="eastAsia" w:asciiTheme="minorEastAsia" w:hAnsiTheme="minorEastAsia" w:eastAsiaTheme="minorEastAsia" w:cstheme="minorEastAsia"/>
          <w:color w:val="auto"/>
          <w:sz w:val="24"/>
          <w:szCs w:val="24"/>
        </w:rPr>
        <w:t>200m</w:t>
      </w:r>
      <w:r>
        <w:rPr>
          <w:rFonts w:hint="eastAsia" w:asciiTheme="minorEastAsia" w:hAnsiTheme="minorEastAsia" w:eastAsiaTheme="minorEastAsia" w:cstheme="minorEastAsia"/>
          <w:color w:val="auto"/>
          <w:spacing w:val="-13"/>
          <w:sz w:val="24"/>
          <w:szCs w:val="24"/>
        </w:rPr>
        <w:t xml:space="preserve">的区域内不允许在晚上十时至次日上午六时内施工， </w:t>
      </w:r>
      <w:r>
        <w:rPr>
          <w:rFonts w:hint="eastAsia" w:asciiTheme="minorEastAsia" w:hAnsiTheme="minorEastAsia" w:eastAsiaTheme="minorEastAsia" w:cstheme="minorEastAsia"/>
          <w:color w:val="auto"/>
          <w:spacing w:val="-5"/>
          <w:sz w:val="24"/>
          <w:szCs w:val="24"/>
        </w:rPr>
        <w:t>同时应在施工设备和方法中加以考虑，尽量采用低噪声机 械。对夜间一定要施工又要影响周围居民声环境的工地，应</w:t>
      </w:r>
      <w:r>
        <w:rPr>
          <w:rFonts w:hint="eastAsia" w:asciiTheme="minorEastAsia" w:hAnsiTheme="minorEastAsia" w:eastAsiaTheme="minorEastAsia" w:cstheme="minorEastAsia"/>
          <w:color w:val="auto"/>
          <w:sz w:val="24"/>
          <w:szCs w:val="24"/>
        </w:rPr>
        <w:t>对施工机械采取降噪措施，同时也可在工地周围或居民集中地周围设立临时的声障之类的装置，以保证居民区的声环境质量。</w:t>
      </w:r>
    </w:p>
    <w:p>
      <w:pPr>
        <w:pStyle w:val="32"/>
        <w:numPr>
          <w:ilvl w:val="2"/>
          <w:numId w:val="69"/>
        </w:numPr>
        <w:tabs>
          <w:tab w:val="left" w:pos="2285"/>
        </w:tabs>
        <w:spacing w:line="500" w:lineRule="exact"/>
        <w:ind w:left="0" w:firstLine="480" w:firstLineChars="200"/>
        <w:jc w:val="both"/>
        <w:rPr>
          <w:rFonts w:asciiTheme="minorEastAsia" w:hAnsiTheme="minorEastAsia" w:eastAsiaTheme="minorEastAsia" w:cstheme="minorEastAsia"/>
          <w:bCs/>
          <w:color w:val="auto"/>
          <w:sz w:val="24"/>
          <w:szCs w:val="24"/>
        </w:rPr>
      </w:pPr>
      <w:r>
        <w:rPr>
          <w:rFonts w:hint="eastAsia" w:asciiTheme="minorEastAsia" w:hAnsiTheme="minorEastAsia" w:eastAsiaTheme="minorEastAsia" w:cstheme="minorEastAsia"/>
          <w:bCs/>
          <w:color w:val="auto"/>
          <w:sz w:val="24"/>
          <w:szCs w:val="24"/>
        </w:rPr>
        <w:t>固体废物污染的控制</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所有弃土方拟定远运到适当的地点集中堆弃，弃土方场地在弃土方完成后将采取一定的生物防护设施。本项目由于施工期长，同时进场的施工人员较多，因此会产生一定的生活垃圾，工程承包单位应与当地环卫部门联系，及时清理施</w:t>
      </w:r>
      <w:r>
        <w:rPr>
          <w:rFonts w:hint="eastAsia" w:asciiTheme="minorEastAsia" w:hAnsiTheme="minorEastAsia" w:eastAsiaTheme="minorEastAsia" w:cstheme="minorEastAsia"/>
          <w:color w:val="auto"/>
          <w:spacing w:val="-3"/>
          <w:sz w:val="24"/>
          <w:szCs w:val="24"/>
        </w:rPr>
        <w:t>工现场的生活废弃物，保证工人工作、生活环境的卫生质量。</w:t>
      </w:r>
    </w:p>
    <w:p>
      <w:pPr>
        <w:pStyle w:val="32"/>
        <w:numPr>
          <w:ilvl w:val="2"/>
          <w:numId w:val="69"/>
        </w:numPr>
        <w:tabs>
          <w:tab w:val="left" w:pos="2285"/>
        </w:tabs>
        <w:spacing w:line="500" w:lineRule="exact"/>
        <w:ind w:left="0" w:firstLine="480" w:firstLineChars="200"/>
        <w:jc w:val="both"/>
        <w:rPr>
          <w:rFonts w:asciiTheme="minorEastAsia" w:hAnsiTheme="minorEastAsia" w:eastAsiaTheme="minorEastAsia" w:cstheme="minorEastAsia"/>
          <w:bCs/>
          <w:color w:val="auto"/>
          <w:sz w:val="24"/>
          <w:szCs w:val="24"/>
        </w:rPr>
      </w:pPr>
      <w:r>
        <w:rPr>
          <w:rFonts w:hint="eastAsia" w:asciiTheme="minorEastAsia" w:hAnsiTheme="minorEastAsia" w:eastAsiaTheme="minorEastAsia" w:cstheme="minorEastAsia"/>
          <w:bCs/>
          <w:color w:val="auto"/>
          <w:sz w:val="24"/>
          <w:szCs w:val="24"/>
        </w:rPr>
        <w:t>水土流失的控制</w:t>
      </w:r>
    </w:p>
    <w:p>
      <w:pPr>
        <w:pStyle w:val="10"/>
        <w:spacing w:line="500" w:lineRule="exact"/>
        <w:ind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 xml:space="preserve">对主体工程施工进一步优化设计，特别是优化挖填工序， </w:t>
      </w:r>
      <w:r>
        <w:rPr>
          <w:rFonts w:hint="eastAsia" w:asciiTheme="minorEastAsia" w:hAnsiTheme="minorEastAsia" w:eastAsiaTheme="minorEastAsia" w:cstheme="minorEastAsia"/>
          <w:color w:val="auto"/>
          <w:spacing w:val="2"/>
          <w:sz w:val="24"/>
          <w:szCs w:val="24"/>
        </w:rPr>
        <w:t>减少土石方开挖量，避免大量弃土、石、渣乱堆乱放， 注</w:t>
      </w:r>
      <w:r>
        <w:rPr>
          <w:rFonts w:hint="eastAsia" w:asciiTheme="minorEastAsia" w:hAnsiTheme="minorEastAsia" w:eastAsiaTheme="minorEastAsia" w:cstheme="minorEastAsia"/>
          <w:color w:val="auto"/>
          <w:spacing w:val="-3"/>
          <w:sz w:val="24"/>
          <w:szCs w:val="24"/>
        </w:rPr>
        <w:t>意加强临时防护措施的布设。工程建设中尽量做到挖填平衡， 施工过程中应边开挖、边回填、边碾压、边采取护坡防护措 施；项目区水土流失以水力侵蚀为主，因此应尽量缩短施工</w:t>
      </w:r>
      <w:r>
        <w:rPr>
          <w:rFonts w:hint="eastAsia" w:asciiTheme="minorEastAsia" w:hAnsiTheme="minorEastAsia" w:eastAsiaTheme="minorEastAsia" w:cstheme="minorEastAsia"/>
          <w:color w:val="auto"/>
          <w:spacing w:val="2"/>
          <w:sz w:val="24"/>
          <w:szCs w:val="24"/>
        </w:rPr>
        <w:t>周期，减少疏松地面的裸露时间，合理安排施工时间， 尽</w:t>
      </w:r>
      <w:r>
        <w:rPr>
          <w:rFonts w:hint="eastAsia" w:asciiTheme="minorEastAsia" w:hAnsiTheme="minorEastAsia" w:eastAsiaTheme="minorEastAsia" w:cstheme="minorEastAsia"/>
          <w:color w:val="auto"/>
          <w:spacing w:val="-3"/>
          <w:sz w:val="24"/>
          <w:szCs w:val="24"/>
        </w:rPr>
        <w:t>量避开雨季和汛期。</w:t>
      </w:r>
    </w:p>
    <w:p>
      <w:pPr>
        <w:pStyle w:val="32"/>
        <w:numPr>
          <w:ilvl w:val="2"/>
          <w:numId w:val="69"/>
        </w:numPr>
        <w:tabs>
          <w:tab w:val="left" w:pos="2285"/>
        </w:tabs>
        <w:spacing w:line="500" w:lineRule="exact"/>
        <w:ind w:left="0" w:firstLine="480" w:firstLineChars="200"/>
        <w:jc w:val="both"/>
        <w:rPr>
          <w:rFonts w:asciiTheme="minorEastAsia" w:hAnsiTheme="minorEastAsia" w:eastAsiaTheme="minorEastAsia" w:cstheme="minorEastAsia"/>
          <w:bCs/>
          <w:color w:val="auto"/>
          <w:sz w:val="24"/>
          <w:szCs w:val="24"/>
        </w:rPr>
      </w:pPr>
      <w:r>
        <w:rPr>
          <w:rFonts w:hint="eastAsia" w:asciiTheme="minorEastAsia" w:hAnsiTheme="minorEastAsia" w:eastAsiaTheme="minorEastAsia" w:cstheme="minorEastAsia"/>
          <w:bCs/>
          <w:color w:val="auto"/>
          <w:sz w:val="24"/>
          <w:szCs w:val="24"/>
        </w:rPr>
        <w:t>倡导文明施工</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要求施工单位尽可能地减少在施工过程中对周围居民、工厂、学校影响，提倡文明施工，做到“爱民工程”，组织施工单位、街道及业主联络会议，及时协调解决施工中对环境影响问题。</w:t>
      </w:r>
    </w:p>
    <w:p>
      <w:pPr>
        <w:tabs>
          <w:tab w:val="left" w:pos="1548"/>
        </w:tabs>
        <w:spacing w:line="500" w:lineRule="exact"/>
        <w:jc w:val="both"/>
        <w:rPr>
          <w:rFonts w:asciiTheme="minorEastAsia" w:hAnsiTheme="minorEastAsia" w:eastAsiaTheme="minorEastAsia" w:cstheme="minorEastAsia"/>
          <w:b/>
          <w:color w:val="auto"/>
          <w:sz w:val="24"/>
          <w:szCs w:val="24"/>
        </w:rPr>
      </w:pPr>
      <w:r>
        <w:rPr>
          <w:rFonts w:hint="eastAsia" w:ascii="黑体" w:hAnsi="黑体" w:eastAsia="黑体" w:cs="黑体"/>
          <w:b/>
          <w:color w:val="auto"/>
          <w:sz w:val="30"/>
          <w:szCs w:val="30"/>
        </w:rPr>
        <w:t>8.5</w:t>
      </w:r>
      <w:r>
        <w:rPr>
          <w:rFonts w:hint="eastAsia" w:asciiTheme="minorEastAsia" w:hAnsiTheme="minorEastAsia" w:eastAsiaTheme="minorEastAsia" w:cstheme="minorEastAsia"/>
          <w:b/>
          <w:color w:val="auto"/>
          <w:sz w:val="24"/>
          <w:szCs w:val="24"/>
          <w:lang w:val="en-US"/>
        </w:rPr>
        <w:t xml:space="preserve"> </w:t>
      </w:r>
      <w:r>
        <w:rPr>
          <w:rFonts w:hint="eastAsia" w:asciiTheme="minorEastAsia" w:hAnsiTheme="minorEastAsia" w:eastAsiaTheme="minorEastAsia" w:cstheme="minorEastAsia"/>
          <w:b/>
          <w:color w:val="auto"/>
          <w:sz w:val="24"/>
          <w:szCs w:val="24"/>
        </w:rPr>
        <w:t>运营期对环境的影响及缓解措施</w:t>
      </w:r>
    </w:p>
    <w:p>
      <w:pPr>
        <w:pStyle w:val="32"/>
        <w:numPr>
          <w:ilvl w:val="0"/>
          <w:numId w:val="0"/>
        </w:numPr>
        <w:tabs>
          <w:tab w:val="left" w:pos="2285"/>
        </w:tabs>
        <w:spacing w:line="500" w:lineRule="exact"/>
        <w:ind w:left="482"/>
        <w:jc w:val="both"/>
        <w:rPr>
          <w:rFonts w:asciiTheme="minorEastAsia" w:hAnsiTheme="minorEastAsia" w:eastAsiaTheme="minorEastAsia" w:cstheme="minorEastAsia"/>
          <w:bCs/>
          <w:color w:val="auto"/>
          <w:sz w:val="24"/>
          <w:szCs w:val="24"/>
        </w:rPr>
      </w:pPr>
      <w:r>
        <w:rPr>
          <w:rFonts w:hint="eastAsia" w:asciiTheme="minorEastAsia" w:hAnsiTheme="minorEastAsia" w:eastAsiaTheme="minorEastAsia" w:cstheme="minorEastAsia"/>
          <w:bCs/>
          <w:color w:val="auto"/>
          <w:sz w:val="24"/>
          <w:szCs w:val="24"/>
        </w:rPr>
        <w:t>（1）污水污染源分析</w:t>
      </w:r>
    </w:p>
    <w:p>
      <w:pPr>
        <w:pStyle w:val="10"/>
        <w:spacing w:line="500" w:lineRule="exact"/>
        <w:ind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 xml:space="preserve">污水处理厂自身产生的生活污水及构筑物的生产污水均 </w:t>
      </w:r>
      <w:r>
        <w:rPr>
          <w:rFonts w:hint="eastAsia" w:asciiTheme="minorEastAsia" w:hAnsiTheme="minorEastAsia" w:eastAsiaTheme="minorEastAsia" w:cstheme="minorEastAsia"/>
          <w:color w:val="auto"/>
          <w:spacing w:val="-13"/>
          <w:sz w:val="24"/>
          <w:szCs w:val="24"/>
        </w:rPr>
        <w:t xml:space="preserve">进入厂区内污水泵房，然后进入污水处理系统进行处理，对外  </w:t>
      </w:r>
      <w:r>
        <w:rPr>
          <w:rFonts w:hint="eastAsia" w:asciiTheme="minorEastAsia" w:hAnsiTheme="minorEastAsia" w:eastAsiaTheme="minorEastAsia" w:cstheme="minorEastAsia"/>
          <w:color w:val="auto"/>
          <w:spacing w:val="-17"/>
          <w:sz w:val="24"/>
          <w:szCs w:val="24"/>
        </w:rPr>
        <w:t>界环境不会造成影响，城市污水经过处理后，达到广东省地方标</w:t>
      </w:r>
      <w:r>
        <w:rPr>
          <w:rFonts w:hint="eastAsia" w:asciiTheme="minorEastAsia" w:hAnsiTheme="minorEastAsia" w:eastAsiaTheme="minorEastAsia" w:cstheme="minorEastAsia"/>
          <w:color w:val="auto"/>
          <w:spacing w:val="-29"/>
          <w:sz w:val="24"/>
          <w:szCs w:val="24"/>
        </w:rPr>
        <w:t>准《水污染物排放限值》</w:t>
      </w:r>
      <w:r>
        <w:rPr>
          <w:rFonts w:hint="eastAsia" w:asciiTheme="minorEastAsia" w:hAnsiTheme="minorEastAsia" w:eastAsiaTheme="minorEastAsia" w:cstheme="minorEastAsia"/>
          <w:color w:val="auto"/>
          <w:spacing w:val="-15"/>
          <w:sz w:val="24"/>
          <w:szCs w:val="24"/>
        </w:rPr>
        <w:t>（DB44/26-2001）</w:t>
      </w:r>
      <w:r>
        <w:rPr>
          <w:rFonts w:hint="eastAsia" w:asciiTheme="minorEastAsia" w:hAnsiTheme="minorEastAsia" w:eastAsiaTheme="minorEastAsia" w:cstheme="minorEastAsia"/>
          <w:color w:val="auto"/>
          <w:spacing w:val="-5"/>
          <w:sz w:val="24"/>
          <w:szCs w:val="24"/>
        </w:rPr>
        <w:t>第二时段一级标准中</w:t>
      </w:r>
      <w:r>
        <w:rPr>
          <w:rFonts w:hint="eastAsia" w:asciiTheme="minorEastAsia" w:hAnsiTheme="minorEastAsia" w:eastAsiaTheme="minorEastAsia" w:cstheme="minorEastAsia"/>
          <w:color w:val="auto"/>
          <w:spacing w:val="-17"/>
          <w:sz w:val="24"/>
          <w:szCs w:val="24"/>
        </w:rPr>
        <w:t>的较严值与《城市污水处理厂污染物排放标准》</w:t>
      </w:r>
      <w:r>
        <w:rPr>
          <w:rFonts w:hint="eastAsia" w:asciiTheme="minorEastAsia" w:hAnsiTheme="minorEastAsia" w:eastAsiaTheme="minorEastAsia" w:cstheme="minorEastAsia"/>
          <w:color w:val="auto"/>
          <w:spacing w:val="-12"/>
          <w:sz w:val="24"/>
          <w:szCs w:val="24"/>
        </w:rPr>
        <w:t xml:space="preserve">（GB18918- </w:t>
      </w:r>
      <w:r>
        <w:rPr>
          <w:rFonts w:hint="eastAsia" w:asciiTheme="minorEastAsia" w:hAnsiTheme="minorEastAsia" w:eastAsiaTheme="minorEastAsia" w:cstheme="minorEastAsia"/>
          <w:color w:val="auto"/>
          <w:spacing w:val="-15"/>
          <w:sz w:val="24"/>
          <w:szCs w:val="24"/>
        </w:rPr>
        <w:t>2002）</w:t>
      </w:r>
      <w:r>
        <w:rPr>
          <w:rFonts w:hint="eastAsia" w:asciiTheme="minorEastAsia" w:hAnsiTheme="minorEastAsia" w:eastAsiaTheme="minorEastAsia" w:cstheme="minorEastAsia"/>
          <w:color w:val="auto"/>
          <w:sz w:val="24"/>
          <w:szCs w:val="24"/>
        </w:rPr>
        <w:t>中的一级A</w:t>
      </w:r>
      <w:r>
        <w:rPr>
          <w:rFonts w:hint="eastAsia" w:asciiTheme="minorEastAsia" w:hAnsiTheme="minorEastAsia" w:eastAsiaTheme="minorEastAsia" w:cstheme="minorEastAsia"/>
          <w:color w:val="auto"/>
          <w:spacing w:val="-22"/>
          <w:sz w:val="24"/>
          <w:szCs w:val="24"/>
        </w:rPr>
        <w:t>标准较严值，也不会对周围环境造成明显影响。</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本项目建成后，罗定市全市绝大部分生活污水都被收集得到有效处理，污水无序排放现象得到根除，将大大改善当地卫生环境，有效降低生活污水中污染物的排放，对保护当地水环境有极大的正面影响。</w:t>
      </w:r>
    </w:p>
    <w:p>
      <w:pPr>
        <w:pStyle w:val="32"/>
        <w:numPr>
          <w:ilvl w:val="0"/>
          <w:numId w:val="0"/>
        </w:numPr>
        <w:tabs>
          <w:tab w:val="left" w:pos="2285"/>
        </w:tabs>
        <w:spacing w:line="500" w:lineRule="exact"/>
        <w:ind w:left="482"/>
        <w:jc w:val="both"/>
        <w:rPr>
          <w:rFonts w:asciiTheme="minorEastAsia" w:hAnsiTheme="minorEastAsia" w:eastAsiaTheme="minorEastAsia" w:cstheme="minorEastAsia"/>
          <w:bCs/>
          <w:color w:val="auto"/>
          <w:sz w:val="24"/>
          <w:szCs w:val="24"/>
        </w:rPr>
      </w:pPr>
      <w:r>
        <w:rPr>
          <w:rFonts w:hint="eastAsia" w:asciiTheme="minorEastAsia" w:hAnsiTheme="minorEastAsia" w:eastAsiaTheme="minorEastAsia" w:cstheme="minorEastAsia"/>
          <w:bCs/>
          <w:color w:val="auto"/>
          <w:sz w:val="24"/>
          <w:szCs w:val="24"/>
        </w:rPr>
        <w:t>（2）噪声对环境的影响</w:t>
      </w:r>
    </w:p>
    <w:p>
      <w:pPr>
        <w:pStyle w:val="10"/>
        <w:spacing w:line="500" w:lineRule="exact"/>
        <w:ind w:firstLine="44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0"/>
          <w:sz w:val="24"/>
          <w:szCs w:val="24"/>
        </w:rPr>
        <w:t>污水处理设施的噪声来源于传动机械工作时发出的噪声，有水泵、污泥泵的噪声，还有厂区内外来自车辆等的噪声。根</w:t>
      </w:r>
      <w:r>
        <w:rPr>
          <w:rFonts w:hint="eastAsia" w:asciiTheme="minorEastAsia" w:hAnsiTheme="minorEastAsia" w:eastAsiaTheme="minorEastAsia" w:cstheme="minorEastAsia"/>
          <w:color w:val="auto"/>
          <w:spacing w:val="-13"/>
          <w:sz w:val="24"/>
          <w:szCs w:val="24"/>
        </w:rPr>
        <w:t>据调查，污水处理厂使用的机械产生的噪声值见下表8</w:t>
      </w:r>
      <w:r>
        <w:rPr>
          <w:rFonts w:asciiTheme="minorEastAsia" w:hAnsiTheme="minorEastAsia" w:eastAsiaTheme="minorEastAsia" w:cstheme="minorEastAsia"/>
          <w:color w:val="auto"/>
          <w:spacing w:val="-13"/>
          <w:sz w:val="24"/>
          <w:szCs w:val="24"/>
        </w:rPr>
        <w:t>.5-1</w:t>
      </w:r>
      <w:r>
        <w:rPr>
          <w:rFonts w:hint="eastAsia" w:asciiTheme="minorEastAsia" w:hAnsiTheme="minorEastAsia" w:eastAsiaTheme="minorEastAsia" w:cstheme="minorEastAsia"/>
          <w:color w:val="auto"/>
          <w:spacing w:val="-13"/>
          <w:sz w:val="24"/>
          <w:szCs w:val="24"/>
        </w:rPr>
        <w:t>：</w:t>
      </w:r>
    </w:p>
    <w:p>
      <w:pPr>
        <w:spacing w:line="500" w:lineRule="exact"/>
        <w:ind w:firstLine="422" w:firstLineChars="200"/>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表8.5-1 污水处理机械设备噪声源及噪声值</w:t>
      </w:r>
    </w:p>
    <w:tbl>
      <w:tblPr>
        <w:tblStyle w:val="27"/>
        <w:tblpPr w:leftFromText="180" w:rightFromText="180" w:vertAnchor="text" w:horzAnchor="margin" w:tblpXSpec="center" w:tblpY="147"/>
        <w:tblW w:w="7227"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3116"/>
        <w:gridCol w:w="411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trPr>
        <w:tc>
          <w:tcPr>
            <w:tcW w:w="3116" w:type="dxa"/>
            <w:tcBorders>
              <w:bottom w:val="single" w:color="000000" w:sz="6" w:space="0"/>
              <w:right w:val="single" w:color="000000" w:sz="6" w:space="0"/>
            </w:tcBorders>
          </w:tcPr>
          <w:p>
            <w:pPr>
              <w:pStyle w:val="33"/>
              <w:tabs>
                <w:tab w:val="left" w:pos="863"/>
              </w:tabs>
              <w:spacing w:line="46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名 称</w:t>
            </w:r>
          </w:p>
        </w:tc>
        <w:tc>
          <w:tcPr>
            <w:tcW w:w="4111" w:type="dxa"/>
            <w:tcBorders>
              <w:left w:val="single" w:color="000000" w:sz="6" w:space="0"/>
              <w:bottom w:val="single" w:color="000000" w:sz="6" w:space="0"/>
            </w:tcBorders>
          </w:tcPr>
          <w:p>
            <w:pPr>
              <w:pStyle w:val="33"/>
              <w:tabs>
                <w:tab w:val="left" w:pos="652"/>
                <w:tab w:val="left" w:pos="1134"/>
              </w:tabs>
              <w:spacing w:line="46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噪声 (dBA)</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trPr>
        <w:tc>
          <w:tcPr>
            <w:tcW w:w="3116" w:type="dxa"/>
            <w:tcBorders>
              <w:top w:val="single" w:color="000000" w:sz="6" w:space="0"/>
              <w:bottom w:val="single" w:color="000000" w:sz="6" w:space="0"/>
              <w:right w:val="single" w:color="000000" w:sz="6" w:space="0"/>
            </w:tcBorders>
          </w:tcPr>
          <w:p>
            <w:pPr>
              <w:pStyle w:val="33"/>
              <w:spacing w:line="46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水 泵</w:t>
            </w:r>
          </w:p>
        </w:tc>
        <w:tc>
          <w:tcPr>
            <w:tcW w:w="4111" w:type="dxa"/>
            <w:tcBorders>
              <w:top w:val="single" w:color="000000" w:sz="6" w:space="0"/>
              <w:left w:val="single" w:color="000000" w:sz="6" w:space="0"/>
              <w:bottom w:val="single" w:color="000000" w:sz="6" w:space="0"/>
            </w:tcBorders>
          </w:tcPr>
          <w:p>
            <w:pPr>
              <w:pStyle w:val="33"/>
              <w:spacing w:line="46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90～100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0" w:hRule="atLeast"/>
        </w:trPr>
        <w:tc>
          <w:tcPr>
            <w:tcW w:w="3116" w:type="dxa"/>
            <w:tcBorders>
              <w:top w:val="single" w:color="000000" w:sz="6" w:space="0"/>
              <w:bottom w:val="single" w:color="000000" w:sz="6" w:space="0"/>
              <w:right w:val="single" w:color="000000" w:sz="6" w:space="0"/>
            </w:tcBorders>
          </w:tcPr>
          <w:p>
            <w:pPr>
              <w:pStyle w:val="33"/>
              <w:spacing w:line="46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电 机</w:t>
            </w:r>
          </w:p>
        </w:tc>
        <w:tc>
          <w:tcPr>
            <w:tcW w:w="4111" w:type="dxa"/>
            <w:tcBorders>
              <w:top w:val="single" w:color="000000" w:sz="6" w:space="0"/>
              <w:left w:val="single" w:color="000000" w:sz="6" w:space="0"/>
              <w:bottom w:val="single" w:color="000000" w:sz="6" w:space="0"/>
            </w:tcBorders>
          </w:tcPr>
          <w:p>
            <w:pPr>
              <w:pStyle w:val="33"/>
              <w:spacing w:line="46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90～100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trPr>
        <w:tc>
          <w:tcPr>
            <w:tcW w:w="3116" w:type="dxa"/>
            <w:tcBorders>
              <w:top w:val="single" w:color="000000" w:sz="6" w:space="0"/>
              <w:bottom w:val="single" w:color="000000" w:sz="6" w:space="0"/>
              <w:right w:val="single" w:color="000000" w:sz="6" w:space="0"/>
            </w:tcBorders>
          </w:tcPr>
          <w:p>
            <w:pPr>
              <w:pStyle w:val="33"/>
              <w:spacing w:line="46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鼓风机</w:t>
            </w:r>
          </w:p>
        </w:tc>
        <w:tc>
          <w:tcPr>
            <w:tcW w:w="4111" w:type="dxa"/>
            <w:tcBorders>
              <w:top w:val="single" w:color="000000" w:sz="6" w:space="0"/>
              <w:left w:val="single" w:color="000000" w:sz="6" w:space="0"/>
              <w:bottom w:val="single" w:color="000000" w:sz="6" w:space="0"/>
            </w:tcBorders>
          </w:tcPr>
          <w:p>
            <w:pPr>
              <w:pStyle w:val="33"/>
              <w:spacing w:line="46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90～100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trPr>
        <w:tc>
          <w:tcPr>
            <w:tcW w:w="3116" w:type="dxa"/>
            <w:tcBorders>
              <w:top w:val="single" w:color="000000" w:sz="6" w:space="0"/>
              <w:right w:val="single" w:color="000000" w:sz="6" w:space="0"/>
            </w:tcBorders>
          </w:tcPr>
          <w:p>
            <w:pPr>
              <w:pStyle w:val="33"/>
              <w:tabs>
                <w:tab w:val="left" w:pos="627"/>
              </w:tabs>
              <w:spacing w:line="46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汽 车</w:t>
            </w:r>
          </w:p>
        </w:tc>
        <w:tc>
          <w:tcPr>
            <w:tcW w:w="4111" w:type="dxa"/>
            <w:tcBorders>
              <w:top w:val="single" w:color="000000" w:sz="6" w:space="0"/>
              <w:left w:val="single" w:color="000000" w:sz="6" w:space="0"/>
            </w:tcBorders>
          </w:tcPr>
          <w:p>
            <w:pPr>
              <w:pStyle w:val="33"/>
              <w:spacing w:line="46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75～90</w:t>
            </w:r>
          </w:p>
        </w:tc>
      </w:tr>
    </w:tbl>
    <w:p>
      <w:pPr>
        <w:pStyle w:val="10"/>
        <w:spacing w:line="500" w:lineRule="exact"/>
        <w:ind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污水处理厂内噪声较大的设备，如水泵、电机、鼓风机机</w:t>
      </w:r>
      <w:r>
        <w:rPr>
          <w:rFonts w:hint="eastAsia" w:asciiTheme="minorEastAsia" w:hAnsiTheme="minorEastAsia" w:eastAsiaTheme="minorEastAsia" w:cstheme="minorEastAsia"/>
          <w:color w:val="auto"/>
          <w:spacing w:val="3"/>
          <w:sz w:val="24"/>
          <w:szCs w:val="24"/>
        </w:rPr>
        <w:t>等均设在室内，经过墙壁隔声以后传播到外环境时已衰减很</w:t>
      </w:r>
      <w:r>
        <w:rPr>
          <w:rFonts w:hint="eastAsia" w:asciiTheme="minorEastAsia" w:hAnsiTheme="minorEastAsia" w:eastAsiaTheme="minorEastAsia" w:cstheme="minorEastAsia"/>
          <w:color w:val="auto"/>
          <w:spacing w:val="-12"/>
          <w:sz w:val="24"/>
          <w:szCs w:val="24"/>
        </w:rPr>
        <w:t>多。据调查资料表明，距泵房</w:t>
      </w:r>
      <w:r>
        <w:rPr>
          <w:rFonts w:hint="eastAsia" w:asciiTheme="minorEastAsia" w:hAnsiTheme="minorEastAsia" w:eastAsiaTheme="minorEastAsia" w:cstheme="minorEastAsia"/>
          <w:color w:val="auto"/>
          <w:spacing w:val="-6"/>
          <w:sz w:val="24"/>
          <w:szCs w:val="24"/>
        </w:rPr>
        <w:t>30m</w:t>
      </w:r>
      <w:r>
        <w:rPr>
          <w:rFonts w:hint="eastAsia" w:asciiTheme="minorEastAsia" w:hAnsiTheme="minorEastAsia" w:eastAsiaTheme="minorEastAsia" w:cstheme="minorEastAsia"/>
          <w:color w:val="auto"/>
          <w:spacing w:val="-8"/>
          <w:sz w:val="24"/>
          <w:szCs w:val="24"/>
        </w:rPr>
        <w:t>时测得的噪声值已达到国家</w:t>
      </w:r>
      <w:r>
        <w:rPr>
          <w:rFonts w:hint="eastAsia" w:asciiTheme="minorEastAsia" w:hAnsiTheme="minorEastAsia" w:eastAsiaTheme="minorEastAsia" w:cstheme="minorEastAsia"/>
          <w:color w:val="auto"/>
          <w:spacing w:val="-10"/>
          <w:sz w:val="24"/>
          <w:szCs w:val="24"/>
        </w:rPr>
        <w:t>的《声环境质量标准》</w:t>
      </w:r>
      <w:r>
        <w:rPr>
          <w:rFonts w:hint="eastAsia" w:asciiTheme="minorEastAsia" w:hAnsiTheme="minorEastAsia" w:eastAsiaTheme="minorEastAsia" w:cstheme="minorEastAsia"/>
          <w:color w:val="auto"/>
          <w:spacing w:val="-20"/>
          <w:sz w:val="24"/>
          <w:szCs w:val="24"/>
        </w:rPr>
        <w:t>（GB3096-2008）</w:t>
      </w:r>
      <w:r>
        <w:rPr>
          <w:rFonts w:hint="eastAsia" w:asciiTheme="minorEastAsia" w:hAnsiTheme="minorEastAsia" w:eastAsiaTheme="minorEastAsia" w:cstheme="minorEastAsia"/>
          <w:color w:val="auto"/>
          <w:spacing w:val="-4"/>
          <w:sz w:val="24"/>
          <w:szCs w:val="24"/>
        </w:rPr>
        <w:t>的标准值。</w:t>
      </w:r>
    </w:p>
    <w:p>
      <w:pPr>
        <w:pStyle w:val="32"/>
        <w:numPr>
          <w:ilvl w:val="0"/>
          <w:numId w:val="0"/>
        </w:numPr>
        <w:tabs>
          <w:tab w:val="left" w:pos="2285"/>
        </w:tabs>
        <w:spacing w:line="500" w:lineRule="exact"/>
        <w:ind w:left="482"/>
        <w:jc w:val="both"/>
        <w:rPr>
          <w:rFonts w:asciiTheme="minorEastAsia" w:hAnsiTheme="minorEastAsia" w:eastAsiaTheme="minorEastAsia" w:cstheme="minorEastAsia"/>
          <w:bCs/>
          <w:color w:val="auto"/>
          <w:sz w:val="24"/>
          <w:szCs w:val="24"/>
        </w:rPr>
      </w:pPr>
      <w:r>
        <w:rPr>
          <w:rFonts w:hint="eastAsia" w:asciiTheme="minorEastAsia" w:hAnsiTheme="minorEastAsia" w:eastAsiaTheme="minorEastAsia" w:cstheme="minorEastAsia"/>
          <w:bCs/>
          <w:color w:val="auto"/>
          <w:sz w:val="24"/>
          <w:szCs w:val="24"/>
        </w:rPr>
        <w:t>（3）鼓风机和机泵产生噪声</w:t>
      </w:r>
    </w:p>
    <w:p>
      <w:pPr>
        <w:pStyle w:val="10"/>
        <w:spacing w:line="500" w:lineRule="exact"/>
        <w:ind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在设计中采用防震消声措施，并尽可能使用低转速机泵。水泵房设置隔音玻璃，鼓风机加隔声罩。并在泵房四周种植绿</w:t>
      </w:r>
      <w:r>
        <w:rPr>
          <w:rFonts w:hint="eastAsia" w:asciiTheme="minorEastAsia" w:hAnsiTheme="minorEastAsia" w:eastAsiaTheme="minorEastAsia" w:cstheme="minorEastAsia"/>
          <w:color w:val="auto"/>
          <w:spacing w:val="-10"/>
          <w:sz w:val="24"/>
          <w:szCs w:val="24"/>
        </w:rPr>
        <w:t>化隔离带，减少噪声对周围环境影响。</w:t>
      </w:r>
    </w:p>
    <w:p>
      <w:pPr>
        <w:tabs>
          <w:tab w:val="left" w:pos="2285"/>
        </w:tabs>
        <w:spacing w:line="500" w:lineRule="exact"/>
        <w:ind w:firstLine="480" w:firstLineChars="200"/>
        <w:jc w:val="both"/>
        <w:rPr>
          <w:rFonts w:asciiTheme="minorEastAsia" w:hAnsiTheme="minorEastAsia" w:eastAsiaTheme="minorEastAsia" w:cstheme="minorEastAsia"/>
          <w:bCs/>
          <w:color w:val="auto"/>
          <w:sz w:val="24"/>
          <w:szCs w:val="24"/>
        </w:rPr>
      </w:pPr>
      <w:r>
        <w:rPr>
          <w:rFonts w:hint="eastAsia" w:asciiTheme="minorEastAsia" w:hAnsiTheme="minorEastAsia" w:eastAsiaTheme="minorEastAsia" w:cstheme="minorEastAsia"/>
          <w:bCs/>
          <w:color w:val="auto"/>
          <w:sz w:val="24"/>
          <w:szCs w:val="24"/>
        </w:rPr>
        <w:t>（4）格栅井、污泥车间的除臭</w:t>
      </w:r>
    </w:p>
    <w:p>
      <w:pPr>
        <w:pStyle w:val="10"/>
        <w:spacing w:line="500" w:lineRule="exact"/>
        <w:ind w:firstLine="49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4"/>
          <w:sz w:val="24"/>
          <w:szCs w:val="24"/>
        </w:rPr>
        <w:t>污水处理厂产生恶臭的构筑物主要为粗格栅间、进水泵</w:t>
      </w:r>
      <w:r>
        <w:rPr>
          <w:rFonts w:hint="eastAsia" w:asciiTheme="minorEastAsia" w:hAnsiTheme="minorEastAsia" w:eastAsiaTheme="minorEastAsia" w:cstheme="minorEastAsia"/>
          <w:color w:val="auto"/>
          <w:spacing w:val="3"/>
          <w:sz w:val="24"/>
          <w:szCs w:val="24"/>
        </w:rPr>
        <w:t>房、细格栅间、沉砂池、生物池、贮泥池及污泥浓缩脱水车间，这些处理设施无组织散发的恶臭气体成份主要含有</w:t>
      </w:r>
      <w:r>
        <w:rPr>
          <w:rFonts w:hint="eastAsia" w:asciiTheme="minorEastAsia" w:hAnsiTheme="minorEastAsia" w:eastAsiaTheme="minorEastAsia" w:cstheme="minorEastAsia"/>
          <w:color w:val="auto"/>
          <w:spacing w:val="-6"/>
          <w:sz w:val="24"/>
          <w:szCs w:val="24"/>
        </w:rPr>
        <w:t>H2S</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pacing w:val="-2"/>
          <w:sz w:val="24"/>
          <w:szCs w:val="24"/>
        </w:rPr>
        <w:t>NH3</w:t>
      </w:r>
      <w:r>
        <w:rPr>
          <w:rFonts w:hint="eastAsia" w:asciiTheme="minorEastAsia" w:hAnsiTheme="minorEastAsia" w:eastAsiaTheme="minorEastAsia" w:cstheme="minorEastAsia"/>
          <w:color w:val="auto"/>
          <w:spacing w:val="-11"/>
          <w:sz w:val="24"/>
          <w:szCs w:val="24"/>
        </w:rPr>
        <w:t>和甲硫醇等，其产量受水温、</w:t>
      </w:r>
      <w:r>
        <w:rPr>
          <w:rFonts w:hint="eastAsia" w:asciiTheme="minorEastAsia" w:hAnsiTheme="minorEastAsia" w:eastAsiaTheme="minorEastAsia" w:cstheme="minorEastAsia"/>
          <w:color w:val="auto"/>
          <w:sz w:val="24"/>
          <w:szCs w:val="24"/>
        </w:rPr>
        <w:t>pH</w:t>
      </w:r>
      <w:r>
        <w:rPr>
          <w:rFonts w:hint="eastAsia" w:asciiTheme="minorEastAsia" w:hAnsiTheme="minorEastAsia" w:eastAsiaTheme="minorEastAsia" w:cstheme="minorEastAsia"/>
          <w:color w:val="auto"/>
          <w:spacing w:val="-10"/>
          <w:sz w:val="24"/>
          <w:szCs w:val="24"/>
        </w:rPr>
        <w:t>值、构筑物设计参数等多</w:t>
      </w:r>
      <w:r>
        <w:rPr>
          <w:rFonts w:hint="eastAsia" w:asciiTheme="minorEastAsia" w:hAnsiTheme="minorEastAsia" w:eastAsiaTheme="minorEastAsia" w:cstheme="minorEastAsia"/>
          <w:color w:val="auto"/>
          <w:spacing w:val="-5"/>
          <w:sz w:val="24"/>
          <w:szCs w:val="24"/>
        </w:rPr>
        <w:t>种因素的影响。在项目运营期间，对进水泵房、粗格栅、厌氧池、污泥浓缩脱水间等主要产生恶臭的地方进行密封或加盖，收集臭气集中处理，最大限度减少恶臭影响。对于采用人工湿</w:t>
      </w:r>
      <w:r>
        <w:rPr>
          <w:rFonts w:hint="eastAsia" w:asciiTheme="minorEastAsia" w:hAnsiTheme="minorEastAsia" w:eastAsiaTheme="minorEastAsia" w:cstheme="minorEastAsia"/>
          <w:color w:val="auto"/>
          <w:spacing w:val="-10"/>
          <w:sz w:val="24"/>
          <w:szCs w:val="24"/>
        </w:rPr>
        <w:t>地工艺的设施，通过采用潜流式设计，减少臭气的散发。</w:t>
      </w:r>
    </w:p>
    <w:p>
      <w:pPr>
        <w:pStyle w:val="32"/>
        <w:numPr>
          <w:ilvl w:val="0"/>
          <w:numId w:val="0"/>
        </w:numPr>
        <w:tabs>
          <w:tab w:val="left" w:pos="2285"/>
        </w:tabs>
        <w:spacing w:line="500" w:lineRule="exact"/>
        <w:ind w:left="482"/>
        <w:jc w:val="both"/>
        <w:rPr>
          <w:rFonts w:asciiTheme="minorEastAsia" w:hAnsiTheme="minorEastAsia" w:eastAsiaTheme="minorEastAsia" w:cstheme="minorEastAsia"/>
          <w:bCs/>
          <w:color w:val="auto"/>
          <w:sz w:val="24"/>
          <w:szCs w:val="24"/>
        </w:rPr>
      </w:pPr>
      <w:r>
        <w:rPr>
          <w:rFonts w:hint="eastAsia" w:asciiTheme="minorEastAsia" w:hAnsiTheme="minorEastAsia" w:eastAsiaTheme="minorEastAsia" w:cstheme="minorEastAsia"/>
          <w:bCs/>
          <w:color w:val="auto"/>
          <w:sz w:val="24"/>
          <w:szCs w:val="24"/>
        </w:rPr>
        <w:t>（5）固体废弃物分析</w:t>
      </w:r>
    </w:p>
    <w:p>
      <w:pPr>
        <w:pStyle w:val="10"/>
        <w:spacing w:line="500" w:lineRule="exact"/>
        <w:ind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污水处理厂的固体废弃物主要来自污水、污泥处理过程中</w:t>
      </w:r>
      <w:r>
        <w:rPr>
          <w:rFonts w:hint="eastAsia" w:asciiTheme="minorEastAsia" w:hAnsiTheme="minorEastAsia" w:eastAsiaTheme="minorEastAsia" w:cstheme="minorEastAsia"/>
          <w:color w:val="auto"/>
          <w:spacing w:val="3"/>
          <w:sz w:val="24"/>
          <w:szCs w:val="24"/>
        </w:rPr>
        <w:t>产生的沉砂和泥饼。污泥经浓缩脱水后外运填埋或资源化利</w:t>
      </w:r>
      <w:r>
        <w:rPr>
          <w:rFonts w:hint="eastAsia" w:asciiTheme="minorEastAsia" w:hAnsiTheme="minorEastAsia" w:eastAsiaTheme="minorEastAsia" w:cstheme="minorEastAsia"/>
          <w:color w:val="auto"/>
          <w:spacing w:val="-9"/>
          <w:sz w:val="24"/>
          <w:szCs w:val="24"/>
        </w:rPr>
        <w:t>用，对环境影响较小。</w:t>
      </w:r>
    </w:p>
    <w:p>
      <w:pPr>
        <w:spacing w:line="500" w:lineRule="exact"/>
        <w:ind w:firstLine="480" w:firstLineChars="200"/>
        <w:jc w:val="both"/>
        <w:rPr>
          <w:rFonts w:asciiTheme="minorEastAsia" w:hAnsiTheme="minorEastAsia" w:eastAsiaTheme="minorEastAsia" w:cstheme="minorEastAsia"/>
          <w:color w:val="auto"/>
          <w:sz w:val="24"/>
          <w:szCs w:val="24"/>
        </w:rPr>
        <w:sectPr>
          <w:footerReference r:id="rId13" w:type="default"/>
          <w:type w:val="nextColumn"/>
          <w:pgSz w:w="11910" w:h="16840"/>
          <w:pgMar w:top="1418" w:right="1418" w:bottom="1418" w:left="1701" w:header="0" w:footer="512" w:gutter="0"/>
          <w:cols w:space="720" w:num="1"/>
        </w:sectPr>
      </w:pPr>
    </w:p>
    <w:p>
      <w:pPr>
        <w:pStyle w:val="2"/>
        <w:numPr>
          <w:ilvl w:val="0"/>
          <w:numId w:val="65"/>
        </w:numPr>
        <w:jc w:val="center"/>
        <w:rPr>
          <w:color w:val="auto"/>
        </w:rPr>
      </w:pPr>
      <w:bookmarkStart w:id="126" w:name="九、资源利用与能源耗用分析"/>
      <w:bookmarkEnd w:id="126"/>
      <w:bookmarkStart w:id="127" w:name="_Toc6751"/>
      <w:bookmarkStart w:id="128" w:name="_Toc26475"/>
      <w:r>
        <w:rPr>
          <w:rFonts w:hint="eastAsia"/>
          <w:color w:val="auto"/>
        </w:rPr>
        <w:t>资源利用与能源耗用分析</w:t>
      </w:r>
      <w:bookmarkEnd w:id="127"/>
      <w:bookmarkEnd w:id="128"/>
    </w:p>
    <w:p>
      <w:pPr>
        <w:pStyle w:val="2"/>
        <w:tabs>
          <w:tab w:val="left" w:pos="1548"/>
        </w:tabs>
        <w:spacing w:before="0" w:line="500" w:lineRule="exact"/>
        <w:ind w:left="0"/>
        <w:jc w:val="both"/>
        <w:rPr>
          <w:rFonts w:asciiTheme="minorEastAsia" w:hAnsiTheme="minorEastAsia" w:eastAsiaTheme="minorEastAsia" w:cstheme="minorEastAsia"/>
          <w:color w:val="auto"/>
          <w:sz w:val="24"/>
          <w:szCs w:val="24"/>
        </w:rPr>
      </w:pPr>
      <w:bookmarkStart w:id="129" w:name="9.1资源和原材料"/>
      <w:bookmarkEnd w:id="129"/>
      <w:bookmarkStart w:id="130" w:name="_Toc28613"/>
      <w:bookmarkStart w:id="131" w:name="_Toc1208"/>
      <w:r>
        <w:rPr>
          <w:rFonts w:hint="eastAsia"/>
          <w:color w:val="auto"/>
          <w:sz w:val="30"/>
          <w:szCs w:val="30"/>
        </w:rPr>
        <w:t>9.1</w:t>
      </w:r>
      <w:r>
        <w:rPr>
          <w:rFonts w:hint="eastAsia"/>
          <w:color w:val="auto"/>
          <w:sz w:val="30"/>
          <w:szCs w:val="30"/>
          <w:lang w:val="en-US"/>
        </w:rPr>
        <w:t xml:space="preserve"> </w:t>
      </w:r>
      <w:r>
        <w:rPr>
          <w:rFonts w:hint="eastAsia" w:asciiTheme="minorEastAsia" w:hAnsiTheme="minorEastAsia" w:eastAsiaTheme="minorEastAsia" w:cstheme="minorEastAsia"/>
          <w:color w:val="auto"/>
          <w:sz w:val="24"/>
          <w:szCs w:val="24"/>
        </w:rPr>
        <w:t>资源和原材料</w:t>
      </w:r>
      <w:bookmarkEnd w:id="130"/>
      <w:bookmarkEnd w:id="131"/>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能源是国民经济的基础，国家把发展能源、节约能源放</w:t>
      </w:r>
      <w:r>
        <w:rPr>
          <w:rFonts w:hint="eastAsia" w:asciiTheme="minorEastAsia" w:hAnsiTheme="minorEastAsia" w:eastAsiaTheme="minorEastAsia" w:cstheme="minorEastAsia"/>
          <w:color w:val="auto"/>
          <w:spacing w:val="-6"/>
          <w:sz w:val="24"/>
          <w:szCs w:val="24"/>
        </w:rPr>
        <w:t>在十分重要的位置，大力提倡节能减排，建设节约型社会，已</w:t>
      </w:r>
      <w:r>
        <w:rPr>
          <w:rFonts w:hint="eastAsia" w:asciiTheme="minorEastAsia" w:hAnsiTheme="minorEastAsia" w:eastAsiaTheme="minorEastAsia" w:cstheme="minorEastAsia"/>
          <w:color w:val="auto"/>
          <w:spacing w:val="3"/>
          <w:sz w:val="24"/>
          <w:szCs w:val="24"/>
        </w:rPr>
        <w:t>成为国家的一项基本国策。这就是要在社会生产、建设、流</w:t>
      </w:r>
      <w:r>
        <w:rPr>
          <w:rFonts w:hint="eastAsia" w:asciiTheme="minorEastAsia" w:hAnsiTheme="minorEastAsia" w:eastAsiaTheme="minorEastAsia" w:cstheme="minorEastAsia"/>
          <w:color w:val="auto"/>
          <w:spacing w:val="-6"/>
          <w:sz w:val="24"/>
          <w:szCs w:val="24"/>
        </w:rPr>
        <w:t>通、消费等个领域，切实保护和合理利用各种资源，提高建筑使用过程中的能源效率，用有限的资源和最小的能源消费代价换取最大的经济和社会效益。为贯彻落实国家节能法规政策，本项目在节能方面应当依照有关法律、行政法规的规定，遵守</w:t>
      </w:r>
      <w:r>
        <w:rPr>
          <w:rFonts w:hint="eastAsia" w:asciiTheme="minorEastAsia" w:hAnsiTheme="minorEastAsia" w:eastAsiaTheme="minorEastAsia" w:cstheme="minorEastAsia"/>
          <w:color w:val="auto"/>
          <w:spacing w:val="3"/>
          <w:sz w:val="24"/>
          <w:szCs w:val="24"/>
        </w:rPr>
        <w:t>合理利用用能标准和节能规范，制定并组织实施节能技术措</w:t>
      </w:r>
      <w:r>
        <w:rPr>
          <w:rFonts w:hint="eastAsia" w:asciiTheme="minorEastAsia" w:hAnsiTheme="minorEastAsia" w:eastAsiaTheme="minorEastAsia" w:cstheme="minorEastAsia"/>
          <w:color w:val="auto"/>
          <w:spacing w:val="-9"/>
          <w:sz w:val="24"/>
          <w:szCs w:val="24"/>
        </w:rPr>
        <w:t>施，降低能耗。</w:t>
      </w:r>
    </w:p>
    <w:p>
      <w:pPr>
        <w:pStyle w:val="10"/>
        <w:spacing w:line="500" w:lineRule="exact"/>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4"/>
          <w:sz w:val="24"/>
          <w:szCs w:val="24"/>
        </w:rPr>
        <w:t>本项目不属于资源开发类型项目，属于污水收集处理项</w:t>
      </w:r>
      <w:r>
        <w:rPr>
          <w:rFonts w:hint="eastAsia" w:asciiTheme="minorEastAsia" w:hAnsiTheme="minorEastAsia" w:eastAsiaTheme="minorEastAsia" w:cstheme="minorEastAsia"/>
          <w:color w:val="auto"/>
          <w:spacing w:val="-6"/>
          <w:sz w:val="24"/>
          <w:szCs w:val="24"/>
        </w:rPr>
        <w:t>目，项目的建设能够将服务范围内的生活污水进行有效收集处理，减少生活污水对自然水体的污染。从本项目的角度考虑，污水为本项目可综合利用的资源，通过生活污水厂处理后，将污水变为相对清洁的水体，可消减污染物对收纳水体的污染程</w:t>
      </w:r>
      <w:r>
        <w:rPr>
          <w:rFonts w:hint="eastAsia" w:asciiTheme="minorEastAsia" w:hAnsiTheme="minorEastAsia" w:eastAsiaTheme="minorEastAsia" w:cstheme="minorEastAsia"/>
          <w:color w:val="auto"/>
          <w:spacing w:val="-3"/>
          <w:sz w:val="24"/>
          <w:szCs w:val="24"/>
        </w:rPr>
        <w:t>度。</w:t>
      </w:r>
    </w:p>
    <w:p>
      <w:pPr>
        <w:pStyle w:val="10"/>
        <w:spacing w:line="500" w:lineRule="exact"/>
        <w:ind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本项目的资源和原材料耗用主要集中在项目建设阶段。消耗的资源主要为水泥、钢材、钢管、塑料管等，项目建设过程中三材用量可以通过优化设计减少；施工过程中的用电用水消</w:t>
      </w:r>
      <w:r>
        <w:rPr>
          <w:rFonts w:hint="eastAsia" w:asciiTheme="minorEastAsia" w:hAnsiTheme="minorEastAsia" w:eastAsiaTheme="minorEastAsia" w:cstheme="minorEastAsia"/>
          <w:color w:val="auto"/>
          <w:spacing w:val="-8"/>
          <w:sz w:val="24"/>
          <w:szCs w:val="24"/>
        </w:rPr>
        <w:t>耗可以通过合理组织生产来降低。项目建成后，资源消耗主要为污水处理设施运营过程中所投加的药剂，可通过优化运营管</w:t>
      </w:r>
      <w:r>
        <w:rPr>
          <w:rFonts w:hint="eastAsia" w:asciiTheme="minorEastAsia" w:hAnsiTheme="minorEastAsia" w:eastAsiaTheme="minorEastAsia" w:cstheme="minorEastAsia"/>
          <w:color w:val="auto"/>
          <w:spacing w:val="-9"/>
          <w:sz w:val="24"/>
          <w:szCs w:val="24"/>
        </w:rPr>
        <w:t>理降低药剂投加量。</w:t>
      </w:r>
    </w:p>
    <w:p>
      <w:pPr>
        <w:pStyle w:val="2"/>
        <w:tabs>
          <w:tab w:val="left" w:pos="1548"/>
        </w:tabs>
        <w:spacing w:before="0" w:line="500" w:lineRule="exact"/>
        <w:ind w:left="0"/>
        <w:jc w:val="both"/>
        <w:rPr>
          <w:rFonts w:asciiTheme="minorEastAsia" w:hAnsiTheme="minorEastAsia" w:eastAsiaTheme="minorEastAsia" w:cstheme="minorEastAsia"/>
          <w:color w:val="auto"/>
          <w:sz w:val="24"/>
          <w:szCs w:val="24"/>
        </w:rPr>
      </w:pPr>
      <w:bookmarkStart w:id="132" w:name="9.2编制依据"/>
      <w:bookmarkEnd w:id="132"/>
      <w:bookmarkStart w:id="133" w:name="_Toc21554"/>
      <w:bookmarkStart w:id="134" w:name="_Toc6261"/>
      <w:r>
        <w:rPr>
          <w:rFonts w:hint="eastAsia"/>
          <w:color w:val="auto"/>
          <w:sz w:val="30"/>
          <w:szCs w:val="30"/>
        </w:rPr>
        <w:t>9.2</w:t>
      </w:r>
      <w:r>
        <w:rPr>
          <w:rFonts w:hint="eastAsia"/>
          <w:color w:val="auto"/>
          <w:sz w:val="30"/>
          <w:szCs w:val="30"/>
          <w:lang w:val="en-US"/>
        </w:rPr>
        <w:t xml:space="preserve"> </w:t>
      </w:r>
      <w:r>
        <w:rPr>
          <w:rFonts w:hint="eastAsia" w:asciiTheme="minorEastAsia" w:hAnsiTheme="minorEastAsia" w:eastAsiaTheme="minorEastAsia" w:cstheme="minorEastAsia"/>
          <w:color w:val="auto"/>
          <w:sz w:val="24"/>
          <w:szCs w:val="24"/>
        </w:rPr>
        <w:t>编制依据</w:t>
      </w:r>
      <w:bookmarkEnd w:id="133"/>
      <w:bookmarkEnd w:id="134"/>
    </w:p>
    <w:p>
      <w:pPr>
        <w:pStyle w:val="32"/>
        <w:numPr>
          <w:ilvl w:val="0"/>
          <w:numId w:val="0"/>
        </w:numPr>
        <w:tabs>
          <w:tab w:val="left" w:pos="1851"/>
        </w:tabs>
        <w:spacing w:line="500" w:lineRule="exact"/>
        <w:ind w:left="486"/>
        <w:jc w:val="both"/>
        <w:rPr>
          <w:rFonts w:asciiTheme="minorEastAsia" w:hAnsiTheme="minorEastAsia" w:eastAsiaTheme="minorEastAsia" w:cstheme="minorEastAsia"/>
          <w:b/>
          <w:color w:val="auto"/>
          <w:sz w:val="24"/>
          <w:szCs w:val="24"/>
        </w:rPr>
      </w:pPr>
      <w:r>
        <w:rPr>
          <w:rFonts w:hint="eastAsia" w:ascii="黑体" w:hAnsi="黑体" w:eastAsia="黑体" w:cs="黑体"/>
          <w:b/>
          <w:color w:val="auto"/>
          <w:spacing w:val="2"/>
          <w:sz w:val="28"/>
          <w:szCs w:val="28"/>
        </w:rPr>
        <w:t xml:space="preserve">9.2.1 </w:t>
      </w:r>
      <w:r>
        <w:rPr>
          <w:rFonts w:hint="eastAsia" w:asciiTheme="minorEastAsia" w:hAnsiTheme="minorEastAsia" w:eastAsiaTheme="minorEastAsia" w:cstheme="minorEastAsia"/>
          <w:b/>
          <w:color w:val="auto"/>
          <w:spacing w:val="2"/>
          <w:sz w:val="24"/>
          <w:szCs w:val="24"/>
        </w:rPr>
        <w:t>有关节能的法律</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（1）《中华人民共和国节约能源法》；</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 xml:space="preserve">（2）《中华人民共和国电力法》； </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其他相关法律法规。</w:t>
      </w:r>
    </w:p>
    <w:p>
      <w:pPr>
        <w:pStyle w:val="32"/>
        <w:numPr>
          <w:ilvl w:val="0"/>
          <w:numId w:val="0"/>
        </w:numPr>
        <w:tabs>
          <w:tab w:val="left" w:pos="1851"/>
        </w:tabs>
        <w:spacing w:line="500" w:lineRule="exact"/>
        <w:ind w:left="482"/>
        <w:jc w:val="both"/>
        <w:rPr>
          <w:rFonts w:asciiTheme="minorEastAsia" w:hAnsiTheme="minorEastAsia" w:eastAsiaTheme="minorEastAsia" w:cstheme="minorEastAsia"/>
          <w:b/>
          <w:color w:val="auto"/>
          <w:sz w:val="24"/>
          <w:szCs w:val="24"/>
        </w:rPr>
      </w:pPr>
      <w:r>
        <w:rPr>
          <w:rFonts w:hint="eastAsia" w:ascii="黑体" w:hAnsi="黑体" w:eastAsia="黑体" w:cs="黑体"/>
          <w:b/>
          <w:color w:val="auto"/>
          <w:sz w:val="24"/>
          <w:szCs w:val="24"/>
        </w:rPr>
        <w:t xml:space="preserve">9.2.2 </w:t>
      </w:r>
      <w:r>
        <w:rPr>
          <w:rFonts w:hint="eastAsia" w:asciiTheme="minorEastAsia" w:hAnsiTheme="minorEastAsia" w:eastAsiaTheme="minorEastAsia" w:cstheme="minorEastAsia"/>
          <w:b/>
          <w:color w:val="auto"/>
          <w:sz w:val="24"/>
          <w:szCs w:val="24"/>
        </w:rPr>
        <w:t>有关节能的政策</w:t>
      </w:r>
    </w:p>
    <w:p>
      <w:pPr>
        <w:pStyle w:val="10"/>
        <w:spacing w:line="500" w:lineRule="exact"/>
        <w:ind w:firstLine="44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0"/>
          <w:sz w:val="24"/>
          <w:szCs w:val="24"/>
        </w:rPr>
        <w:t>（1）《中国的能源状况与政策》；</w:t>
      </w:r>
    </w:p>
    <w:p>
      <w:pPr>
        <w:pStyle w:val="10"/>
        <w:spacing w:line="500" w:lineRule="exact"/>
        <w:ind w:firstLine="44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0"/>
          <w:sz w:val="24"/>
          <w:szCs w:val="24"/>
        </w:rPr>
        <w:t>（2）《中国能源技术政策大纲》；</w:t>
      </w:r>
    </w:p>
    <w:p>
      <w:pPr>
        <w:pStyle w:val="10"/>
        <w:spacing w:line="500" w:lineRule="exact"/>
        <w:ind w:firstLine="44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0"/>
          <w:sz w:val="24"/>
          <w:szCs w:val="24"/>
        </w:rPr>
        <w:t>（3）</w:t>
      </w:r>
      <w:r>
        <w:rPr>
          <w:rFonts w:hint="eastAsia" w:asciiTheme="minorEastAsia" w:hAnsiTheme="minorEastAsia" w:eastAsiaTheme="minorEastAsia" w:cstheme="minorEastAsia"/>
          <w:color w:val="auto"/>
          <w:sz w:val="24"/>
          <w:szCs w:val="24"/>
        </w:rPr>
        <w:t>《节能减排综合性工作方案》；</w:t>
      </w:r>
    </w:p>
    <w:p>
      <w:pPr>
        <w:pStyle w:val="10"/>
        <w:spacing w:line="500" w:lineRule="exact"/>
        <w:ind w:firstLine="44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0"/>
          <w:sz w:val="24"/>
          <w:szCs w:val="24"/>
        </w:rPr>
        <w:t>（4）《固定资产投资项目节能审查办法》</w:t>
      </w:r>
      <w:r>
        <w:rPr>
          <w:rFonts w:hint="eastAsia" w:asciiTheme="minorEastAsia" w:hAnsiTheme="minorEastAsia" w:eastAsiaTheme="minorEastAsia" w:cstheme="minorEastAsia"/>
          <w:color w:val="auto"/>
          <w:spacing w:val="-8"/>
          <w:sz w:val="24"/>
          <w:szCs w:val="24"/>
        </w:rPr>
        <w:t>（</w:t>
      </w:r>
      <w:r>
        <w:rPr>
          <w:rFonts w:hint="eastAsia" w:asciiTheme="minorEastAsia" w:hAnsiTheme="minorEastAsia" w:eastAsiaTheme="minorEastAsia" w:cstheme="minorEastAsia"/>
          <w:color w:val="auto"/>
          <w:spacing w:val="-9"/>
          <w:sz w:val="24"/>
          <w:szCs w:val="24"/>
        </w:rPr>
        <w:t>国家发展和改革委</w:t>
      </w:r>
      <w:r>
        <w:rPr>
          <w:rFonts w:hint="eastAsia" w:asciiTheme="minorEastAsia" w:hAnsiTheme="minorEastAsia" w:eastAsiaTheme="minorEastAsia" w:cstheme="minorEastAsia"/>
          <w:color w:val="auto"/>
          <w:spacing w:val="-25"/>
          <w:sz w:val="24"/>
          <w:szCs w:val="24"/>
        </w:rPr>
        <w:t xml:space="preserve">员会令第 </w:t>
      </w:r>
      <w:r>
        <w:rPr>
          <w:rFonts w:hint="eastAsia" w:asciiTheme="minorEastAsia" w:hAnsiTheme="minorEastAsia" w:eastAsiaTheme="minorEastAsia" w:cstheme="minorEastAsia"/>
          <w:color w:val="auto"/>
          <w:sz w:val="24"/>
          <w:szCs w:val="24"/>
        </w:rPr>
        <w:t>44</w:t>
      </w:r>
      <w:r>
        <w:rPr>
          <w:rFonts w:hint="eastAsia" w:asciiTheme="minorEastAsia" w:hAnsiTheme="minorEastAsia" w:eastAsiaTheme="minorEastAsia" w:cstheme="minorEastAsia"/>
          <w:color w:val="auto"/>
          <w:spacing w:val="-49"/>
          <w:sz w:val="24"/>
          <w:szCs w:val="24"/>
        </w:rPr>
        <w:t xml:space="preserve"> 号</w:t>
      </w:r>
      <w:r>
        <w:rPr>
          <w:rFonts w:hint="eastAsia" w:asciiTheme="minorEastAsia" w:hAnsiTheme="minorEastAsia" w:eastAsiaTheme="minorEastAsia" w:cstheme="minorEastAsia"/>
          <w:color w:val="auto"/>
          <w:spacing w:val="-3"/>
          <w:sz w:val="24"/>
          <w:szCs w:val="24"/>
        </w:rPr>
        <w:t>）；</w:t>
      </w:r>
    </w:p>
    <w:p>
      <w:pPr>
        <w:pStyle w:val="10"/>
        <w:spacing w:line="500" w:lineRule="exact"/>
        <w:ind w:firstLine="44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0"/>
          <w:sz w:val="24"/>
          <w:szCs w:val="24"/>
        </w:rPr>
        <w:t>（5）</w:t>
      </w:r>
      <w:r>
        <w:rPr>
          <w:rFonts w:hint="eastAsia" w:asciiTheme="minorEastAsia" w:hAnsiTheme="minorEastAsia" w:eastAsiaTheme="minorEastAsia" w:cstheme="minorEastAsia"/>
          <w:color w:val="auto"/>
          <w:sz w:val="24"/>
          <w:szCs w:val="24"/>
        </w:rPr>
        <w:t>《关于加强固定资产投资项目节能评估和审查工作的通知》（发改投资〔2006〕2787 号）；</w:t>
      </w:r>
    </w:p>
    <w:p>
      <w:pPr>
        <w:pStyle w:val="10"/>
        <w:spacing w:line="500" w:lineRule="exact"/>
        <w:ind w:firstLine="44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0"/>
          <w:sz w:val="24"/>
          <w:szCs w:val="24"/>
        </w:rPr>
        <w:t>（6）</w:t>
      </w:r>
      <w:r>
        <w:rPr>
          <w:rFonts w:hint="eastAsia" w:asciiTheme="minorEastAsia" w:hAnsiTheme="minorEastAsia" w:eastAsiaTheme="minorEastAsia" w:cstheme="minorEastAsia"/>
          <w:color w:val="auto"/>
          <w:sz w:val="24"/>
          <w:szCs w:val="24"/>
        </w:rPr>
        <w:t>《国务院关于加强节能工作的决定》（国发〔2006〕28号）；</w:t>
      </w:r>
    </w:p>
    <w:p>
      <w:pPr>
        <w:pStyle w:val="10"/>
        <w:spacing w:line="500" w:lineRule="exact"/>
        <w:ind w:firstLine="44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0"/>
          <w:sz w:val="24"/>
          <w:szCs w:val="24"/>
        </w:rPr>
        <w:t>（7）</w:t>
      </w:r>
      <w:r>
        <w:rPr>
          <w:rFonts w:hint="eastAsia" w:asciiTheme="minorEastAsia" w:hAnsiTheme="minorEastAsia" w:eastAsiaTheme="minorEastAsia" w:cstheme="minorEastAsia"/>
          <w:color w:val="auto"/>
          <w:sz w:val="24"/>
          <w:szCs w:val="24"/>
        </w:rPr>
        <w:t>《国务院关于加快发展循环经济的若干意见》（国发〔2005〕22号）；</w:t>
      </w:r>
    </w:p>
    <w:p>
      <w:pPr>
        <w:pStyle w:val="10"/>
        <w:spacing w:line="500" w:lineRule="exact"/>
        <w:ind w:firstLine="44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0"/>
          <w:sz w:val="24"/>
          <w:szCs w:val="24"/>
        </w:rPr>
        <w:t>（</w:t>
      </w:r>
      <w:r>
        <w:rPr>
          <w:rFonts w:hint="eastAsia" w:asciiTheme="minorEastAsia" w:hAnsiTheme="minorEastAsia" w:eastAsiaTheme="minorEastAsia" w:cstheme="minorEastAsia"/>
          <w:color w:val="auto"/>
          <w:spacing w:val="-10"/>
          <w:sz w:val="24"/>
          <w:szCs w:val="24"/>
          <w:lang w:val="en-US"/>
        </w:rPr>
        <w:t>8</w:t>
      </w:r>
      <w:r>
        <w:rPr>
          <w:rFonts w:hint="eastAsia" w:asciiTheme="minorEastAsia" w:hAnsiTheme="minorEastAsia" w:eastAsiaTheme="minorEastAsia" w:cstheme="minorEastAsia"/>
          <w:color w:val="auto"/>
          <w:spacing w:val="-10"/>
          <w:sz w:val="24"/>
          <w:szCs w:val="24"/>
        </w:rPr>
        <w:t>）</w:t>
      </w:r>
      <w:r>
        <w:rPr>
          <w:rFonts w:hint="eastAsia" w:asciiTheme="minorEastAsia" w:hAnsiTheme="minorEastAsia" w:eastAsiaTheme="minorEastAsia" w:cstheme="minorEastAsia"/>
          <w:color w:val="auto"/>
          <w:sz w:val="24"/>
          <w:szCs w:val="24"/>
        </w:rPr>
        <w:t>其他相关节能政策。</w:t>
      </w:r>
    </w:p>
    <w:p>
      <w:pPr>
        <w:tabs>
          <w:tab w:val="left" w:pos="1851"/>
        </w:tabs>
        <w:spacing w:line="500" w:lineRule="exact"/>
        <w:ind w:left="567"/>
        <w:jc w:val="both"/>
        <w:rPr>
          <w:rFonts w:asciiTheme="minorEastAsia" w:hAnsiTheme="minorEastAsia" w:eastAsiaTheme="minorEastAsia" w:cstheme="minorEastAsia"/>
          <w:b/>
          <w:color w:val="auto"/>
          <w:sz w:val="24"/>
          <w:szCs w:val="24"/>
        </w:rPr>
      </w:pPr>
      <w:r>
        <w:rPr>
          <w:rFonts w:hint="eastAsia" w:ascii="黑体" w:hAnsi="黑体" w:eastAsia="黑体" w:cs="黑体"/>
          <w:b/>
          <w:color w:val="auto"/>
          <w:sz w:val="28"/>
          <w:szCs w:val="28"/>
        </w:rPr>
        <w:t xml:space="preserve">9.2.3 </w:t>
      </w:r>
      <w:r>
        <w:rPr>
          <w:rFonts w:hint="eastAsia" w:asciiTheme="minorEastAsia" w:hAnsiTheme="minorEastAsia" w:eastAsiaTheme="minorEastAsia" w:cstheme="minorEastAsia"/>
          <w:b/>
          <w:color w:val="auto"/>
          <w:sz w:val="24"/>
          <w:szCs w:val="24"/>
        </w:rPr>
        <w:t>相关节能标准和规范</w:t>
      </w:r>
    </w:p>
    <w:p>
      <w:pPr>
        <w:pStyle w:val="10"/>
        <w:spacing w:line="500" w:lineRule="exact"/>
        <w:ind w:firstLine="44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0"/>
          <w:sz w:val="24"/>
          <w:szCs w:val="24"/>
        </w:rPr>
        <w:t>（1）</w:t>
      </w:r>
      <w:r>
        <w:rPr>
          <w:rFonts w:hint="eastAsia" w:asciiTheme="minorEastAsia" w:hAnsiTheme="minorEastAsia" w:eastAsiaTheme="minorEastAsia" w:cstheme="minorEastAsia"/>
          <w:color w:val="auto"/>
          <w:sz w:val="24"/>
          <w:szCs w:val="24"/>
        </w:rPr>
        <w:t>《公共建筑节能设计标准》（GB50189-2015）；</w:t>
      </w:r>
    </w:p>
    <w:p>
      <w:pPr>
        <w:pStyle w:val="10"/>
        <w:spacing w:line="500" w:lineRule="exact"/>
        <w:ind w:firstLine="44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0"/>
          <w:sz w:val="24"/>
          <w:szCs w:val="24"/>
        </w:rPr>
        <w:t>（2）</w:t>
      </w:r>
      <w:r>
        <w:rPr>
          <w:rFonts w:hint="eastAsia" w:asciiTheme="minorEastAsia" w:hAnsiTheme="minorEastAsia" w:eastAsiaTheme="minorEastAsia" w:cstheme="minorEastAsia"/>
          <w:color w:val="auto"/>
          <w:sz w:val="24"/>
          <w:szCs w:val="24"/>
        </w:rPr>
        <w:t>《用能单位能源计量器具配备和管理通则》（GB17167-2006）；</w:t>
      </w:r>
    </w:p>
    <w:p>
      <w:pPr>
        <w:pStyle w:val="10"/>
        <w:spacing w:line="500" w:lineRule="exact"/>
        <w:ind w:firstLine="44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0"/>
          <w:sz w:val="24"/>
          <w:szCs w:val="24"/>
        </w:rPr>
        <w:t>（</w:t>
      </w:r>
      <w:r>
        <w:rPr>
          <w:rFonts w:hint="eastAsia" w:asciiTheme="minorEastAsia" w:hAnsiTheme="minorEastAsia" w:eastAsiaTheme="minorEastAsia" w:cstheme="minorEastAsia"/>
          <w:color w:val="auto"/>
          <w:spacing w:val="-10"/>
          <w:sz w:val="24"/>
          <w:szCs w:val="24"/>
          <w:lang w:val="en-US"/>
        </w:rPr>
        <w:t>3</w:t>
      </w:r>
      <w:r>
        <w:rPr>
          <w:rFonts w:hint="eastAsia" w:asciiTheme="minorEastAsia" w:hAnsiTheme="minorEastAsia" w:eastAsiaTheme="minorEastAsia" w:cstheme="minorEastAsia"/>
          <w:color w:val="auto"/>
          <w:spacing w:val="-10"/>
          <w:sz w:val="24"/>
          <w:szCs w:val="24"/>
        </w:rPr>
        <w:t>）</w:t>
      </w:r>
      <w:r>
        <w:rPr>
          <w:rFonts w:hint="eastAsia" w:asciiTheme="minorEastAsia" w:hAnsiTheme="minorEastAsia" w:eastAsiaTheme="minorEastAsia" w:cstheme="minorEastAsia"/>
          <w:color w:val="auto"/>
          <w:sz w:val="24"/>
          <w:szCs w:val="24"/>
        </w:rPr>
        <w:t>其他相关标准规范。</w:t>
      </w:r>
    </w:p>
    <w:p>
      <w:pPr>
        <w:pStyle w:val="2"/>
        <w:tabs>
          <w:tab w:val="left" w:pos="1548"/>
        </w:tabs>
        <w:spacing w:before="0" w:line="500" w:lineRule="exact"/>
        <w:ind w:left="0"/>
        <w:jc w:val="both"/>
        <w:rPr>
          <w:rFonts w:asciiTheme="minorEastAsia" w:hAnsiTheme="minorEastAsia" w:eastAsiaTheme="minorEastAsia" w:cstheme="minorEastAsia"/>
          <w:color w:val="auto"/>
          <w:sz w:val="24"/>
          <w:szCs w:val="24"/>
        </w:rPr>
      </w:pPr>
      <w:bookmarkStart w:id="135" w:name="9.3污水处理站能耗特征"/>
      <w:bookmarkEnd w:id="135"/>
      <w:bookmarkStart w:id="136" w:name="_Toc8833"/>
      <w:bookmarkStart w:id="137" w:name="_Toc24256"/>
      <w:r>
        <w:rPr>
          <w:rFonts w:hint="eastAsia"/>
          <w:color w:val="auto"/>
          <w:sz w:val="30"/>
          <w:szCs w:val="30"/>
        </w:rPr>
        <w:t>9.3</w:t>
      </w:r>
      <w:r>
        <w:rPr>
          <w:rFonts w:hint="eastAsia"/>
          <w:color w:val="auto"/>
          <w:sz w:val="30"/>
          <w:szCs w:val="30"/>
          <w:lang w:val="en-US"/>
        </w:rPr>
        <w:t xml:space="preserve"> </w:t>
      </w:r>
      <w:r>
        <w:rPr>
          <w:rFonts w:hint="eastAsia" w:asciiTheme="minorEastAsia" w:hAnsiTheme="minorEastAsia" w:eastAsiaTheme="minorEastAsia" w:cstheme="minorEastAsia"/>
          <w:color w:val="auto"/>
          <w:sz w:val="24"/>
          <w:szCs w:val="24"/>
        </w:rPr>
        <w:t>污水处理站能耗特征</w:t>
      </w:r>
      <w:bookmarkEnd w:id="136"/>
      <w:bookmarkEnd w:id="137"/>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本项目农村污水处理设施</w:t>
      </w:r>
      <w:r>
        <w:rPr>
          <w:rFonts w:hint="eastAsia" w:asciiTheme="minorEastAsia" w:hAnsiTheme="minorEastAsia" w:eastAsiaTheme="minorEastAsia" w:cstheme="minorEastAsia"/>
          <w:color w:val="auto"/>
          <w:spacing w:val="-9"/>
          <w:sz w:val="24"/>
          <w:szCs w:val="24"/>
        </w:rPr>
        <w:t>点覆盖</w:t>
      </w:r>
      <w:r>
        <w:rPr>
          <w:rFonts w:hint="eastAsia" w:asciiTheme="minorEastAsia" w:hAnsiTheme="minorEastAsia" w:eastAsiaTheme="minorEastAsia" w:cstheme="minorEastAsia"/>
          <w:color w:val="auto"/>
          <w:spacing w:val="-2"/>
          <w:sz w:val="24"/>
          <w:szCs w:val="24"/>
          <w:lang w:val="en-US" w:eastAsia="zh-CN"/>
        </w:rPr>
        <w:t>1494</w:t>
      </w:r>
      <w:r>
        <w:rPr>
          <w:rFonts w:hint="eastAsia" w:asciiTheme="minorEastAsia" w:hAnsiTheme="minorEastAsia" w:eastAsiaTheme="minorEastAsia" w:cstheme="minorEastAsia"/>
          <w:color w:val="auto"/>
          <w:spacing w:val="-5"/>
          <w:sz w:val="24"/>
          <w:szCs w:val="24"/>
        </w:rPr>
        <w:t>条自然村，服务人口约</w:t>
      </w:r>
      <w:r>
        <w:rPr>
          <w:rFonts w:hint="eastAsia" w:asciiTheme="minorEastAsia" w:hAnsiTheme="minorEastAsia" w:eastAsiaTheme="minorEastAsia" w:cstheme="minorEastAsia"/>
          <w:color w:val="auto"/>
          <w:spacing w:val="-5"/>
          <w:sz w:val="24"/>
          <w:szCs w:val="24"/>
          <w:lang w:eastAsia="zh-CN"/>
        </w:rPr>
        <w:t>24.05万人</w:t>
      </w:r>
      <w:r>
        <w:rPr>
          <w:rFonts w:hint="eastAsia" w:asciiTheme="minorEastAsia" w:hAnsiTheme="minorEastAsia" w:eastAsiaTheme="minorEastAsia" w:cstheme="minorEastAsia"/>
          <w:color w:val="auto"/>
          <w:sz w:val="24"/>
          <w:szCs w:val="24"/>
        </w:rPr>
        <w:t>，大部分采用厌氧+人工湿地</w:t>
      </w:r>
      <w:r>
        <w:rPr>
          <w:rFonts w:hint="eastAsia" w:asciiTheme="minorEastAsia" w:hAnsiTheme="minorEastAsia" w:eastAsiaTheme="minorEastAsia" w:cstheme="minorEastAsia"/>
          <w:color w:val="auto"/>
          <w:sz w:val="24"/>
          <w:szCs w:val="24"/>
          <w:lang w:eastAsia="zh-CN"/>
        </w:rPr>
        <w:t>、</w:t>
      </w:r>
      <w:r>
        <w:rPr>
          <w:rFonts w:hint="eastAsia" w:asciiTheme="minorEastAsia" w:hAnsiTheme="minorEastAsia" w:eastAsiaTheme="minorEastAsia" w:cstheme="minorEastAsia"/>
          <w:color w:val="auto"/>
          <w:sz w:val="24"/>
          <w:szCs w:val="24"/>
          <w:lang w:val="en-US" w:eastAsia="zh-CN"/>
        </w:rPr>
        <w:t>资源化利用</w:t>
      </w:r>
      <w:r>
        <w:rPr>
          <w:rFonts w:hint="eastAsia" w:asciiTheme="minorEastAsia" w:hAnsiTheme="minorEastAsia" w:eastAsiaTheme="minorEastAsia" w:cstheme="minorEastAsia"/>
          <w:color w:val="auto"/>
          <w:sz w:val="24"/>
          <w:szCs w:val="24"/>
        </w:rPr>
        <w:t>的方式</w:t>
      </w:r>
      <w:r>
        <w:rPr>
          <w:rFonts w:hint="eastAsia" w:asciiTheme="minorEastAsia" w:hAnsiTheme="minorEastAsia" w:eastAsiaTheme="minorEastAsia" w:cstheme="minorEastAsia"/>
          <w:color w:val="auto"/>
          <w:spacing w:val="-6"/>
          <w:sz w:val="24"/>
          <w:szCs w:val="24"/>
        </w:rPr>
        <w:t>处置，部分占地面积较大的，可用地面积较少的，考虑</w:t>
      </w:r>
      <w:r>
        <w:rPr>
          <w:rFonts w:hint="eastAsia" w:asciiTheme="minorEastAsia" w:hAnsiTheme="minorEastAsia" w:eastAsiaTheme="minorEastAsia" w:cstheme="minorEastAsia"/>
          <w:color w:val="auto"/>
          <w:spacing w:val="23"/>
          <w:sz w:val="24"/>
          <w:szCs w:val="24"/>
        </w:rPr>
        <w:t>采用</w:t>
      </w:r>
      <w:r>
        <w:rPr>
          <w:rFonts w:hint="eastAsia" w:asciiTheme="minorEastAsia" w:hAnsiTheme="minorEastAsia" w:eastAsiaTheme="minorEastAsia" w:cstheme="minorEastAsia"/>
          <w:color w:val="auto"/>
          <w:spacing w:val="-2"/>
          <w:sz w:val="24"/>
          <w:szCs w:val="24"/>
        </w:rPr>
        <w:t>A2O</w:t>
      </w:r>
      <w:r>
        <w:rPr>
          <w:rFonts w:hint="eastAsia" w:asciiTheme="minorEastAsia" w:hAnsiTheme="minorEastAsia" w:eastAsiaTheme="minorEastAsia" w:cstheme="minorEastAsia"/>
          <w:color w:val="auto"/>
          <w:spacing w:val="-18"/>
          <w:sz w:val="24"/>
          <w:szCs w:val="24"/>
        </w:rPr>
        <w:t>一体化设备的污水处理方式。</w:t>
      </w:r>
    </w:p>
    <w:p>
      <w:pPr>
        <w:pStyle w:val="10"/>
        <w:spacing w:line="500" w:lineRule="exact"/>
        <w:ind w:firstLine="432"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2"/>
          <w:sz w:val="24"/>
          <w:szCs w:val="24"/>
        </w:rPr>
        <w:t>污水处理的能耗特征阶段主要分为预处理，生化处理</w:t>
      </w:r>
      <w:r>
        <w:rPr>
          <w:rFonts w:hint="eastAsia" w:asciiTheme="minorEastAsia" w:hAnsiTheme="minorEastAsia" w:eastAsiaTheme="minorEastAsia" w:cstheme="minorEastAsia"/>
          <w:color w:val="auto"/>
          <w:spacing w:val="-12"/>
          <w:sz w:val="24"/>
          <w:szCs w:val="24"/>
          <w:lang w:val="en-US" w:eastAsia="zh-CN"/>
        </w:rPr>
        <w:t>等</w:t>
      </w:r>
      <w:r>
        <w:rPr>
          <w:rFonts w:hint="eastAsia" w:asciiTheme="minorEastAsia" w:hAnsiTheme="minorEastAsia" w:eastAsiaTheme="minorEastAsia" w:cstheme="minorEastAsia"/>
          <w:color w:val="auto"/>
          <w:spacing w:val="-9"/>
          <w:sz w:val="24"/>
          <w:szCs w:val="24"/>
        </w:rPr>
        <w:t>环节。</w:t>
      </w:r>
    </w:p>
    <w:p>
      <w:pPr>
        <w:pStyle w:val="2"/>
        <w:tabs>
          <w:tab w:val="left" w:pos="1548"/>
        </w:tabs>
        <w:spacing w:before="0" w:line="500" w:lineRule="exact"/>
        <w:ind w:left="0"/>
        <w:jc w:val="both"/>
        <w:rPr>
          <w:rFonts w:asciiTheme="minorEastAsia" w:hAnsiTheme="minorEastAsia" w:eastAsiaTheme="minorEastAsia" w:cstheme="minorEastAsia"/>
          <w:color w:val="auto"/>
          <w:sz w:val="24"/>
          <w:szCs w:val="24"/>
        </w:rPr>
      </w:pPr>
      <w:bookmarkStart w:id="138" w:name="_Toc23555"/>
      <w:r>
        <w:rPr>
          <w:rFonts w:hint="eastAsia"/>
          <w:color w:val="auto"/>
          <w:sz w:val="30"/>
          <w:szCs w:val="30"/>
        </w:rPr>
        <w:t>9.4</w:t>
      </w:r>
      <w:r>
        <w:rPr>
          <w:rFonts w:hint="eastAsia"/>
          <w:color w:val="auto"/>
          <w:sz w:val="30"/>
          <w:szCs w:val="30"/>
          <w:lang w:val="en-US"/>
        </w:rPr>
        <w:t xml:space="preserve"> </w:t>
      </w:r>
      <w:r>
        <w:rPr>
          <w:rFonts w:hint="eastAsia" w:asciiTheme="minorEastAsia" w:hAnsiTheme="minorEastAsia" w:eastAsiaTheme="minorEastAsia" w:cstheme="minorEastAsia"/>
          <w:color w:val="auto"/>
          <w:sz w:val="24"/>
          <w:szCs w:val="24"/>
        </w:rPr>
        <w:t>预处理</w:t>
      </w:r>
      <w:bookmarkEnd w:id="138"/>
    </w:p>
    <w:p>
      <w:pPr>
        <w:pStyle w:val="10"/>
        <w:spacing w:line="500" w:lineRule="exact"/>
        <w:ind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用于污水提升和混合的泵系统是预处理单元中的一个高能耗环节。泵的功率，电动机，泵使用的驱动系统以及流量控制方法是影响泵效率的主要因素。如果实际操作条件不能满足泵的最佳效率点，则泵内液体的湍流，摩擦和回流会导致泵系统的效率降低和扬程降低。预处理装置的主要耗能设备包括污水</w:t>
      </w:r>
      <w:r>
        <w:rPr>
          <w:rFonts w:hint="eastAsia" w:asciiTheme="minorEastAsia" w:hAnsiTheme="minorEastAsia" w:eastAsiaTheme="minorEastAsia" w:cstheme="minorEastAsia"/>
          <w:color w:val="auto"/>
          <w:spacing w:val="-9"/>
          <w:sz w:val="24"/>
          <w:szCs w:val="24"/>
        </w:rPr>
        <w:t>提升泵，冲洗泵等。</w:t>
      </w:r>
    </w:p>
    <w:p>
      <w:pPr>
        <w:pStyle w:val="10"/>
        <w:spacing w:line="500" w:lineRule="exact"/>
        <w:ind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预处理过程的能耗主要来自污水提升泵，其能耗占整个预</w:t>
      </w:r>
      <w:r>
        <w:rPr>
          <w:rFonts w:hint="eastAsia" w:asciiTheme="minorEastAsia" w:hAnsiTheme="minorEastAsia" w:eastAsiaTheme="minorEastAsia" w:cstheme="minorEastAsia"/>
          <w:color w:val="auto"/>
          <w:spacing w:val="2"/>
          <w:sz w:val="24"/>
          <w:szCs w:val="24"/>
        </w:rPr>
        <w:t>处理过程能耗的</w:t>
      </w:r>
      <w:r>
        <w:rPr>
          <w:rFonts w:hint="eastAsia" w:asciiTheme="minorEastAsia" w:hAnsiTheme="minorEastAsia" w:eastAsiaTheme="minorEastAsia" w:cstheme="minorEastAsia"/>
          <w:color w:val="auto"/>
          <w:sz w:val="24"/>
          <w:szCs w:val="24"/>
        </w:rPr>
        <w:t>95％。目前，大多数污水处理厂在选择泵时</w:t>
      </w:r>
      <w:r>
        <w:rPr>
          <w:rFonts w:hint="eastAsia" w:asciiTheme="minorEastAsia" w:hAnsiTheme="minorEastAsia" w:eastAsiaTheme="minorEastAsia" w:cstheme="minorEastAsia"/>
          <w:color w:val="auto"/>
          <w:spacing w:val="-6"/>
          <w:sz w:val="24"/>
          <w:szCs w:val="24"/>
        </w:rPr>
        <w:t>都选择了更高的设备扬程，这导致了高能耗。设计泵压头时，</w:t>
      </w:r>
      <w:r>
        <w:rPr>
          <w:rFonts w:hint="eastAsia" w:asciiTheme="minorEastAsia" w:hAnsiTheme="minorEastAsia" w:eastAsiaTheme="minorEastAsia" w:cstheme="minorEastAsia"/>
          <w:color w:val="auto"/>
          <w:spacing w:val="-8"/>
          <w:sz w:val="24"/>
          <w:szCs w:val="24"/>
        </w:rPr>
        <w:t>应使用液压系统精确计算污水处理系统的总水位。此外，城镇</w:t>
      </w:r>
      <w:r>
        <w:rPr>
          <w:rFonts w:hint="eastAsia" w:asciiTheme="minorEastAsia" w:hAnsiTheme="minorEastAsia" w:eastAsiaTheme="minorEastAsia" w:cstheme="minorEastAsia"/>
          <w:color w:val="auto"/>
          <w:spacing w:val="-6"/>
          <w:sz w:val="24"/>
          <w:szCs w:val="24"/>
        </w:rPr>
        <w:t>中的一些污水处理厂没有调整进入该厂的水量以实现连续的水流入，这导致泵的频繁启停，导致泵房的能耗很高。在选择水泵机组的基础上，根据吸水特性，如变频泵和定速泵的组合，合理地调整水泵的运行分组，以在安全运行范围内实现高水位运行，这也有利于节能。此外，定期对水泵单元进行大修和维护，及时更换轴承和叶轮，并通过减少表面粗糙度实现水泵的</w:t>
      </w:r>
      <w:r>
        <w:rPr>
          <w:rFonts w:hint="eastAsia" w:asciiTheme="minorEastAsia" w:hAnsiTheme="minorEastAsia" w:eastAsiaTheme="minorEastAsia" w:cstheme="minorEastAsia"/>
          <w:color w:val="auto"/>
          <w:spacing w:val="-9"/>
          <w:sz w:val="24"/>
          <w:szCs w:val="24"/>
        </w:rPr>
        <w:t>连续高效运行。</w:t>
      </w:r>
    </w:p>
    <w:p>
      <w:pPr>
        <w:pStyle w:val="2"/>
        <w:tabs>
          <w:tab w:val="left" w:pos="1548"/>
        </w:tabs>
        <w:spacing w:before="0" w:line="500" w:lineRule="exact"/>
        <w:ind w:left="0"/>
        <w:jc w:val="both"/>
        <w:rPr>
          <w:rFonts w:asciiTheme="minorEastAsia" w:hAnsiTheme="minorEastAsia" w:eastAsiaTheme="minorEastAsia" w:cstheme="minorEastAsia"/>
          <w:color w:val="auto"/>
          <w:sz w:val="24"/>
          <w:szCs w:val="24"/>
        </w:rPr>
      </w:pPr>
      <w:bookmarkStart w:id="139" w:name="_Toc29243"/>
      <w:r>
        <w:rPr>
          <w:rFonts w:hint="eastAsia"/>
          <w:color w:val="auto"/>
          <w:sz w:val="30"/>
          <w:szCs w:val="30"/>
        </w:rPr>
        <w:t>9.5</w:t>
      </w:r>
      <w:r>
        <w:rPr>
          <w:rFonts w:hint="eastAsia"/>
          <w:color w:val="auto"/>
          <w:sz w:val="30"/>
          <w:szCs w:val="30"/>
          <w:lang w:val="en-US"/>
        </w:rPr>
        <w:t xml:space="preserve"> </w:t>
      </w:r>
      <w:r>
        <w:rPr>
          <w:rFonts w:hint="eastAsia" w:asciiTheme="minorEastAsia" w:hAnsiTheme="minorEastAsia" w:eastAsiaTheme="minorEastAsia" w:cstheme="minorEastAsia"/>
          <w:color w:val="auto"/>
          <w:sz w:val="24"/>
          <w:szCs w:val="24"/>
        </w:rPr>
        <w:t>生化处理</w:t>
      </w:r>
      <w:bookmarkEnd w:id="139"/>
    </w:p>
    <w:p>
      <w:pPr>
        <w:pStyle w:val="10"/>
        <w:spacing w:line="500" w:lineRule="exact"/>
        <w:ind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生化处理中的曝气是处理单元的关键能耗部分，约占总能</w:t>
      </w:r>
      <w:r>
        <w:rPr>
          <w:rFonts w:hint="eastAsia" w:asciiTheme="minorEastAsia" w:hAnsiTheme="minorEastAsia" w:eastAsiaTheme="minorEastAsia" w:cstheme="minorEastAsia"/>
          <w:color w:val="auto"/>
          <w:spacing w:val="8"/>
          <w:sz w:val="24"/>
          <w:szCs w:val="24"/>
        </w:rPr>
        <w:t>耗的</w:t>
      </w:r>
      <w:r>
        <w:rPr>
          <w:rFonts w:hint="eastAsia" w:asciiTheme="minorEastAsia" w:hAnsiTheme="minorEastAsia" w:eastAsiaTheme="minorEastAsia" w:cstheme="minorEastAsia"/>
          <w:color w:val="auto"/>
          <w:sz w:val="24"/>
          <w:szCs w:val="24"/>
        </w:rPr>
        <w:t>50％。曝气系统的能耗受好氧细菌数量，进水量，出水</w:t>
      </w:r>
      <w:r>
        <w:rPr>
          <w:rFonts w:hint="eastAsia" w:asciiTheme="minorEastAsia" w:hAnsiTheme="minorEastAsia" w:eastAsiaTheme="minorEastAsia" w:cstheme="minorEastAsia"/>
          <w:color w:val="auto"/>
          <w:spacing w:val="-6"/>
          <w:sz w:val="24"/>
          <w:szCs w:val="24"/>
        </w:rPr>
        <w:t>水质，处理技术，处理规模和使用寿命等因素的影响。生化处理单元的主要耗能设备包括鼓风机，污泥回流泵，螺旋桨，搅</w:t>
      </w:r>
      <w:r>
        <w:rPr>
          <w:rFonts w:hint="eastAsia" w:asciiTheme="minorEastAsia" w:hAnsiTheme="minorEastAsia" w:eastAsiaTheme="minorEastAsia" w:cstheme="minorEastAsia"/>
          <w:color w:val="auto"/>
          <w:spacing w:val="-7"/>
          <w:sz w:val="24"/>
          <w:szCs w:val="24"/>
        </w:rPr>
        <w:t>拌器等。</w:t>
      </w:r>
    </w:p>
    <w:p>
      <w:pPr>
        <w:pStyle w:val="32"/>
        <w:numPr>
          <w:ilvl w:val="0"/>
          <w:numId w:val="0"/>
        </w:numPr>
        <w:tabs>
          <w:tab w:val="left" w:pos="2285"/>
        </w:tabs>
        <w:spacing w:line="500" w:lineRule="exact"/>
        <w:ind w:left="48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（1）根据日高峰或小时高峰所需的溶解氧量合理设置曝</w:t>
      </w:r>
      <w:r>
        <w:rPr>
          <w:rFonts w:hint="eastAsia" w:asciiTheme="minorEastAsia" w:hAnsiTheme="minorEastAsia" w:eastAsiaTheme="minorEastAsia" w:cstheme="minorEastAsia"/>
          <w:color w:val="auto"/>
          <w:spacing w:val="-6"/>
          <w:sz w:val="24"/>
          <w:szCs w:val="24"/>
        </w:rPr>
        <w:t>气系统的规模。当溶解氧不足时，有效控制通气率可使活性污</w:t>
      </w:r>
      <w:r>
        <w:rPr>
          <w:rFonts w:hint="eastAsia" w:asciiTheme="minorEastAsia" w:hAnsiTheme="minorEastAsia" w:eastAsiaTheme="minorEastAsia" w:cstheme="minorEastAsia"/>
          <w:color w:val="auto"/>
          <w:spacing w:val="-10"/>
          <w:sz w:val="24"/>
          <w:szCs w:val="24"/>
        </w:rPr>
        <w:t>泥在一段时间内正常工作。影响污水水质；</w:t>
      </w:r>
    </w:p>
    <w:p>
      <w:pPr>
        <w:pStyle w:val="32"/>
        <w:numPr>
          <w:ilvl w:val="0"/>
          <w:numId w:val="0"/>
        </w:numPr>
        <w:tabs>
          <w:tab w:val="left" w:pos="2285"/>
        </w:tabs>
        <w:spacing w:line="500" w:lineRule="exact"/>
        <w:ind w:left="474"/>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0"/>
          <w:sz w:val="24"/>
          <w:szCs w:val="24"/>
        </w:rPr>
        <w:t>（2）</w:t>
      </w:r>
      <w:r>
        <w:rPr>
          <w:rFonts w:hint="eastAsia" w:asciiTheme="minorEastAsia" w:hAnsiTheme="minorEastAsia" w:eastAsiaTheme="minorEastAsia" w:cstheme="minorEastAsia"/>
          <w:color w:val="auto"/>
          <w:spacing w:val="-3"/>
          <w:sz w:val="24"/>
          <w:szCs w:val="24"/>
        </w:rPr>
        <w:t>在选择曝气设备时，要综合考虑供氧能力和调节能</w:t>
      </w:r>
      <w:r>
        <w:rPr>
          <w:rFonts w:hint="eastAsia" w:asciiTheme="minorEastAsia" w:hAnsiTheme="minorEastAsia" w:eastAsiaTheme="minorEastAsia" w:cstheme="minorEastAsia"/>
          <w:color w:val="auto"/>
          <w:spacing w:val="-10"/>
          <w:sz w:val="24"/>
          <w:szCs w:val="24"/>
        </w:rPr>
        <w:t>力，以提高曝气系统的实际曝气效率；</w:t>
      </w:r>
    </w:p>
    <w:p>
      <w:pPr>
        <w:pStyle w:val="32"/>
        <w:numPr>
          <w:ilvl w:val="0"/>
          <w:numId w:val="0"/>
        </w:numPr>
        <w:tabs>
          <w:tab w:val="left" w:pos="2271"/>
        </w:tabs>
        <w:spacing w:line="500" w:lineRule="exact"/>
        <w:ind w:left="46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0"/>
          <w:sz w:val="24"/>
          <w:szCs w:val="24"/>
        </w:rPr>
        <w:t>（3）采用变频调速系统控制风量；</w:t>
      </w:r>
    </w:p>
    <w:p>
      <w:pPr>
        <w:pStyle w:val="32"/>
        <w:numPr>
          <w:ilvl w:val="0"/>
          <w:numId w:val="0"/>
        </w:numPr>
        <w:tabs>
          <w:tab w:val="left" w:pos="2285"/>
        </w:tabs>
        <w:spacing w:line="500" w:lineRule="exact"/>
        <w:ind w:left="474"/>
        <w:jc w:val="both"/>
        <w:rPr>
          <w:rFonts w:asciiTheme="minorEastAsia" w:hAnsiTheme="minorEastAsia" w:eastAsiaTheme="minorEastAsia" w:cstheme="minorEastAsia"/>
          <w:color w:val="auto"/>
          <w:spacing w:val="-10"/>
          <w:sz w:val="24"/>
          <w:szCs w:val="24"/>
        </w:rPr>
      </w:pPr>
      <w:r>
        <w:rPr>
          <w:rFonts w:hint="eastAsia" w:asciiTheme="minorEastAsia" w:hAnsiTheme="minorEastAsia" w:eastAsiaTheme="minorEastAsia" w:cstheme="minorEastAsia"/>
          <w:color w:val="auto"/>
          <w:spacing w:val="-10"/>
          <w:sz w:val="24"/>
          <w:szCs w:val="24"/>
        </w:rPr>
        <w:t>（4）设计的反应器结构应根据氧气的传递规律进行设计。</w:t>
      </w:r>
    </w:p>
    <w:p>
      <w:pPr>
        <w:pStyle w:val="2"/>
        <w:tabs>
          <w:tab w:val="left" w:pos="1548"/>
        </w:tabs>
        <w:spacing w:before="0" w:line="500" w:lineRule="exact"/>
        <w:ind w:left="0"/>
        <w:jc w:val="both"/>
        <w:rPr>
          <w:rFonts w:asciiTheme="minorEastAsia" w:hAnsiTheme="minorEastAsia" w:eastAsiaTheme="minorEastAsia" w:cstheme="minorEastAsia"/>
          <w:color w:val="auto"/>
          <w:sz w:val="24"/>
          <w:szCs w:val="24"/>
        </w:rPr>
      </w:pPr>
      <w:bookmarkStart w:id="140" w:name="_Toc19022"/>
      <w:r>
        <w:rPr>
          <w:rFonts w:hint="eastAsia"/>
          <w:color w:val="auto"/>
          <w:sz w:val="30"/>
          <w:szCs w:val="30"/>
        </w:rPr>
        <w:t>9.6</w:t>
      </w:r>
      <w:r>
        <w:rPr>
          <w:rFonts w:hint="eastAsia" w:asciiTheme="minorEastAsia" w:hAnsiTheme="minorEastAsia" w:eastAsiaTheme="minorEastAsia" w:cstheme="minorEastAsia"/>
          <w:color w:val="auto"/>
          <w:sz w:val="24"/>
          <w:szCs w:val="24"/>
          <w:lang w:val="en-US"/>
        </w:rPr>
        <w:t xml:space="preserve"> </w:t>
      </w:r>
      <w:r>
        <w:rPr>
          <w:rFonts w:hint="eastAsia" w:asciiTheme="minorEastAsia" w:hAnsiTheme="minorEastAsia" w:eastAsiaTheme="minorEastAsia" w:cstheme="minorEastAsia"/>
          <w:color w:val="auto"/>
          <w:sz w:val="24"/>
          <w:szCs w:val="24"/>
        </w:rPr>
        <w:t>污泥处理</w:t>
      </w:r>
      <w:bookmarkEnd w:id="140"/>
    </w:p>
    <w:p>
      <w:pPr>
        <w:pStyle w:val="10"/>
        <w:spacing w:line="500" w:lineRule="exact"/>
        <w:ind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常用的污泥处理工艺包括污泥的增稠，消化，脱水，稳定化等。污泥处理系统的能耗与污泥量、污泥泵的选择和运行以及水的含水量等因素有关。污泥、污水处理厂各处理环节采用</w:t>
      </w:r>
      <w:r>
        <w:rPr>
          <w:rFonts w:hint="eastAsia" w:asciiTheme="minorEastAsia" w:hAnsiTheme="minorEastAsia" w:eastAsiaTheme="minorEastAsia" w:cstheme="minorEastAsia"/>
          <w:color w:val="auto"/>
          <w:spacing w:val="-10"/>
          <w:sz w:val="24"/>
          <w:szCs w:val="24"/>
        </w:rPr>
        <w:t>改进的工艺的主要耗能设备：</w:t>
      </w:r>
    </w:p>
    <w:p>
      <w:pPr>
        <w:pStyle w:val="32"/>
        <w:numPr>
          <w:ilvl w:val="0"/>
          <w:numId w:val="70"/>
        </w:numPr>
        <w:tabs>
          <w:tab w:val="left" w:pos="2285"/>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预处理环节包括污水提升泵，冲洗泵，事故污水泵</w:t>
      </w:r>
      <w:r>
        <w:rPr>
          <w:rFonts w:hint="eastAsia" w:asciiTheme="minorEastAsia" w:hAnsiTheme="minorEastAsia" w:eastAsiaTheme="minorEastAsia" w:cstheme="minorEastAsia"/>
          <w:color w:val="auto"/>
          <w:spacing w:val="-8"/>
          <w:sz w:val="24"/>
          <w:szCs w:val="24"/>
        </w:rPr>
        <w:t>和鼓风机；</w:t>
      </w:r>
    </w:p>
    <w:p>
      <w:pPr>
        <w:pStyle w:val="32"/>
        <w:numPr>
          <w:ilvl w:val="0"/>
          <w:numId w:val="70"/>
        </w:numPr>
        <w:tabs>
          <w:tab w:val="left" w:pos="2285"/>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生化处理环节是潜水推进器，好氧至低氧回流泵和</w:t>
      </w:r>
      <w:r>
        <w:rPr>
          <w:rFonts w:hint="eastAsia" w:asciiTheme="minorEastAsia" w:hAnsiTheme="minorEastAsia" w:eastAsiaTheme="minorEastAsia" w:cstheme="minorEastAsia"/>
          <w:color w:val="auto"/>
          <w:spacing w:val="-7"/>
          <w:sz w:val="24"/>
          <w:szCs w:val="24"/>
        </w:rPr>
        <w:t>鼓风机；</w:t>
      </w:r>
    </w:p>
    <w:p>
      <w:pPr>
        <w:pStyle w:val="32"/>
        <w:numPr>
          <w:ilvl w:val="0"/>
          <w:numId w:val="70"/>
        </w:numPr>
        <w:tabs>
          <w:tab w:val="left" w:pos="2271"/>
        </w:tabs>
        <w:spacing w:line="500" w:lineRule="exact"/>
        <w:ind w:left="0" w:firstLine="44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0"/>
          <w:sz w:val="24"/>
          <w:szCs w:val="24"/>
        </w:rPr>
        <w:t>消毒和尾水处理环节是尾水提升泵；</w:t>
      </w:r>
    </w:p>
    <w:p>
      <w:pPr>
        <w:pStyle w:val="32"/>
        <w:numPr>
          <w:ilvl w:val="0"/>
          <w:numId w:val="70"/>
        </w:numPr>
        <w:tabs>
          <w:tab w:val="left" w:pos="2285"/>
        </w:tabs>
        <w:spacing w:line="500" w:lineRule="exact"/>
        <w:ind w:left="0"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污泥处理过程包括污泥干燥机，给水泵，榨水泵和</w:t>
      </w:r>
      <w:r>
        <w:rPr>
          <w:rFonts w:hint="eastAsia" w:asciiTheme="minorEastAsia" w:hAnsiTheme="minorEastAsia" w:eastAsiaTheme="minorEastAsia" w:cstheme="minorEastAsia"/>
          <w:color w:val="auto"/>
          <w:spacing w:val="-6"/>
          <w:sz w:val="24"/>
          <w:szCs w:val="24"/>
        </w:rPr>
        <w:t>洗涤泵。采用微曝气氧化沟工艺处理生活污水和工业废水混合污水的污水处理厂。经分析预处理，生化处理和污泥处理单元</w:t>
      </w:r>
      <w:r>
        <w:rPr>
          <w:rFonts w:hint="eastAsia" w:asciiTheme="minorEastAsia" w:hAnsiTheme="minorEastAsia" w:eastAsiaTheme="minorEastAsia" w:cstheme="minorEastAsia"/>
          <w:color w:val="auto"/>
          <w:spacing w:val="3"/>
          <w:sz w:val="24"/>
          <w:szCs w:val="24"/>
        </w:rPr>
        <w:t>的设备能耗，结果表明，曝气风机，污泥提升泵，污泥回流泵，格栅净化机，带式压滤机和反冲洗泵的运行能耗分别占</w:t>
      </w:r>
      <w:r>
        <w:rPr>
          <w:rFonts w:hint="eastAsia" w:asciiTheme="minorEastAsia" w:hAnsiTheme="minorEastAsia" w:eastAsiaTheme="minorEastAsia" w:cstheme="minorEastAsia"/>
          <w:color w:val="auto"/>
          <w:spacing w:val="-11"/>
          <w:sz w:val="24"/>
          <w:szCs w:val="24"/>
        </w:rPr>
        <w:t>42％，30％，7％，5％，3</w:t>
      </w:r>
      <w:r>
        <w:rPr>
          <w:rFonts w:hint="eastAsia" w:asciiTheme="minorEastAsia" w:hAnsiTheme="minorEastAsia" w:eastAsiaTheme="minorEastAsia" w:cstheme="minorEastAsia"/>
          <w:color w:val="auto"/>
          <w:spacing w:val="-19"/>
          <w:sz w:val="24"/>
          <w:szCs w:val="24"/>
        </w:rPr>
        <w:t>％，分别为</w:t>
      </w:r>
      <w:r>
        <w:rPr>
          <w:rFonts w:hint="eastAsia" w:asciiTheme="minorEastAsia" w:hAnsiTheme="minorEastAsia" w:eastAsiaTheme="minorEastAsia" w:cstheme="minorEastAsia"/>
          <w:color w:val="auto"/>
          <w:spacing w:val="-7"/>
          <w:sz w:val="24"/>
          <w:szCs w:val="24"/>
        </w:rPr>
        <w:t>2</w:t>
      </w:r>
      <w:r>
        <w:rPr>
          <w:rFonts w:hint="eastAsia" w:asciiTheme="minorEastAsia" w:hAnsiTheme="minorEastAsia" w:eastAsiaTheme="minorEastAsia" w:cstheme="minorEastAsia"/>
          <w:color w:val="auto"/>
          <w:spacing w:val="-4"/>
          <w:sz w:val="24"/>
          <w:szCs w:val="24"/>
        </w:rPr>
        <w:t>％。</w:t>
      </w:r>
    </w:p>
    <w:p>
      <w:pPr>
        <w:pStyle w:val="10"/>
        <w:spacing w:line="500" w:lineRule="exact"/>
        <w:ind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在污泥处理过程中，污泥脱水是关键的能耗单位。通过添加高效絮凝剂可以达到降低能耗的目的，可以提高污泥的沉降性能。过热和热电联产系统利用厌氧消化产生的沼气，可以为污水处理厂的其他单元提供能量并实现能源效益。污泥的垂直</w:t>
      </w:r>
      <w:r>
        <w:rPr>
          <w:rFonts w:hint="eastAsia" w:asciiTheme="minorEastAsia" w:hAnsiTheme="minorEastAsia" w:eastAsiaTheme="minorEastAsia" w:cstheme="minorEastAsia"/>
          <w:color w:val="auto"/>
          <w:spacing w:val="3"/>
          <w:sz w:val="24"/>
          <w:szCs w:val="24"/>
        </w:rPr>
        <w:t>高干脱水，污泥囊式厌氧消化，污泥除砂预处理，高效热解</w:t>
      </w:r>
      <w:r>
        <w:rPr>
          <w:rFonts w:hint="eastAsia" w:asciiTheme="minorEastAsia" w:hAnsiTheme="minorEastAsia" w:eastAsiaTheme="minorEastAsia" w:cstheme="minorEastAsia"/>
          <w:color w:val="auto"/>
          <w:spacing w:val="-6"/>
          <w:sz w:val="24"/>
          <w:szCs w:val="24"/>
        </w:rPr>
        <w:t>炉，四轴大容量叶片干燥等措施可以在一定程度上实现节能。</w:t>
      </w:r>
      <w:r>
        <w:rPr>
          <w:rFonts w:hint="eastAsia" w:asciiTheme="minorEastAsia" w:hAnsiTheme="minorEastAsia" w:eastAsiaTheme="minorEastAsia" w:cstheme="minorEastAsia"/>
          <w:color w:val="auto"/>
          <w:spacing w:val="-8"/>
          <w:sz w:val="24"/>
          <w:szCs w:val="24"/>
        </w:rPr>
        <w:t>这些措施可以将污泥转化为燃气，从而实现资源利用。另外，</w:t>
      </w:r>
      <w:r>
        <w:rPr>
          <w:rFonts w:hint="eastAsia" w:asciiTheme="minorEastAsia" w:hAnsiTheme="minorEastAsia" w:eastAsiaTheme="minorEastAsia" w:cstheme="minorEastAsia"/>
          <w:color w:val="auto"/>
          <w:spacing w:val="-6"/>
          <w:sz w:val="24"/>
          <w:szCs w:val="24"/>
        </w:rPr>
        <w:t>诸如污泥的热水解之类的预处理方法可以减少污泥的体积，同时增加污泥中易于生物降解的物质的比例，从而增加沼气的产</w:t>
      </w:r>
      <w:r>
        <w:rPr>
          <w:rFonts w:hint="eastAsia" w:asciiTheme="minorEastAsia" w:hAnsiTheme="minorEastAsia" w:eastAsiaTheme="minorEastAsia" w:cstheme="minorEastAsia"/>
          <w:color w:val="auto"/>
          <w:spacing w:val="-3"/>
          <w:sz w:val="24"/>
          <w:szCs w:val="24"/>
        </w:rPr>
        <w:t>生。</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项目节能评估</w:t>
      </w:r>
      <w:r>
        <w:rPr>
          <w:rFonts w:hint="eastAsia" w:asciiTheme="minorEastAsia" w:hAnsiTheme="minorEastAsia" w:eastAsiaTheme="minorEastAsia" w:cstheme="minorEastAsia"/>
          <w:color w:val="auto"/>
          <w:spacing w:val="-5"/>
          <w:sz w:val="24"/>
          <w:szCs w:val="24"/>
        </w:rPr>
        <w:t>根据《城市污水处理工程项目建设标准》</w:t>
      </w:r>
      <w:r>
        <w:rPr>
          <w:rFonts w:hint="eastAsia" w:asciiTheme="minorEastAsia" w:hAnsiTheme="minorEastAsia" w:eastAsiaTheme="minorEastAsia" w:cstheme="minorEastAsia"/>
          <w:color w:val="auto"/>
          <w:spacing w:val="-3"/>
          <w:sz w:val="24"/>
          <w:szCs w:val="24"/>
        </w:rPr>
        <w:t>（</w:t>
      </w:r>
      <w:r>
        <w:rPr>
          <w:rFonts w:hint="eastAsia" w:asciiTheme="minorEastAsia" w:hAnsiTheme="minorEastAsia" w:eastAsiaTheme="minorEastAsia" w:cstheme="minorEastAsia"/>
          <w:color w:val="auto"/>
          <w:spacing w:val="-5"/>
          <w:sz w:val="24"/>
          <w:szCs w:val="24"/>
        </w:rPr>
        <w:t>建标〔</w:t>
      </w:r>
      <w:r>
        <w:rPr>
          <w:rFonts w:hint="eastAsia" w:asciiTheme="minorEastAsia" w:hAnsiTheme="minorEastAsia" w:eastAsiaTheme="minorEastAsia" w:cstheme="minorEastAsia"/>
          <w:color w:val="auto"/>
          <w:spacing w:val="-8"/>
          <w:sz w:val="24"/>
          <w:szCs w:val="24"/>
        </w:rPr>
        <w:t>2001</w:t>
      </w:r>
      <w:r>
        <w:rPr>
          <w:rFonts w:hint="eastAsia" w:asciiTheme="minorEastAsia" w:hAnsiTheme="minorEastAsia" w:eastAsiaTheme="minorEastAsia" w:cstheme="minorEastAsia"/>
          <w:color w:val="auto"/>
          <w:sz w:val="24"/>
          <w:szCs w:val="24"/>
        </w:rPr>
        <w:t>〕77</w:t>
      </w:r>
      <w:r>
        <w:rPr>
          <w:rFonts w:hint="eastAsia" w:asciiTheme="minorEastAsia" w:hAnsiTheme="minorEastAsia" w:eastAsiaTheme="minorEastAsia" w:cstheme="minorEastAsia"/>
          <w:color w:val="auto"/>
          <w:spacing w:val="11"/>
          <w:sz w:val="24"/>
          <w:szCs w:val="24"/>
        </w:rPr>
        <w:t>号</w:t>
      </w:r>
      <w:r>
        <w:rPr>
          <w:rFonts w:hint="eastAsia" w:asciiTheme="minorEastAsia" w:hAnsiTheme="minorEastAsia" w:eastAsiaTheme="minorEastAsia" w:cstheme="minorEastAsia"/>
          <w:color w:val="auto"/>
          <w:sz w:val="24"/>
          <w:szCs w:val="24"/>
        </w:rPr>
        <w:t>）规定的污水处理厂能耗指标：一级污水厂处理每立方</w:t>
      </w:r>
      <w:r>
        <w:rPr>
          <w:rFonts w:hint="eastAsia" w:asciiTheme="minorEastAsia" w:hAnsiTheme="minorEastAsia" w:eastAsiaTheme="minorEastAsia" w:cstheme="minorEastAsia"/>
          <w:color w:val="auto"/>
          <w:spacing w:val="34"/>
          <w:sz w:val="24"/>
          <w:szCs w:val="24"/>
        </w:rPr>
        <w:t>米污水</w:t>
      </w:r>
      <w:r>
        <w:rPr>
          <w:rFonts w:hint="eastAsia" w:asciiTheme="minorEastAsia" w:hAnsiTheme="minorEastAsia" w:eastAsiaTheme="minorEastAsia" w:cstheme="minorEastAsia"/>
          <w:color w:val="auto"/>
          <w:spacing w:val="-8"/>
          <w:sz w:val="24"/>
          <w:szCs w:val="24"/>
        </w:rPr>
        <w:t>0.04~0.08kwh</w:t>
      </w:r>
      <w:r>
        <w:rPr>
          <w:rFonts w:hint="eastAsia" w:asciiTheme="minorEastAsia" w:hAnsiTheme="minorEastAsia" w:eastAsiaTheme="minorEastAsia" w:cstheme="minorEastAsia"/>
          <w:color w:val="auto"/>
          <w:spacing w:val="30"/>
          <w:sz w:val="24"/>
          <w:szCs w:val="24"/>
        </w:rPr>
        <w:t xml:space="preserve"> ；二级污水厂处理每立方米污水</w:t>
      </w:r>
      <w:r>
        <w:rPr>
          <w:rFonts w:hint="eastAsia" w:asciiTheme="minorEastAsia" w:hAnsiTheme="minorEastAsia" w:eastAsiaTheme="minorEastAsia" w:cstheme="minorEastAsia"/>
          <w:color w:val="auto"/>
          <w:spacing w:val="-8"/>
          <w:sz w:val="24"/>
          <w:szCs w:val="24"/>
        </w:rPr>
        <w:t>0.15~0.28kwh</w:t>
      </w:r>
      <w:r>
        <w:rPr>
          <w:rFonts w:hint="eastAsia" w:asciiTheme="minorEastAsia" w:hAnsiTheme="minorEastAsia" w:eastAsiaTheme="minorEastAsia" w:cstheme="minorEastAsia"/>
          <w:color w:val="auto"/>
          <w:spacing w:val="-12"/>
          <w:sz w:val="24"/>
          <w:szCs w:val="24"/>
        </w:rPr>
        <w:t>；本项目</w:t>
      </w:r>
      <w:r>
        <w:rPr>
          <w:rFonts w:hint="eastAsia" w:asciiTheme="minorEastAsia" w:hAnsiTheme="minorEastAsia" w:eastAsiaTheme="minorEastAsia" w:cstheme="minorEastAsia"/>
          <w:color w:val="auto"/>
          <w:spacing w:val="-13"/>
          <w:sz w:val="24"/>
          <w:szCs w:val="24"/>
        </w:rPr>
        <w:t>覆盖</w:t>
      </w:r>
      <w:r>
        <w:rPr>
          <w:rFonts w:hint="eastAsia" w:asciiTheme="minorEastAsia" w:hAnsiTheme="minorEastAsia" w:eastAsiaTheme="minorEastAsia" w:cstheme="minorEastAsia"/>
          <w:color w:val="auto"/>
          <w:spacing w:val="-3"/>
          <w:sz w:val="24"/>
          <w:szCs w:val="24"/>
          <w:lang w:val="en-US" w:eastAsia="zh-CN"/>
        </w:rPr>
        <w:t>1494</w:t>
      </w:r>
      <w:r>
        <w:rPr>
          <w:rFonts w:hint="eastAsia" w:asciiTheme="minorEastAsia" w:hAnsiTheme="minorEastAsia" w:eastAsiaTheme="minorEastAsia" w:cstheme="minorEastAsia"/>
          <w:color w:val="auto"/>
          <w:spacing w:val="-3"/>
          <w:sz w:val="24"/>
          <w:szCs w:val="24"/>
        </w:rPr>
        <w:t>条自然村数，服务约</w:t>
      </w:r>
      <w:r>
        <w:rPr>
          <w:rFonts w:hint="eastAsia" w:asciiTheme="minorEastAsia" w:hAnsiTheme="minorEastAsia" w:eastAsiaTheme="minorEastAsia" w:cstheme="minorEastAsia"/>
          <w:color w:val="auto"/>
          <w:spacing w:val="-5"/>
          <w:sz w:val="24"/>
          <w:szCs w:val="24"/>
          <w:lang w:val="en-US" w:eastAsia="zh-CN"/>
        </w:rPr>
        <w:t>24.05</w:t>
      </w:r>
      <w:r>
        <w:rPr>
          <w:rFonts w:hint="eastAsia" w:asciiTheme="minorEastAsia" w:hAnsiTheme="minorEastAsia" w:eastAsiaTheme="minorEastAsia" w:cstheme="minorEastAsia"/>
          <w:color w:val="auto"/>
          <w:spacing w:val="-5"/>
          <w:sz w:val="24"/>
          <w:szCs w:val="24"/>
        </w:rPr>
        <w:t>人，大部分采用厌氧+人工湿地</w:t>
      </w:r>
      <w:r>
        <w:rPr>
          <w:rFonts w:hint="eastAsia" w:asciiTheme="minorEastAsia" w:hAnsiTheme="minorEastAsia" w:eastAsiaTheme="minorEastAsia" w:cstheme="minorEastAsia"/>
          <w:color w:val="auto"/>
          <w:spacing w:val="-6"/>
          <w:sz w:val="24"/>
          <w:szCs w:val="24"/>
          <w:lang w:eastAsia="zh-CN"/>
        </w:rPr>
        <w:t>、</w:t>
      </w:r>
      <w:r>
        <w:rPr>
          <w:rFonts w:hint="eastAsia" w:asciiTheme="minorEastAsia" w:hAnsiTheme="minorEastAsia" w:eastAsiaTheme="minorEastAsia" w:cstheme="minorEastAsia"/>
          <w:color w:val="auto"/>
          <w:spacing w:val="-6"/>
          <w:sz w:val="24"/>
          <w:szCs w:val="24"/>
          <w:lang w:val="en-US" w:eastAsia="zh-CN"/>
        </w:rPr>
        <w:t>资源化利用</w:t>
      </w:r>
      <w:r>
        <w:rPr>
          <w:rFonts w:hint="eastAsia" w:asciiTheme="minorEastAsia" w:hAnsiTheme="minorEastAsia" w:eastAsiaTheme="minorEastAsia" w:cstheme="minorEastAsia"/>
          <w:color w:val="auto"/>
          <w:spacing w:val="-6"/>
          <w:sz w:val="24"/>
          <w:szCs w:val="24"/>
        </w:rPr>
        <w:t>方式处置，部分占地</w:t>
      </w:r>
      <w:r>
        <w:rPr>
          <w:rFonts w:hint="eastAsia" w:asciiTheme="minorEastAsia" w:hAnsiTheme="minorEastAsia" w:eastAsiaTheme="minorEastAsia" w:cstheme="minorEastAsia"/>
          <w:color w:val="auto"/>
          <w:spacing w:val="-5"/>
          <w:sz w:val="24"/>
          <w:szCs w:val="24"/>
        </w:rPr>
        <w:t>面积较大的，可用地面积较少的，考虑采用</w:t>
      </w:r>
      <w:r>
        <w:rPr>
          <w:rFonts w:hint="eastAsia" w:asciiTheme="minorEastAsia" w:hAnsiTheme="minorEastAsia" w:eastAsiaTheme="minorEastAsia" w:cstheme="minorEastAsia"/>
          <w:color w:val="auto"/>
          <w:spacing w:val="-2"/>
          <w:sz w:val="24"/>
          <w:szCs w:val="24"/>
        </w:rPr>
        <w:t>A2O</w:t>
      </w:r>
      <w:r>
        <w:rPr>
          <w:rFonts w:hint="eastAsia" w:asciiTheme="minorEastAsia" w:hAnsiTheme="minorEastAsia" w:eastAsiaTheme="minorEastAsia" w:cstheme="minorEastAsia"/>
          <w:color w:val="auto"/>
          <w:spacing w:val="-13"/>
          <w:sz w:val="24"/>
          <w:szCs w:val="24"/>
        </w:rPr>
        <w:t xml:space="preserve"> 一体化设备的</w:t>
      </w:r>
      <w:r>
        <w:rPr>
          <w:rFonts w:hint="eastAsia" w:asciiTheme="minorEastAsia" w:hAnsiTheme="minorEastAsia" w:eastAsiaTheme="minorEastAsia" w:cstheme="minorEastAsia"/>
          <w:color w:val="auto"/>
          <w:spacing w:val="3"/>
          <w:sz w:val="24"/>
          <w:szCs w:val="24"/>
        </w:rPr>
        <w:t>污水处理方式。按照《固定资产投资项目节能评估和审查办</w:t>
      </w:r>
      <w:r>
        <w:rPr>
          <w:rFonts w:hint="eastAsia" w:asciiTheme="minorEastAsia" w:hAnsiTheme="minorEastAsia" w:eastAsiaTheme="minorEastAsia" w:cstheme="minorEastAsia"/>
          <w:color w:val="auto"/>
          <w:spacing w:val="-5"/>
          <w:sz w:val="24"/>
          <w:szCs w:val="24"/>
        </w:rPr>
        <w:t>法》，以及结合项目区域气候特点及农村污水排放标准较低情况，采用单位能耗指标法和需要系数法进行估算，污水处理厂</w:t>
      </w:r>
      <w:r>
        <w:rPr>
          <w:rFonts w:hint="eastAsia" w:asciiTheme="minorEastAsia" w:hAnsiTheme="minorEastAsia" w:eastAsiaTheme="minorEastAsia" w:cstheme="minorEastAsia"/>
          <w:color w:val="auto"/>
          <w:spacing w:val="-11"/>
          <w:sz w:val="24"/>
          <w:szCs w:val="24"/>
        </w:rPr>
        <w:t>能耗指标按</w:t>
      </w:r>
      <w:r>
        <w:rPr>
          <w:rFonts w:hint="eastAsia" w:asciiTheme="minorEastAsia" w:hAnsiTheme="minorEastAsia" w:eastAsiaTheme="minorEastAsia" w:cstheme="minorEastAsia"/>
          <w:color w:val="auto"/>
          <w:spacing w:val="-9"/>
          <w:sz w:val="24"/>
          <w:szCs w:val="24"/>
        </w:rPr>
        <w:t>0.10kwh/m³</w:t>
      </w:r>
      <w:r>
        <w:rPr>
          <w:rFonts w:hint="eastAsia" w:asciiTheme="minorEastAsia" w:hAnsiTheme="minorEastAsia" w:eastAsiaTheme="minorEastAsia" w:cstheme="minorEastAsia"/>
          <w:color w:val="auto"/>
          <w:spacing w:val="-8"/>
          <w:sz w:val="24"/>
          <w:szCs w:val="24"/>
        </w:rPr>
        <w:t>。本项目污水处理一体化设备能耗计算</w:t>
      </w:r>
      <w:r>
        <w:rPr>
          <w:rFonts w:hint="eastAsia" w:asciiTheme="minorEastAsia" w:hAnsiTheme="minorEastAsia" w:eastAsiaTheme="minorEastAsia" w:cstheme="minorEastAsia"/>
          <w:color w:val="auto"/>
          <w:sz w:val="24"/>
          <w:szCs w:val="24"/>
        </w:rPr>
        <w:t>如下：</w:t>
      </w:r>
    </w:p>
    <w:p>
      <w:pPr>
        <w:spacing w:line="500" w:lineRule="exact"/>
        <w:ind w:firstLine="422" w:firstLineChars="200"/>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表9.6-1 污水处理设备用电负荷估算表</w:t>
      </w:r>
    </w:p>
    <w:tbl>
      <w:tblPr>
        <w:tblStyle w:val="27"/>
        <w:tblW w:w="836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76"/>
        <w:gridCol w:w="1262"/>
        <w:gridCol w:w="1066"/>
        <w:gridCol w:w="884"/>
        <w:gridCol w:w="1386"/>
        <w:gridCol w:w="917"/>
        <w:gridCol w:w="1134"/>
        <w:gridCol w:w="113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13" w:hRule="atLeast"/>
          <w:tblHeader/>
          <w:jc w:val="center"/>
        </w:trPr>
        <w:tc>
          <w:tcPr>
            <w:tcW w:w="576" w:type="dxa"/>
            <w:vAlign w:val="center"/>
          </w:tcPr>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序号</w:t>
            </w:r>
          </w:p>
        </w:tc>
        <w:tc>
          <w:tcPr>
            <w:tcW w:w="1262" w:type="dxa"/>
            <w:vAlign w:val="center"/>
          </w:tcPr>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行政区域</w:t>
            </w:r>
          </w:p>
        </w:tc>
        <w:tc>
          <w:tcPr>
            <w:tcW w:w="1066" w:type="dxa"/>
            <w:vAlign w:val="center"/>
          </w:tcPr>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污水处理点（个）</w:t>
            </w:r>
          </w:p>
        </w:tc>
        <w:tc>
          <w:tcPr>
            <w:tcW w:w="884" w:type="dxa"/>
            <w:vAlign w:val="center"/>
          </w:tcPr>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处理规模（m³</w:t>
            </w:r>
          </w:p>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/d)</w:t>
            </w:r>
          </w:p>
        </w:tc>
        <w:tc>
          <w:tcPr>
            <w:tcW w:w="1386" w:type="dxa"/>
            <w:vAlign w:val="center"/>
          </w:tcPr>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能耗指标（kW·h/m³)</w:t>
            </w:r>
          </w:p>
        </w:tc>
        <w:tc>
          <w:tcPr>
            <w:tcW w:w="917" w:type="dxa"/>
            <w:vAlign w:val="center"/>
          </w:tcPr>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规模调整系数</w:t>
            </w:r>
          </w:p>
        </w:tc>
        <w:tc>
          <w:tcPr>
            <w:tcW w:w="1134" w:type="dxa"/>
            <w:vAlign w:val="center"/>
          </w:tcPr>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综合能耗</w:t>
            </w:r>
          </w:p>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(kW·h)</w:t>
            </w:r>
          </w:p>
        </w:tc>
        <w:tc>
          <w:tcPr>
            <w:tcW w:w="1136" w:type="dxa"/>
            <w:vAlign w:val="center"/>
          </w:tcPr>
          <w:p>
            <w:pPr>
              <w:pStyle w:val="33"/>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年耗量万 kW·h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7" w:hRule="atLeast"/>
          <w:jc w:val="center"/>
        </w:trPr>
        <w:tc>
          <w:tcPr>
            <w:tcW w:w="57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1</w:t>
            </w:r>
          </w:p>
        </w:tc>
        <w:tc>
          <w:tcPr>
            <w:tcW w:w="1262"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泗纶镇</w:t>
            </w:r>
          </w:p>
        </w:tc>
        <w:tc>
          <w:tcPr>
            <w:tcW w:w="1066" w:type="dxa"/>
            <w:vAlign w:val="center"/>
          </w:tcPr>
          <w:p>
            <w:pPr>
              <w:pStyle w:val="33"/>
              <w:spacing w:line="500" w:lineRule="exact"/>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eastAsia="zh-CN"/>
              </w:rPr>
              <w:t>118</w:t>
            </w:r>
          </w:p>
        </w:tc>
        <w:tc>
          <w:tcPr>
            <w:tcW w:w="88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910</w:t>
            </w:r>
          </w:p>
        </w:tc>
        <w:tc>
          <w:tcPr>
            <w:tcW w:w="1386" w:type="dxa"/>
            <w:vMerge w:val="restart"/>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0.10</w:t>
            </w:r>
          </w:p>
        </w:tc>
        <w:tc>
          <w:tcPr>
            <w:tcW w:w="917"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0.95</w:t>
            </w:r>
          </w:p>
        </w:tc>
        <w:tc>
          <w:tcPr>
            <w:tcW w:w="113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86.45</w:t>
            </w:r>
          </w:p>
        </w:tc>
        <w:tc>
          <w:tcPr>
            <w:tcW w:w="113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37.87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7" w:hRule="atLeast"/>
          <w:jc w:val="center"/>
        </w:trPr>
        <w:tc>
          <w:tcPr>
            <w:tcW w:w="57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2</w:t>
            </w:r>
          </w:p>
        </w:tc>
        <w:tc>
          <w:tcPr>
            <w:tcW w:w="1262"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双东街道</w:t>
            </w:r>
          </w:p>
        </w:tc>
        <w:tc>
          <w:tcPr>
            <w:tcW w:w="1066" w:type="dxa"/>
            <w:vAlign w:val="center"/>
          </w:tcPr>
          <w:p>
            <w:pPr>
              <w:pStyle w:val="33"/>
              <w:spacing w:line="500" w:lineRule="exact"/>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eastAsia="zh-CN"/>
              </w:rPr>
              <w:t>26</w:t>
            </w:r>
          </w:p>
        </w:tc>
        <w:tc>
          <w:tcPr>
            <w:tcW w:w="88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500</w:t>
            </w:r>
          </w:p>
        </w:tc>
        <w:tc>
          <w:tcPr>
            <w:tcW w:w="1386" w:type="dxa"/>
            <w:vMerge w:val="continue"/>
            <w:vAlign w:val="center"/>
          </w:tcPr>
          <w:p>
            <w:pPr>
              <w:spacing w:line="500" w:lineRule="exact"/>
              <w:jc w:val="center"/>
              <w:rPr>
                <w:rFonts w:asciiTheme="minorEastAsia" w:hAnsiTheme="minorEastAsia" w:eastAsiaTheme="minorEastAsia" w:cstheme="minorEastAsia"/>
                <w:color w:val="auto"/>
                <w:sz w:val="21"/>
                <w:szCs w:val="21"/>
                <w:highlight w:val="none"/>
              </w:rPr>
            </w:pPr>
          </w:p>
        </w:tc>
        <w:tc>
          <w:tcPr>
            <w:tcW w:w="917"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0.95</w:t>
            </w:r>
          </w:p>
        </w:tc>
        <w:tc>
          <w:tcPr>
            <w:tcW w:w="113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47.5</w:t>
            </w:r>
          </w:p>
        </w:tc>
        <w:tc>
          <w:tcPr>
            <w:tcW w:w="113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20.81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5" w:hRule="atLeast"/>
          <w:jc w:val="center"/>
        </w:trPr>
        <w:tc>
          <w:tcPr>
            <w:tcW w:w="57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3</w:t>
            </w:r>
          </w:p>
        </w:tc>
        <w:tc>
          <w:tcPr>
            <w:tcW w:w="1262"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生江镇</w:t>
            </w:r>
          </w:p>
        </w:tc>
        <w:tc>
          <w:tcPr>
            <w:tcW w:w="1066" w:type="dxa"/>
            <w:vAlign w:val="center"/>
          </w:tcPr>
          <w:p>
            <w:pPr>
              <w:pStyle w:val="33"/>
              <w:spacing w:line="500" w:lineRule="exact"/>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eastAsia="zh-CN"/>
              </w:rPr>
              <w:t>37</w:t>
            </w:r>
          </w:p>
        </w:tc>
        <w:tc>
          <w:tcPr>
            <w:tcW w:w="88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200</w:t>
            </w:r>
          </w:p>
        </w:tc>
        <w:tc>
          <w:tcPr>
            <w:tcW w:w="1386" w:type="dxa"/>
            <w:vMerge w:val="continue"/>
            <w:vAlign w:val="center"/>
          </w:tcPr>
          <w:p>
            <w:pPr>
              <w:spacing w:line="500" w:lineRule="exact"/>
              <w:jc w:val="center"/>
              <w:rPr>
                <w:rFonts w:asciiTheme="minorEastAsia" w:hAnsiTheme="minorEastAsia" w:eastAsiaTheme="minorEastAsia" w:cstheme="minorEastAsia"/>
                <w:color w:val="auto"/>
                <w:sz w:val="21"/>
                <w:szCs w:val="21"/>
                <w:highlight w:val="none"/>
              </w:rPr>
            </w:pPr>
          </w:p>
        </w:tc>
        <w:tc>
          <w:tcPr>
            <w:tcW w:w="917"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0.95</w:t>
            </w:r>
          </w:p>
        </w:tc>
        <w:tc>
          <w:tcPr>
            <w:tcW w:w="113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19</w:t>
            </w:r>
          </w:p>
        </w:tc>
        <w:tc>
          <w:tcPr>
            <w:tcW w:w="113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8.32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5" w:hRule="atLeast"/>
          <w:jc w:val="center"/>
        </w:trPr>
        <w:tc>
          <w:tcPr>
            <w:tcW w:w="57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4</w:t>
            </w:r>
          </w:p>
        </w:tc>
        <w:tc>
          <w:tcPr>
            <w:tcW w:w="1262"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苹塘镇</w:t>
            </w:r>
          </w:p>
        </w:tc>
        <w:tc>
          <w:tcPr>
            <w:tcW w:w="1066" w:type="dxa"/>
            <w:vAlign w:val="center"/>
          </w:tcPr>
          <w:p>
            <w:pPr>
              <w:pStyle w:val="33"/>
              <w:spacing w:line="500" w:lineRule="exact"/>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eastAsia="zh-CN"/>
              </w:rPr>
              <w:t>61</w:t>
            </w:r>
          </w:p>
        </w:tc>
        <w:tc>
          <w:tcPr>
            <w:tcW w:w="88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400</w:t>
            </w:r>
          </w:p>
        </w:tc>
        <w:tc>
          <w:tcPr>
            <w:tcW w:w="1386" w:type="dxa"/>
            <w:vMerge w:val="continue"/>
            <w:vAlign w:val="center"/>
          </w:tcPr>
          <w:p>
            <w:pPr>
              <w:spacing w:line="500" w:lineRule="exact"/>
              <w:jc w:val="center"/>
              <w:rPr>
                <w:rFonts w:asciiTheme="minorEastAsia" w:hAnsiTheme="minorEastAsia" w:eastAsiaTheme="minorEastAsia" w:cstheme="minorEastAsia"/>
                <w:color w:val="auto"/>
                <w:sz w:val="21"/>
                <w:szCs w:val="21"/>
                <w:highlight w:val="none"/>
              </w:rPr>
            </w:pPr>
          </w:p>
        </w:tc>
        <w:tc>
          <w:tcPr>
            <w:tcW w:w="917"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0.95</w:t>
            </w:r>
          </w:p>
        </w:tc>
        <w:tc>
          <w:tcPr>
            <w:tcW w:w="113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38</w:t>
            </w:r>
          </w:p>
        </w:tc>
        <w:tc>
          <w:tcPr>
            <w:tcW w:w="113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16.64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7" w:hRule="atLeast"/>
          <w:jc w:val="center"/>
        </w:trPr>
        <w:tc>
          <w:tcPr>
            <w:tcW w:w="57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5</w:t>
            </w:r>
          </w:p>
        </w:tc>
        <w:tc>
          <w:tcPr>
            <w:tcW w:w="1262"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满塘镇</w:t>
            </w:r>
          </w:p>
        </w:tc>
        <w:tc>
          <w:tcPr>
            <w:tcW w:w="1066" w:type="dxa"/>
            <w:vAlign w:val="center"/>
          </w:tcPr>
          <w:p>
            <w:pPr>
              <w:pStyle w:val="33"/>
              <w:spacing w:line="500" w:lineRule="exact"/>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eastAsia="zh-CN"/>
              </w:rPr>
              <w:t>13</w:t>
            </w:r>
          </w:p>
        </w:tc>
        <w:tc>
          <w:tcPr>
            <w:tcW w:w="88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400</w:t>
            </w:r>
          </w:p>
        </w:tc>
        <w:tc>
          <w:tcPr>
            <w:tcW w:w="1386" w:type="dxa"/>
            <w:vMerge w:val="continue"/>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p>
        </w:tc>
        <w:tc>
          <w:tcPr>
            <w:tcW w:w="917"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0.95</w:t>
            </w:r>
          </w:p>
        </w:tc>
        <w:tc>
          <w:tcPr>
            <w:tcW w:w="113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38</w:t>
            </w:r>
          </w:p>
        </w:tc>
        <w:tc>
          <w:tcPr>
            <w:tcW w:w="113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16.64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7" w:hRule="atLeast"/>
          <w:jc w:val="center"/>
        </w:trPr>
        <w:tc>
          <w:tcPr>
            <w:tcW w:w="57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6</w:t>
            </w:r>
          </w:p>
        </w:tc>
        <w:tc>
          <w:tcPr>
            <w:tcW w:w="1262"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罗平镇</w:t>
            </w:r>
          </w:p>
        </w:tc>
        <w:tc>
          <w:tcPr>
            <w:tcW w:w="1066" w:type="dxa"/>
            <w:vAlign w:val="center"/>
          </w:tcPr>
          <w:p>
            <w:pPr>
              <w:pStyle w:val="33"/>
              <w:spacing w:line="500" w:lineRule="exact"/>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eastAsia="zh-CN"/>
              </w:rPr>
              <w:t>72</w:t>
            </w:r>
          </w:p>
        </w:tc>
        <w:tc>
          <w:tcPr>
            <w:tcW w:w="88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2200</w:t>
            </w:r>
          </w:p>
        </w:tc>
        <w:tc>
          <w:tcPr>
            <w:tcW w:w="1386" w:type="dxa"/>
            <w:vMerge w:val="continue"/>
            <w:vAlign w:val="center"/>
          </w:tcPr>
          <w:p>
            <w:pPr>
              <w:spacing w:line="500" w:lineRule="exact"/>
              <w:jc w:val="center"/>
              <w:rPr>
                <w:rFonts w:asciiTheme="minorEastAsia" w:hAnsiTheme="minorEastAsia" w:eastAsiaTheme="minorEastAsia" w:cstheme="minorEastAsia"/>
                <w:color w:val="auto"/>
                <w:sz w:val="21"/>
                <w:szCs w:val="21"/>
                <w:highlight w:val="none"/>
              </w:rPr>
            </w:pPr>
          </w:p>
        </w:tc>
        <w:tc>
          <w:tcPr>
            <w:tcW w:w="917"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0.95</w:t>
            </w:r>
          </w:p>
        </w:tc>
        <w:tc>
          <w:tcPr>
            <w:tcW w:w="113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209</w:t>
            </w:r>
          </w:p>
        </w:tc>
        <w:tc>
          <w:tcPr>
            <w:tcW w:w="113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91.54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7" w:hRule="atLeast"/>
          <w:jc w:val="center"/>
        </w:trPr>
        <w:tc>
          <w:tcPr>
            <w:tcW w:w="57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7</w:t>
            </w:r>
          </w:p>
        </w:tc>
        <w:tc>
          <w:tcPr>
            <w:tcW w:w="1262"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罗镜镇</w:t>
            </w:r>
          </w:p>
        </w:tc>
        <w:tc>
          <w:tcPr>
            <w:tcW w:w="106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39</w:t>
            </w:r>
          </w:p>
        </w:tc>
        <w:tc>
          <w:tcPr>
            <w:tcW w:w="88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580</w:t>
            </w:r>
          </w:p>
        </w:tc>
        <w:tc>
          <w:tcPr>
            <w:tcW w:w="1386" w:type="dxa"/>
            <w:vMerge w:val="continue"/>
            <w:vAlign w:val="center"/>
          </w:tcPr>
          <w:p>
            <w:pPr>
              <w:spacing w:line="500" w:lineRule="exact"/>
              <w:jc w:val="center"/>
              <w:rPr>
                <w:rFonts w:asciiTheme="minorEastAsia" w:hAnsiTheme="minorEastAsia" w:eastAsiaTheme="minorEastAsia" w:cstheme="minorEastAsia"/>
                <w:color w:val="auto"/>
                <w:sz w:val="21"/>
                <w:szCs w:val="21"/>
                <w:highlight w:val="none"/>
              </w:rPr>
            </w:pPr>
          </w:p>
        </w:tc>
        <w:tc>
          <w:tcPr>
            <w:tcW w:w="917"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0.95</w:t>
            </w:r>
          </w:p>
        </w:tc>
        <w:tc>
          <w:tcPr>
            <w:tcW w:w="113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55.1</w:t>
            </w:r>
          </w:p>
        </w:tc>
        <w:tc>
          <w:tcPr>
            <w:tcW w:w="113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24.13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jc w:val="center"/>
        </w:trPr>
        <w:tc>
          <w:tcPr>
            <w:tcW w:w="57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8</w:t>
            </w:r>
          </w:p>
        </w:tc>
        <w:tc>
          <w:tcPr>
            <w:tcW w:w="1262"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龙湾镇</w:t>
            </w:r>
          </w:p>
        </w:tc>
        <w:tc>
          <w:tcPr>
            <w:tcW w:w="1066" w:type="dxa"/>
            <w:vAlign w:val="center"/>
          </w:tcPr>
          <w:p>
            <w:pPr>
              <w:pStyle w:val="33"/>
              <w:spacing w:line="500" w:lineRule="exact"/>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eastAsia="zh-CN"/>
              </w:rPr>
              <w:t>119</w:t>
            </w:r>
          </w:p>
        </w:tc>
        <w:tc>
          <w:tcPr>
            <w:tcW w:w="88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230</w:t>
            </w:r>
          </w:p>
        </w:tc>
        <w:tc>
          <w:tcPr>
            <w:tcW w:w="1386" w:type="dxa"/>
            <w:vMerge w:val="continue"/>
            <w:vAlign w:val="center"/>
          </w:tcPr>
          <w:p>
            <w:pPr>
              <w:spacing w:line="500" w:lineRule="exact"/>
              <w:jc w:val="center"/>
              <w:rPr>
                <w:rFonts w:asciiTheme="minorEastAsia" w:hAnsiTheme="minorEastAsia" w:eastAsiaTheme="minorEastAsia" w:cstheme="minorEastAsia"/>
                <w:color w:val="auto"/>
                <w:sz w:val="21"/>
                <w:szCs w:val="21"/>
                <w:highlight w:val="none"/>
              </w:rPr>
            </w:pPr>
          </w:p>
        </w:tc>
        <w:tc>
          <w:tcPr>
            <w:tcW w:w="917"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0.95</w:t>
            </w:r>
          </w:p>
        </w:tc>
        <w:tc>
          <w:tcPr>
            <w:tcW w:w="113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21.85</w:t>
            </w:r>
          </w:p>
        </w:tc>
        <w:tc>
          <w:tcPr>
            <w:tcW w:w="113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9.57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5" w:hRule="atLeast"/>
          <w:jc w:val="center"/>
        </w:trPr>
        <w:tc>
          <w:tcPr>
            <w:tcW w:w="57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9</w:t>
            </w:r>
          </w:p>
        </w:tc>
        <w:tc>
          <w:tcPr>
            <w:tcW w:w="1262"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连州镇</w:t>
            </w:r>
          </w:p>
        </w:tc>
        <w:tc>
          <w:tcPr>
            <w:tcW w:w="1066" w:type="dxa"/>
            <w:vAlign w:val="center"/>
          </w:tcPr>
          <w:p>
            <w:pPr>
              <w:pStyle w:val="33"/>
              <w:spacing w:line="500" w:lineRule="exact"/>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eastAsia="zh-CN"/>
              </w:rPr>
              <w:t>91</w:t>
            </w:r>
          </w:p>
        </w:tc>
        <w:tc>
          <w:tcPr>
            <w:tcW w:w="88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470</w:t>
            </w:r>
          </w:p>
        </w:tc>
        <w:tc>
          <w:tcPr>
            <w:tcW w:w="1386" w:type="dxa"/>
            <w:vMerge w:val="continue"/>
            <w:vAlign w:val="center"/>
          </w:tcPr>
          <w:p>
            <w:pPr>
              <w:spacing w:line="500" w:lineRule="exact"/>
              <w:jc w:val="center"/>
              <w:rPr>
                <w:rFonts w:asciiTheme="minorEastAsia" w:hAnsiTheme="minorEastAsia" w:eastAsiaTheme="minorEastAsia" w:cstheme="minorEastAsia"/>
                <w:color w:val="auto"/>
                <w:sz w:val="21"/>
                <w:szCs w:val="21"/>
                <w:highlight w:val="none"/>
              </w:rPr>
            </w:pPr>
          </w:p>
        </w:tc>
        <w:tc>
          <w:tcPr>
            <w:tcW w:w="917"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0.95</w:t>
            </w:r>
          </w:p>
        </w:tc>
        <w:tc>
          <w:tcPr>
            <w:tcW w:w="113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44.65</w:t>
            </w:r>
          </w:p>
        </w:tc>
        <w:tc>
          <w:tcPr>
            <w:tcW w:w="113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19.56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7" w:hRule="atLeast"/>
          <w:jc w:val="center"/>
        </w:trPr>
        <w:tc>
          <w:tcPr>
            <w:tcW w:w="57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10</w:t>
            </w:r>
          </w:p>
        </w:tc>
        <w:tc>
          <w:tcPr>
            <w:tcW w:w="1262"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黎少镇</w:t>
            </w:r>
          </w:p>
        </w:tc>
        <w:tc>
          <w:tcPr>
            <w:tcW w:w="1066" w:type="dxa"/>
            <w:vAlign w:val="center"/>
          </w:tcPr>
          <w:p>
            <w:pPr>
              <w:pStyle w:val="33"/>
              <w:spacing w:line="500" w:lineRule="exact"/>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eastAsia="zh-CN"/>
              </w:rPr>
              <w:t>74</w:t>
            </w:r>
          </w:p>
        </w:tc>
        <w:tc>
          <w:tcPr>
            <w:tcW w:w="88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260</w:t>
            </w:r>
          </w:p>
        </w:tc>
        <w:tc>
          <w:tcPr>
            <w:tcW w:w="1386" w:type="dxa"/>
            <w:vMerge w:val="continue"/>
            <w:vAlign w:val="center"/>
          </w:tcPr>
          <w:p>
            <w:pPr>
              <w:spacing w:line="500" w:lineRule="exact"/>
              <w:jc w:val="center"/>
              <w:rPr>
                <w:rFonts w:asciiTheme="minorEastAsia" w:hAnsiTheme="minorEastAsia" w:eastAsiaTheme="minorEastAsia" w:cstheme="minorEastAsia"/>
                <w:color w:val="auto"/>
                <w:sz w:val="21"/>
                <w:szCs w:val="21"/>
                <w:highlight w:val="none"/>
              </w:rPr>
            </w:pPr>
          </w:p>
        </w:tc>
        <w:tc>
          <w:tcPr>
            <w:tcW w:w="917"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0.95</w:t>
            </w:r>
          </w:p>
        </w:tc>
        <w:tc>
          <w:tcPr>
            <w:tcW w:w="113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24.7</w:t>
            </w:r>
          </w:p>
        </w:tc>
        <w:tc>
          <w:tcPr>
            <w:tcW w:w="113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10.82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7" w:hRule="atLeast"/>
          <w:jc w:val="center"/>
        </w:trPr>
        <w:tc>
          <w:tcPr>
            <w:tcW w:w="57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11</w:t>
            </w:r>
          </w:p>
        </w:tc>
        <w:tc>
          <w:tcPr>
            <w:tcW w:w="1262"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金鸡镇</w:t>
            </w:r>
          </w:p>
        </w:tc>
        <w:tc>
          <w:tcPr>
            <w:tcW w:w="1066" w:type="dxa"/>
            <w:vAlign w:val="center"/>
          </w:tcPr>
          <w:p>
            <w:pPr>
              <w:pStyle w:val="33"/>
              <w:spacing w:line="500" w:lineRule="exact"/>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eastAsia="zh-CN"/>
              </w:rPr>
              <w:t>71</w:t>
            </w:r>
          </w:p>
        </w:tc>
        <w:tc>
          <w:tcPr>
            <w:tcW w:w="88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140</w:t>
            </w:r>
          </w:p>
        </w:tc>
        <w:tc>
          <w:tcPr>
            <w:tcW w:w="1386" w:type="dxa"/>
            <w:vMerge w:val="continue"/>
            <w:vAlign w:val="center"/>
          </w:tcPr>
          <w:p>
            <w:pPr>
              <w:spacing w:line="500" w:lineRule="exact"/>
              <w:jc w:val="center"/>
              <w:rPr>
                <w:rFonts w:asciiTheme="minorEastAsia" w:hAnsiTheme="minorEastAsia" w:eastAsiaTheme="minorEastAsia" w:cstheme="minorEastAsia"/>
                <w:color w:val="auto"/>
                <w:sz w:val="21"/>
                <w:szCs w:val="21"/>
                <w:highlight w:val="none"/>
              </w:rPr>
            </w:pPr>
          </w:p>
        </w:tc>
        <w:tc>
          <w:tcPr>
            <w:tcW w:w="917"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0.95</w:t>
            </w:r>
          </w:p>
        </w:tc>
        <w:tc>
          <w:tcPr>
            <w:tcW w:w="113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13.3</w:t>
            </w:r>
          </w:p>
        </w:tc>
        <w:tc>
          <w:tcPr>
            <w:tcW w:w="113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5.83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5" w:hRule="atLeast"/>
          <w:jc w:val="center"/>
        </w:trPr>
        <w:tc>
          <w:tcPr>
            <w:tcW w:w="57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12</w:t>
            </w:r>
          </w:p>
        </w:tc>
        <w:tc>
          <w:tcPr>
            <w:tcW w:w="1262"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加益镇</w:t>
            </w:r>
          </w:p>
        </w:tc>
        <w:tc>
          <w:tcPr>
            <w:tcW w:w="1066" w:type="dxa"/>
            <w:vAlign w:val="center"/>
          </w:tcPr>
          <w:p>
            <w:pPr>
              <w:pStyle w:val="33"/>
              <w:spacing w:line="500" w:lineRule="exact"/>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eastAsia="zh-CN"/>
              </w:rPr>
              <w:t>75</w:t>
            </w:r>
          </w:p>
        </w:tc>
        <w:tc>
          <w:tcPr>
            <w:tcW w:w="88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90</w:t>
            </w:r>
          </w:p>
        </w:tc>
        <w:tc>
          <w:tcPr>
            <w:tcW w:w="1386" w:type="dxa"/>
            <w:vMerge w:val="continue"/>
            <w:vAlign w:val="center"/>
          </w:tcPr>
          <w:p>
            <w:pPr>
              <w:spacing w:line="500" w:lineRule="exact"/>
              <w:jc w:val="center"/>
              <w:rPr>
                <w:rFonts w:asciiTheme="minorEastAsia" w:hAnsiTheme="minorEastAsia" w:eastAsiaTheme="minorEastAsia" w:cstheme="minorEastAsia"/>
                <w:color w:val="auto"/>
                <w:sz w:val="21"/>
                <w:szCs w:val="21"/>
                <w:highlight w:val="none"/>
              </w:rPr>
            </w:pPr>
          </w:p>
        </w:tc>
        <w:tc>
          <w:tcPr>
            <w:tcW w:w="917"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0.95</w:t>
            </w:r>
          </w:p>
        </w:tc>
        <w:tc>
          <w:tcPr>
            <w:tcW w:w="113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8.55</w:t>
            </w:r>
          </w:p>
        </w:tc>
        <w:tc>
          <w:tcPr>
            <w:tcW w:w="113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3.74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7" w:hRule="atLeast"/>
          <w:jc w:val="center"/>
        </w:trPr>
        <w:tc>
          <w:tcPr>
            <w:tcW w:w="57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13</w:t>
            </w:r>
          </w:p>
        </w:tc>
        <w:tc>
          <w:tcPr>
            <w:tcW w:w="1262"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华石镇</w:t>
            </w:r>
          </w:p>
        </w:tc>
        <w:tc>
          <w:tcPr>
            <w:tcW w:w="1066" w:type="dxa"/>
            <w:vAlign w:val="center"/>
          </w:tcPr>
          <w:p>
            <w:pPr>
              <w:pStyle w:val="33"/>
              <w:spacing w:line="500" w:lineRule="exact"/>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eastAsia="zh-CN"/>
              </w:rPr>
              <w:t>60</w:t>
            </w:r>
          </w:p>
        </w:tc>
        <w:tc>
          <w:tcPr>
            <w:tcW w:w="88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360</w:t>
            </w:r>
          </w:p>
        </w:tc>
        <w:tc>
          <w:tcPr>
            <w:tcW w:w="1386" w:type="dxa"/>
            <w:vMerge w:val="continue"/>
            <w:vAlign w:val="center"/>
          </w:tcPr>
          <w:p>
            <w:pPr>
              <w:spacing w:line="500" w:lineRule="exact"/>
              <w:jc w:val="center"/>
              <w:rPr>
                <w:rFonts w:asciiTheme="minorEastAsia" w:hAnsiTheme="minorEastAsia" w:eastAsiaTheme="minorEastAsia" w:cstheme="minorEastAsia"/>
                <w:color w:val="auto"/>
                <w:sz w:val="21"/>
                <w:szCs w:val="21"/>
                <w:highlight w:val="none"/>
              </w:rPr>
            </w:pPr>
          </w:p>
        </w:tc>
        <w:tc>
          <w:tcPr>
            <w:tcW w:w="917"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0.95</w:t>
            </w:r>
          </w:p>
        </w:tc>
        <w:tc>
          <w:tcPr>
            <w:tcW w:w="113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34.2</w:t>
            </w:r>
          </w:p>
        </w:tc>
        <w:tc>
          <w:tcPr>
            <w:tcW w:w="113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14.98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jc w:val="center"/>
        </w:trPr>
        <w:tc>
          <w:tcPr>
            <w:tcW w:w="57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14</w:t>
            </w:r>
          </w:p>
        </w:tc>
        <w:tc>
          <w:tcPr>
            <w:tcW w:w="1262"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附城街道</w:t>
            </w:r>
          </w:p>
        </w:tc>
        <w:tc>
          <w:tcPr>
            <w:tcW w:w="1066" w:type="dxa"/>
            <w:vAlign w:val="center"/>
          </w:tcPr>
          <w:p>
            <w:pPr>
              <w:pStyle w:val="33"/>
              <w:spacing w:line="500" w:lineRule="exact"/>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eastAsia="zh-CN"/>
              </w:rPr>
              <w:t>95</w:t>
            </w:r>
          </w:p>
        </w:tc>
        <w:tc>
          <w:tcPr>
            <w:tcW w:w="88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220</w:t>
            </w:r>
          </w:p>
        </w:tc>
        <w:tc>
          <w:tcPr>
            <w:tcW w:w="1386" w:type="dxa"/>
            <w:vMerge w:val="continue"/>
            <w:vAlign w:val="center"/>
          </w:tcPr>
          <w:p>
            <w:pPr>
              <w:spacing w:line="500" w:lineRule="exact"/>
              <w:jc w:val="center"/>
              <w:rPr>
                <w:rFonts w:asciiTheme="minorEastAsia" w:hAnsiTheme="minorEastAsia" w:eastAsiaTheme="minorEastAsia" w:cstheme="minorEastAsia"/>
                <w:color w:val="auto"/>
                <w:sz w:val="21"/>
                <w:szCs w:val="21"/>
                <w:highlight w:val="none"/>
              </w:rPr>
            </w:pPr>
          </w:p>
        </w:tc>
        <w:tc>
          <w:tcPr>
            <w:tcW w:w="917"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0.95</w:t>
            </w:r>
          </w:p>
        </w:tc>
        <w:tc>
          <w:tcPr>
            <w:tcW w:w="113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20.9</w:t>
            </w:r>
          </w:p>
        </w:tc>
        <w:tc>
          <w:tcPr>
            <w:tcW w:w="113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9.15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7" w:hRule="atLeast"/>
          <w:jc w:val="center"/>
        </w:trPr>
        <w:tc>
          <w:tcPr>
            <w:tcW w:w="57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15</w:t>
            </w:r>
          </w:p>
        </w:tc>
        <w:tc>
          <w:tcPr>
            <w:tcW w:w="1262"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船步镇</w:t>
            </w:r>
          </w:p>
        </w:tc>
        <w:tc>
          <w:tcPr>
            <w:tcW w:w="1066" w:type="dxa"/>
            <w:vAlign w:val="center"/>
          </w:tcPr>
          <w:p>
            <w:pPr>
              <w:pStyle w:val="33"/>
              <w:spacing w:line="500" w:lineRule="exact"/>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eastAsia="zh-CN"/>
              </w:rPr>
              <w:t>83</w:t>
            </w:r>
          </w:p>
        </w:tc>
        <w:tc>
          <w:tcPr>
            <w:tcW w:w="88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930</w:t>
            </w:r>
          </w:p>
        </w:tc>
        <w:tc>
          <w:tcPr>
            <w:tcW w:w="1386" w:type="dxa"/>
            <w:vMerge w:val="continue"/>
            <w:vAlign w:val="center"/>
          </w:tcPr>
          <w:p>
            <w:pPr>
              <w:spacing w:line="500" w:lineRule="exact"/>
              <w:jc w:val="center"/>
              <w:rPr>
                <w:rFonts w:asciiTheme="minorEastAsia" w:hAnsiTheme="minorEastAsia" w:eastAsiaTheme="minorEastAsia" w:cstheme="minorEastAsia"/>
                <w:color w:val="auto"/>
                <w:sz w:val="21"/>
                <w:szCs w:val="21"/>
                <w:highlight w:val="none"/>
              </w:rPr>
            </w:pPr>
          </w:p>
        </w:tc>
        <w:tc>
          <w:tcPr>
            <w:tcW w:w="917"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0.95</w:t>
            </w:r>
          </w:p>
        </w:tc>
        <w:tc>
          <w:tcPr>
            <w:tcW w:w="113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88.35</w:t>
            </w:r>
          </w:p>
        </w:tc>
        <w:tc>
          <w:tcPr>
            <w:tcW w:w="113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38.70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5" w:hRule="atLeast"/>
          <w:jc w:val="center"/>
        </w:trPr>
        <w:tc>
          <w:tcPr>
            <w:tcW w:w="57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16</w:t>
            </w:r>
          </w:p>
        </w:tc>
        <w:tc>
          <w:tcPr>
            <w:tcW w:w="1262"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分界镇</w:t>
            </w:r>
          </w:p>
        </w:tc>
        <w:tc>
          <w:tcPr>
            <w:tcW w:w="1066" w:type="dxa"/>
            <w:vAlign w:val="center"/>
          </w:tcPr>
          <w:p>
            <w:pPr>
              <w:pStyle w:val="33"/>
              <w:spacing w:line="500" w:lineRule="exact"/>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eastAsia="zh-CN"/>
              </w:rPr>
              <w:t>72</w:t>
            </w:r>
          </w:p>
        </w:tc>
        <w:tc>
          <w:tcPr>
            <w:tcW w:w="88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390</w:t>
            </w:r>
          </w:p>
        </w:tc>
        <w:tc>
          <w:tcPr>
            <w:tcW w:w="1386" w:type="dxa"/>
            <w:vMerge w:val="continue"/>
            <w:vAlign w:val="center"/>
          </w:tcPr>
          <w:p>
            <w:pPr>
              <w:spacing w:line="500" w:lineRule="exact"/>
              <w:jc w:val="center"/>
              <w:rPr>
                <w:rFonts w:asciiTheme="minorEastAsia" w:hAnsiTheme="minorEastAsia" w:eastAsiaTheme="minorEastAsia" w:cstheme="minorEastAsia"/>
                <w:color w:val="auto"/>
                <w:sz w:val="21"/>
                <w:szCs w:val="21"/>
                <w:highlight w:val="none"/>
              </w:rPr>
            </w:pPr>
          </w:p>
        </w:tc>
        <w:tc>
          <w:tcPr>
            <w:tcW w:w="917"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0.95</w:t>
            </w:r>
          </w:p>
        </w:tc>
        <w:tc>
          <w:tcPr>
            <w:tcW w:w="113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37.05</w:t>
            </w:r>
          </w:p>
        </w:tc>
        <w:tc>
          <w:tcPr>
            <w:tcW w:w="113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16.23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jc w:val="center"/>
        </w:trPr>
        <w:tc>
          <w:tcPr>
            <w:tcW w:w="57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17</w:t>
            </w:r>
          </w:p>
        </w:tc>
        <w:tc>
          <w:tcPr>
            <w:tcW w:w="1262"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素龙街道</w:t>
            </w:r>
          </w:p>
        </w:tc>
        <w:tc>
          <w:tcPr>
            <w:tcW w:w="1066" w:type="dxa"/>
            <w:vAlign w:val="center"/>
          </w:tcPr>
          <w:p>
            <w:pPr>
              <w:pStyle w:val="33"/>
              <w:spacing w:line="500" w:lineRule="exact"/>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eastAsia="zh-CN"/>
              </w:rPr>
              <w:t>67</w:t>
            </w:r>
          </w:p>
        </w:tc>
        <w:tc>
          <w:tcPr>
            <w:tcW w:w="88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1390</w:t>
            </w:r>
          </w:p>
        </w:tc>
        <w:tc>
          <w:tcPr>
            <w:tcW w:w="1386" w:type="dxa"/>
            <w:vMerge w:val="continue"/>
            <w:vAlign w:val="center"/>
          </w:tcPr>
          <w:p>
            <w:pPr>
              <w:spacing w:line="500" w:lineRule="exact"/>
              <w:jc w:val="center"/>
              <w:rPr>
                <w:rFonts w:asciiTheme="minorEastAsia" w:hAnsiTheme="minorEastAsia" w:eastAsiaTheme="minorEastAsia" w:cstheme="minorEastAsia"/>
                <w:color w:val="auto"/>
                <w:sz w:val="21"/>
                <w:szCs w:val="21"/>
                <w:highlight w:val="none"/>
              </w:rPr>
            </w:pPr>
          </w:p>
        </w:tc>
        <w:tc>
          <w:tcPr>
            <w:tcW w:w="917"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0.95</w:t>
            </w:r>
          </w:p>
        </w:tc>
        <w:tc>
          <w:tcPr>
            <w:tcW w:w="113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132.05</w:t>
            </w:r>
          </w:p>
        </w:tc>
        <w:tc>
          <w:tcPr>
            <w:tcW w:w="113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57.84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7" w:hRule="atLeast"/>
          <w:jc w:val="center"/>
        </w:trPr>
        <w:tc>
          <w:tcPr>
            <w:tcW w:w="57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18</w:t>
            </w:r>
          </w:p>
        </w:tc>
        <w:tc>
          <w:tcPr>
            <w:tcW w:w="1262"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太平镇</w:t>
            </w:r>
          </w:p>
        </w:tc>
        <w:tc>
          <w:tcPr>
            <w:tcW w:w="1066" w:type="dxa"/>
            <w:vAlign w:val="center"/>
          </w:tcPr>
          <w:p>
            <w:pPr>
              <w:pStyle w:val="33"/>
              <w:spacing w:line="500" w:lineRule="exact"/>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eastAsia="zh-CN"/>
              </w:rPr>
              <w:t>72</w:t>
            </w:r>
          </w:p>
        </w:tc>
        <w:tc>
          <w:tcPr>
            <w:tcW w:w="88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850</w:t>
            </w:r>
          </w:p>
        </w:tc>
        <w:tc>
          <w:tcPr>
            <w:tcW w:w="1386" w:type="dxa"/>
            <w:vMerge w:val="continue"/>
            <w:vAlign w:val="center"/>
          </w:tcPr>
          <w:p>
            <w:pPr>
              <w:spacing w:line="500" w:lineRule="exact"/>
              <w:jc w:val="center"/>
              <w:rPr>
                <w:rFonts w:asciiTheme="minorEastAsia" w:hAnsiTheme="minorEastAsia" w:eastAsiaTheme="minorEastAsia" w:cstheme="minorEastAsia"/>
                <w:color w:val="auto"/>
                <w:sz w:val="21"/>
                <w:szCs w:val="21"/>
                <w:highlight w:val="none"/>
              </w:rPr>
            </w:pPr>
          </w:p>
        </w:tc>
        <w:tc>
          <w:tcPr>
            <w:tcW w:w="917"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0.95</w:t>
            </w:r>
          </w:p>
        </w:tc>
        <w:tc>
          <w:tcPr>
            <w:tcW w:w="113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80.75</w:t>
            </w:r>
          </w:p>
        </w:tc>
        <w:tc>
          <w:tcPr>
            <w:tcW w:w="113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35.37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jc w:val="center"/>
        </w:trPr>
        <w:tc>
          <w:tcPr>
            <w:tcW w:w="57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19</w:t>
            </w:r>
          </w:p>
        </w:tc>
        <w:tc>
          <w:tcPr>
            <w:tcW w:w="1262"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榃滨镇</w:t>
            </w:r>
          </w:p>
        </w:tc>
        <w:tc>
          <w:tcPr>
            <w:tcW w:w="1066" w:type="dxa"/>
            <w:vAlign w:val="center"/>
          </w:tcPr>
          <w:p>
            <w:pPr>
              <w:pStyle w:val="33"/>
              <w:spacing w:line="500" w:lineRule="exact"/>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eastAsia="zh-CN"/>
              </w:rPr>
              <w:t>26</w:t>
            </w:r>
          </w:p>
        </w:tc>
        <w:tc>
          <w:tcPr>
            <w:tcW w:w="88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580</w:t>
            </w:r>
          </w:p>
        </w:tc>
        <w:tc>
          <w:tcPr>
            <w:tcW w:w="1386" w:type="dxa"/>
            <w:vMerge w:val="continue"/>
            <w:vAlign w:val="center"/>
          </w:tcPr>
          <w:p>
            <w:pPr>
              <w:spacing w:line="500" w:lineRule="exact"/>
              <w:jc w:val="center"/>
              <w:rPr>
                <w:rFonts w:asciiTheme="minorEastAsia" w:hAnsiTheme="minorEastAsia" w:eastAsiaTheme="minorEastAsia" w:cstheme="minorEastAsia"/>
                <w:color w:val="auto"/>
                <w:sz w:val="21"/>
                <w:szCs w:val="21"/>
                <w:highlight w:val="none"/>
              </w:rPr>
            </w:pPr>
          </w:p>
        </w:tc>
        <w:tc>
          <w:tcPr>
            <w:tcW w:w="917"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0.95</w:t>
            </w:r>
          </w:p>
        </w:tc>
        <w:tc>
          <w:tcPr>
            <w:tcW w:w="113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55.1</w:t>
            </w:r>
          </w:p>
        </w:tc>
        <w:tc>
          <w:tcPr>
            <w:tcW w:w="113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24.13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jc w:val="center"/>
        </w:trPr>
        <w:tc>
          <w:tcPr>
            <w:tcW w:w="57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20</w:t>
            </w:r>
          </w:p>
        </w:tc>
        <w:tc>
          <w:tcPr>
            <w:tcW w:w="1262"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围底镇</w:t>
            </w:r>
          </w:p>
        </w:tc>
        <w:tc>
          <w:tcPr>
            <w:tcW w:w="1066" w:type="dxa"/>
            <w:vAlign w:val="center"/>
          </w:tcPr>
          <w:p>
            <w:pPr>
              <w:pStyle w:val="33"/>
              <w:spacing w:line="500" w:lineRule="exact"/>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eastAsia="zh-CN"/>
              </w:rPr>
              <w:t>24</w:t>
            </w:r>
          </w:p>
        </w:tc>
        <w:tc>
          <w:tcPr>
            <w:tcW w:w="88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1440</w:t>
            </w:r>
          </w:p>
        </w:tc>
        <w:tc>
          <w:tcPr>
            <w:tcW w:w="1386" w:type="dxa"/>
            <w:vMerge w:val="continue"/>
            <w:vAlign w:val="center"/>
          </w:tcPr>
          <w:p>
            <w:pPr>
              <w:spacing w:line="500" w:lineRule="exact"/>
              <w:jc w:val="center"/>
              <w:rPr>
                <w:rFonts w:asciiTheme="minorEastAsia" w:hAnsiTheme="minorEastAsia" w:eastAsiaTheme="minorEastAsia" w:cstheme="minorEastAsia"/>
                <w:color w:val="auto"/>
                <w:sz w:val="21"/>
                <w:szCs w:val="21"/>
                <w:highlight w:val="none"/>
              </w:rPr>
            </w:pPr>
          </w:p>
        </w:tc>
        <w:tc>
          <w:tcPr>
            <w:tcW w:w="917"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0.95</w:t>
            </w:r>
          </w:p>
        </w:tc>
        <w:tc>
          <w:tcPr>
            <w:tcW w:w="1134"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136.8</w:t>
            </w:r>
          </w:p>
        </w:tc>
        <w:tc>
          <w:tcPr>
            <w:tcW w:w="113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59.92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6" w:hRule="atLeast"/>
          <w:jc w:val="center"/>
        </w:trPr>
        <w:tc>
          <w:tcPr>
            <w:tcW w:w="1838" w:type="dxa"/>
            <w:gridSpan w:val="2"/>
            <w:vAlign w:val="center"/>
          </w:tcPr>
          <w:p>
            <w:pPr>
              <w:pStyle w:val="33"/>
              <w:spacing w:line="500" w:lineRule="exact"/>
              <w:jc w:val="center"/>
              <w:rPr>
                <w:rFonts w:asciiTheme="minorEastAsia" w:hAnsiTheme="minorEastAsia" w:eastAsiaTheme="minorEastAsia" w:cstheme="minorEastAsia"/>
                <w:b/>
                <w:color w:val="auto"/>
                <w:sz w:val="21"/>
                <w:szCs w:val="21"/>
                <w:highlight w:val="none"/>
              </w:rPr>
            </w:pPr>
            <w:r>
              <w:rPr>
                <w:rFonts w:hint="eastAsia" w:asciiTheme="minorEastAsia" w:hAnsiTheme="minorEastAsia" w:eastAsiaTheme="minorEastAsia" w:cstheme="minorEastAsia"/>
                <w:b/>
                <w:color w:val="auto"/>
                <w:sz w:val="21"/>
                <w:szCs w:val="21"/>
                <w:highlight w:val="none"/>
              </w:rPr>
              <w:t>合计</w:t>
            </w:r>
          </w:p>
        </w:tc>
        <w:tc>
          <w:tcPr>
            <w:tcW w:w="1066" w:type="dxa"/>
            <w:vAlign w:val="center"/>
          </w:tcPr>
          <w:p>
            <w:pPr>
              <w:pStyle w:val="33"/>
              <w:spacing w:line="500" w:lineRule="exact"/>
              <w:jc w:val="center"/>
              <w:rPr>
                <w:rFonts w:hint="default" w:asciiTheme="minorEastAsia" w:hAnsiTheme="minorEastAsia" w:eastAsiaTheme="minorEastAsia" w:cstheme="minorEastAsia"/>
                <w:b/>
                <w:color w:val="auto"/>
                <w:sz w:val="21"/>
                <w:szCs w:val="21"/>
                <w:highlight w:val="none"/>
                <w:lang w:val="en-US" w:eastAsia="zh-CN"/>
              </w:rPr>
            </w:pPr>
            <w:r>
              <w:rPr>
                <w:rFonts w:hint="eastAsia" w:asciiTheme="minorEastAsia" w:hAnsiTheme="minorEastAsia" w:eastAsiaTheme="minorEastAsia" w:cstheme="minorEastAsia"/>
                <w:b/>
                <w:color w:val="auto"/>
                <w:sz w:val="21"/>
                <w:szCs w:val="21"/>
                <w:highlight w:val="none"/>
                <w:lang w:val="en-US" w:eastAsia="zh-CN"/>
              </w:rPr>
              <w:t>1494</w:t>
            </w:r>
          </w:p>
        </w:tc>
        <w:tc>
          <w:tcPr>
            <w:tcW w:w="884" w:type="dxa"/>
            <w:vAlign w:val="center"/>
          </w:tcPr>
          <w:p>
            <w:pPr>
              <w:pStyle w:val="33"/>
              <w:spacing w:line="500" w:lineRule="exact"/>
              <w:jc w:val="center"/>
              <w:rPr>
                <w:rFonts w:asciiTheme="minorEastAsia" w:hAnsiTheme="minorEastAsia" w:eastAsiaTheme="minorEastAsia" w:cstheme="minorEastAsia"/>
                <w:b/>
                <w:color w:val="auto"/>
                <w:sz w:val="21"/>
                <w:szCs w:val="21"/>
                <w:highlight w:val="none"/>
              </w:rPr>
            </w:pPr>
            <w:r>
              <w:rPr>
                <w:rFonts w:hint="eastAsia" w:asciiTheme="minorEastAsia" w:hAnsiTheme="minorEastAsia" w:eastAsiaTheme="minorEastAsia" w:cstheme="minorEastAsia"/>
                <w:b/>
                <w:color w:val="auto"/>
                <w:sz w:val="21"/>
                <w:szCs w:val="21"/>
                <w:highlight w:val="none"/>
              </w:rPr>
              <w:t>12540</w:t>
            </w:r>
          </w:p>
        </w:tc>
        <w:tc>
          <w:tcPr>
            <w:tcW w:w="138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p>
        </w:tc>
        <w:tc>
          <w:tcPr>
            <w:tcW w:w="917"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p>
        </w:tc>
        <w:tc>
          <w:tcPr>
            <w:tcW w:w="1134" w:type="dxa"/>
            <w:vAlign w:val="center"/>
          </w:tcPr>
          <w:p>
            <w:pPr>
              <w:pStyle w:val="33"/>
              <w:spacing w:line="500" w:lineRule="exact"/>
              <w:jc w:val="center"/>
              <w:rPr>
                <w:rFonts w:asciiTheme="minorEastAsia" w:hAnsiTheme="minorEastAsia" w:eastAsiaTheme="minorEastAsia" w:cstheme="minorEastAsia"/>
                <w:b/>
                <w:color w:val="auto"/>
                <w:sz w:val="21"/>
                <w:szCs w:val="21"/>
                <w:highlight w:val="none"/>
              </w:rPr>
            </w:pPr>
            <w:r>
              <w:rPr>
                <w:rFonts w:hint="eastAsia" w:asciiTheme="minorEastAsia" w:hAnsiTheme="minorEastAsia" w:eastAsiaTheme="minorEastAsia" w:cstheme="minorEastAsia"/>
                <w:b/>
                <w:color w:val="auto"/>
                <w:sz w:val="21"/>
                <w:szCs w:val="21"/>
                <w:highlight w:val="none"/>
              </w:rPr>
              <w:t>1191.3</w:t>
            </w:r>
          </w:p>
        </w:tc>
        <w:tc>
          <w:tcPr>
            <w:tcW w:w="1136" w:type="dxa"/>
            <w:vAlign w:val="center"/>
          </w:tcPr>
          <w:p>
            <w:pPr>
              <w:pStyle w:val="33"/>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521.79</w:t>
            </w:r>
          </w:p>
        </w:tc>
      </w:tr>
    </w:tbl>
    <w:p>
      <w:pPr>
        <w:pStyle w:val="10"/>
        <w:spacing w:line="500" w:lineRule="exact"/>
        <w:ind w:firstLine="432" w:firstLineChars="200"/>
        <w:jc w:val="both"/>
        <w:rPr>
          <w:rFonts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pacing w:val="-12"/>
          <w:sz w:val="24"/>
          <w:szCs w:val="24"/>
          <w:highlight w:val="none"/>
        </w:rPr>
        <w:t>污水处理站能耗还包括附属设施能耗变及压器电损等，其</w:t>
      </w:r>
      <w:r>
        <w:rPr>
          <w:rFonts w:hint="eastAsia" w:asciiTheme="minorEastAsia" w:hAnsiTheme="minorEastAsia" w:eastAsiaTheme="minorEastAsia" w:cstheme="minorEastAsia"/>
          <w:color w:val="auto"/>
          <w:spacing w:val="-10"/>
          <w:sz w:val="24"/>
          <w:szCs w:val="24"/>
          <w:highlight w:val="none"/>
        </w:rPr>
        <w:t xml:space="preserve">中，每个站点附属设施能耗拟按 </w:t>
      </w:r>
      <w:r>
        <w:rPr>
          <w:rFonts w:hint="eastAsia" w:asciiTheme="minorEastAsia" w:hAnsiTheme="minorEastAsia" w:eastAsiaTheme="minorEastAsia" w:cstheme="minorEastAsia"/>
          <w:color w:val="auto"/>
          <w:spacing w:val="-4"/>
          <w:sz w:val="24"/>
          <w:szCs w:val="24"/>
          <w:highlight w:val="none"/>
        </w:rPr>
        <w:t>0.15</w:t>
      </w:r>
      <w:r>
        <w:rPr>
          <w:rFonts w:hint="eastAsia" w:asciiTheme="minorEastAsia" w:hAnsiTheme="minorEastAsia" w:eastAsiaTheme="minorEastAsia" w:cstheme="minorEastAsia"/>
          <w:color w:val="auto"/>
          <w:spacing w:val="-2"/>
          <w:sz w:val="24"/>
          <w:szCs w:val="24"/>
          <w:highlight w:val="none"/>
        </w:rPr>
        <w:t>万</w:t>
      </w:r>
      <w:r>
        <w:rPr>
          <w:rFonts w:hint="eastAsia" w:asciiTheme="minorEastAsia" w:hAnsiTheme="minorEastAsia" w:eastAsiaTheme="minorEastAsia" w:cstheme="minorEastAsia"/>
          <w:color w:val="auto"/>
          <w:spacing w:val="-5"/>
          <w:sz w:val="24"/>
          <w:szCs w:val="24"/>
          <w:highlight w:val="none"/>
        </w:rPr>
        <w:t>kW·h/</w:t>
      </w:r>
      <w:r>
        <w:rPr>
          <w:rFonts w:hint="eastAsia" w:asciiTheme="minorEastAsia" w:hAnsiTheme="minorEastAsia" w:eastAsiaTheme="minorEastAsia" w:cstheme="minorEastAsia"/>
          <w:color w:val="auto"/>
          <w:spacing w:val="-3"/>
          <w:sz w:val="24"/>
          <w:szCs w:val="24"/>
          <w:highlight w:val="none"/>
        </w:rPr>
        <w:t>年，电损按设</w:t>
      </w:r>
      <w:r>
        <w:rPr>
          <w:rFonts w:hint="eastAsia" w:asciiTheme="minorEastAsia" w:hAnsiTheme="minorEastAsia" w:eastAsiaTheme="minorEastAsia" w:cstheme="minorEastAsia"/>
          <w:color w:val="auto"/>
          <w:sz w:val="24"/>
          <w:szCs w:val="24"/>
          <w:highlight w:val="none"/>
        </w:rPr>
        <w:t>备及附属设施电耗的2%估算，这本项目用电估算如下：</w:t>
      </w:r>
    </w:p>
    <w:p>
      <w:pPr>
        <w:spacing w:before="120" w:beforeLines="50" w:line="500" w:lineRule="exact"/>
        <w:ind w:firstLine="422" w:firstLineChars="200"/>
        <w:jc w:val="center"/>
        <w:rPr>
          <w:rFonts w:asciiTheme="minorEastAsia" w:hAnsiTheme="minorEastAsia" w:eastAsiaTheme="minorEastAsia" w:cstheme="minorEastAsia"/>
          <w:b/>
          <w:color w:val="auto"/>
          <w:sz w:val="21"/>
          <w:szCs w:val="21"/>
          <w:highlight w:val="none"/>
        </w:rPr>
      </w:pPr>
      <w:r>
        <w:rPr>
          <w:rFonts w:hint="eastAsia" w:asciiTheme="minorEastAsia" w:hAnsiTheme="minorEastAsia" w:eastAsiaTheme="minorEastAsia" w:cstheme="minorEastAsia"/>
          <w:b/>
          <w:color w:val="auto"/>
          <w:sz w:val="21"/>
          <w:szCs w:val="21"/>
          <w:highlight w:val="none"/>
        </w:rPr>
        <w:t>表9.6-2 用电负荷估算表</w:t>
      </w:r>
    </w:p>
    <w:tbl>
      <w:tblPr>
        <w:tblStyle w:val="27"/>
        <w:tblW w:w="8522" w:type="dxa"/>
        <w:tblInd w:w="32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35"/>
        <w:gridCol w:w="2569"/>
        <w:gridCol w:w="1335"/>
        <w:gridCol w:w="1681"/>
        <w:gridCol w:w="160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2" w:hRule="atLeast"/>
        </w:trPr>
        <w:tc>
          <w:tcPr>
            <w:tcW w:w="1335" w:type="dxa"/>
            <w:vAlign w:val="center"/>
          </w:tcPr>
          <w:p>
            <w:pPr>
              <w:pStyle w:val="33"/>
              <w:jc w:val="center"/>
              <w:rPr>
                <w:rFonts w:asciiTheme="minorEastAsia" w:hAnsiTheme="minorEastAsia" w:eastAsiaTheme="minorEastAsia" w:cstheme="minorEastAsia"/>
                <w:b/>
                <w:color w:val="auto"/>
                <w:sz w:val="21"/>
                <w:szCs w:val="21"/>
                <w:highlight w:val="none"/>
              </w:rPr>
            </w:pPr>
            <w:r>
              <w:rPr>
                <w:rFonts w:hint="eastAsia" w:asciiTheme="minorEastAsia" w:hAnsiTheme="minorEastAsia" w:eastAsiaTheme="minorEastAsia" w:cstheme="minorEastAsia"/>
                <w:b/>
                <w:color w:val="auto"/>
                <w:sz w:val="21"/>
                <w:szCs w:val="21"/>
                <w:highlight w:val="none"/>
              </w:rPr>
              <w:t>序号</w:t>
            </w:r>
          </w:p>
        </w:tc>
        <w:tc>
          <w:tcPr>
            <w:tcW w:w="2569" w:type="dxa"/>
            <w:vAlign w:val="center"/>
          </w:tcPr>
          <w:p>
            <w:pPr>
              <w:pStyle w:val="33"/>
              <w:jc w:val="center"/>
              <w:rPr>
                <w:rFonts w:asciiTheme="minorEastAsia" w:hAnsiTheme="minorEastAsia" w:eastAsiaTheme="minorEastAsia" w:cstheme="minorEastAsia"/>
                <w:b/>
                <w:color w:val="auto"/>
                <w:sz w:val="21"/>
                <w:szCs w:val="21"/>
                <w:highlight w:val="none"/>
              </w:rPr>
            </w:pPr>
            <w:r>
              <w:rPr>
                <w:rFonts w:hint="eastAsia" w:asciiTheme="minorEastAsia" w:hAnsiTheme="minorEastAsia" w:eastAsiaTheme="minorEastAsia" w:cstheme="minorEastAsia"/>
                <w:b/>
                <w:color w:val="auto"/>
                <w:sz w:val="21"/>
                <w:szCs w:val="21"/>
                <w:highlight w:val="none"/>
              </w:rPr>
              <w:t>功能/名称</w:t>
            </w:r>
          </w:p>
        </w:tc>
        <w:tc>
          <w:tcPr>
            <w:tcW w:w="1335" w:type="dxa"/>
            <w:vAlign w:val="center"/>
          </w:tcPr>
          <w:p>
            <w:pPr>
              <w:pStyle w:val="33"/>
              <w:jc w:val="center"/>
              <w:rPr>
                <w:rFonts w:asciiTheme="minorEastAsia" w:hAnsiTheme="minorEastAsia" w:eastAsiaTheme="minorEastAsia" w:cstheme="minorEastAsia"/>
                <w:b/>
                <w:color w:val="auto"/>
                <w:sz w:val="21"/>
                <w:szCs w:val="21"/>
                <w:highlight w:val="none"/>
              </w:rPr>
            </w:pPr>
            <w:r>
              <w:rPr>
                <w:rFonts w:hint="eastAsia" w:asciiTheme="minorEastAsia" w:hAnsiTheme="minorEastAsia" w:eastAsiaTheme="minorEastAsia" w:cstheme="minorEastAsia"/>
                <w:b/>
                <w:color w:val="auto"/>
                <w:sz w:val="21"/>
                <w:szCs w:val="21"/>
                <w:highlight w:val="none"/>
              </w:rPr>
              <w:t>污水处理点覆盖自然村（个）</w:t>
            </w:r>
          </w:p>
        </w:tc>
        <w:tc>
          <w:tcPr>
            <w:tcW w:w="1681" w:type="dxa"/>
            <w:vAlign w:val="center"/>
          </w:tcPr>
          <w:p>
            <w:pPr>
              <w:pStyle w:val="33"/>
              <w:jc w:val="center"/>
              <w:rPr>
                <w:rFonts w:asciiTheme="minorEastAsia" w:hAnsiTheme="minorEastAsia" w:eastAsiaTheme="minorEastAsia" w:cstheme="minorEastAsia"/>
                <w:b/>
                <w:color w:val="auto"/>
                <w:sz w:val="21"/>
                <w:szCs w:val="21"/>
                <w:highlight w:val="none"/>
              </w:rPr>
            </w:pPr>
            <w:r>
              <w:rPr>
                <w:rFonts w:hint="eastAsia" w:asciiTheme="minorEastAsia" w:hAnsiTheme="minorEastAsia" w:eastAsiaTheme="minorEastAsia" w:cstheme="minorEastAsia"/>
                <w:b/>
                <w:color w:val="auto"/>
                <w:sz w:val="21"/>
                <w:szCs w:val="21"/>
                <w:highlight w:val="none"/>
              </w:rPr>
              <w:t>单位能耗</w:t>
            </w:r>
          </w:p>
          <w:p>
            <w:pPr>
              <w:pStyle w:val="33"/>
              <w:jc w:val="center"/>
              <w:rPr>
                <w:rFonts w:asciiTheme="minorEastAsia" w:hAnsiTheme="minorEastAsia" w:eastAsiaTheme="minorEastAsia" w:cstheme="minorEastAsia"/>
                <w:b/>
                <w:color w:val="auto"/>
                <w:sz w:val="21"/>
                <w:szCs w:val="21"/>
                <w:highlight w:val="none"/>
              </w:rPr>
            </w:pPr>
            <w:r>
              <w:rPr>
                <w:rFonts w:hint="eastAsia" w:asciiTheme="minorEastAsia" w:hAnsiTheme="minorEastAsia" w:eastAsiaTheme="minorEastAsia" w:cstheme="minorEastAsia"/>
                <w:b/>
                <w:color w:val="auto"/>
                <w:spacing w:val="55"/>
                <w:sz w:val="21"/>
                <w:szCs w:val="21"/>
                <w:highlight w:val="none"/>
              </w:rPr>
              <w:t>万</w:t>
            </w:r>
            <w:r>
              <w:rPr>
                <w:rFonts w:hint="eastAsia" w:asciiTheme="minorEastAsia" w:hAnsiTheme="minorEastAsia" w:eastAsiaTheme="minorEastAsia" w:cstheme="minorEastAsia"/>
                <w:b/>
                <w:color w:val="auto"/>
                <w:sz w:val="21"/>
                <w:szCs w:val="21"/>
                <w:highlight w:val="none"/>
              </w:rPr>
              <w:t>kW·h/年</w:t>
            </w:r>
          </w:p>
        </w:tc>
        <w:tc>
          <w:tcPr>
            <w:tcW w:w="1602" w:type="dxa"/>
            <w:vAlign w:val="center"/>
          </w:tcPr>
          <w:p>
            <w:pPr>
              <w:pStyle w:val="33"/>
              <w:jc w:val="center"/>
              <w:rPr>
                <w:rFonts w:asciiTheme="minorEastAsia" w:hAnsiTheme="minorEastAsia" w:eastAsiaTheme="minorEastAsia" w:cstheme="minorEastAsia"/>
                <w:b/>
                <w:color w:val="auto"/>
                <w:sz w:val="21"/>
                <w:szCs w:val="21"/>
                <w:highlight w:val="none"/>
              </w:rPr>
            </w:pPr>
            <w:r>
              <w:rPr>
                <w:rFonts w:hint="eastAsia" w:asciiTheme="minorEastAsia" w:hAnsiTheme="minorEastAsia" w:eastAsiaTheme="minorEastAsia" w:cstheme="minorEastAsia"/>
                <w:b/>
                <w:color w:val="auto"/>
                <w:sz w:val="21"/>
                <w:szCs w:val="21"/>
                <w:highlight w:val="none"/>
              </w:rPr>
              <w:t>年能耗量</w:t>
            </w:r>
          </w:p>
          <w:p>
            <w:pPr>
              <w:pStyle w:val="33"/>
              <w:jc w:val="center"/>
              <w:rPr>
                <w:rFonts w:asciiTheme="minorEastAsia" w:hAnsiTheme="minorEastAsia" w:eastAsiaTheme="minorEastAsia" w:cstheme="minorEastAsia"/>
                <w:b/>
                <w:color w:val="auto"/>
                <w:sz w:val="21"/>
                <w:szCs w:val="21"/>
                <w:highlight w:val="none"/>
              </w:rPr>
            </w:pPr>
            <w:r>
              <w:rPr>
                <w:rFonts w:hint="eastAsia" w:asciiTheme="minorEastAsia" w:hAnsiTheme="minorEastAsia" w:eastAsiaTheme="minorEastAsia" w:cstheme="minorEastAsia"/>
                <w:b/>
                <w:color w:val="auto"/>
                <w:spacing w:val="55"/>
                <w:sz w:val="21"/>
                <w:szCs w:val="21"/>
                <w:highlight w:val="none"/>
              </w:rPr>
              <w:t>万</w:t>
            </w:r>
            <w:r>
              <w:rPr>
                <w:rFonts w:hint="eastAsia" w:asciiTheme="minorEastAsia" w:hAnsiTheme="minorEastAsia" w:eastAsiaTheme="minorEastAsia" w:cstheme="minorEastAsia"/>
                <w:b/>
                <w:color w:val="auto"/>
                <w:sz w:val="21"/>
                <w:szCs w:val="21"/>
                <w:highlight w:val="none"/>
              </w:rPr>
              <w:t>kW·h/年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2" w:hRule="atLeast"/>
        </w:trPr>
        <w:tc>
          <w:tcPr>
            <w:tcW w:w="1335" w:type="dxa"/>
            <w:vAlign w:val="center"/>
          </w:tcPr>
          <w:p>
            <w:pPr>
              <w:pStyle w:val="33"/>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1</w:t>
            </w:r>
          </w:p>
        </w:tc>
        <w:tc>
          <w:tcPr>
            <w:tcW w:w="2569" w:type="dxa"/>
            <w:vAlign w:val="center"/>
          </w:tcPr>
          <w:p>
            <w:pPr>
              <w:pStyle w:val="33"/>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污水处理设备</w:t>
            </w:r>
          </w:p>
        </w:tc>
        <w:tc>
          <w:tcPr>
            <w:tcW w:w="1335" w:type="dxa"/>
            <w:vAlign w:val="center"/>
          </w:tcPr>
          <w:p>
            <w:pPr>
              <w:pStyle w:val="33"/>
              <w:jc w:val="center"/>
              <w:rPr>
                <w:rFonts w:asciiTheme="minorEastAsia" w:hAnsiTheme="minorEastAsia" w:eastAsiaTheme="minorEastAsia" w:cstheme="minorEastAsia"/>
                <w:color w:val="auto"/>
                <w:sz w:val="21"/>
                <w:szCs w:val="21"/>
                <w:highlight w:val="none"/>
              </w:rPr>
            </w:pPr>
          </w:p>
        </w:tc>
        <w:tc>
          <w:tcPr>
            <w:tcW w:w="1681" w:type="dxa"/>
            <w:vAlign w:val="center"/>
          </w:tcPr>
          <w:p>
            <w:pPr>
              <w:pStyle w:val="33"/>
              <w:jc w:val="center"/>
              <w:rPr>
                <w:rFonts w:asciiTheme="minorEastAsia" w:hAnsiTheme="minorEastAsia" w:eastAsiaTheme="minorEastAsia" w:cstheme="minorEastAsia"/>
                <w:color w:val="auto"/>
                <w:sz w:val="21"/>
                <w:szCs w:val="21"/>
                <w:highlight w:val="none"/>
              </w:rPr>
            </w:pPr>
          </w:p>
        </w:tc>
        <w:tc>
          <w:tcPr>
            <w:tcW w:w="1602" w:type="dxa"/>
            <w:vAlign w:val="center"/>
          </w:tcPr>
          <w:p>
            <w:pPr>
              <w:pStyle w:val="33"/>
              <w:jc w:val="center"/>
              <w:rPr>
                <w:rFonts w:asciiTheme="minorEastAsia" w:hAnsiTheme="minorEastAsia" w:eastAsiaTheme="minorEastAsia" w:cstheme="minorEastAsia"/>
                <w:b/>
                <w:color w:val="auto"/>
                <w:sz w:val="21"/>
                <w:szCs w:val="21"/>
                <w:highlight w:val="none"/>
              </w:rPr>
            </w:pPr>
            <w:r>
              <w:rPr>
                <w:rFonts w:hint="eastAsia" w:asciiTheme="minorEastAsia" w:hAnsiTheme="minorEastAsia" w:eastAsiaTheme="minorEastAsia" w:cstheme="minorEastAsia"/>
                <w:b/>
                <w:color w:val="auto"/>
                <w:sz w:val="21"/>
                <w:szCs w:val="21"/>
                <w:highlight w:val="none"/>
              </w:rPr>
              <w:t>521.79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2" w:hRule="atLeast"/>
        </w:trPr>
        <w:tc>
          <w:tcPr>
            <w:tcW w:w="1335" w:type="dxa"/>
            <w:vAlign w:val="center"/>
          </w:tcPr>
          <w:p>
            <w:pPr>
              <w:pStyle w:val="33"/>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2</w:t>
            </w:r>
          </w:p>
        </w:tc>
        <w:tc>
          <w:tcPr>
            <w:tcW w:w="2569" w:type="dxa"/>
            <w:vAlign w:val="center"/>
          </w:tcPr>
          <w:p>
            <w:pPr>
              <w:pStyle w:val="33"/>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辅助用房（值班室、</w:t>
            </w:r>
          </w:p>
          <w:p>
            <w:pPr>
              <w:pStyle w:val="33"/>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储药间）</w:t>
            </w:r>
          </w:p>
        </w:tc>
        <w:tc>
          <w:tcPr>
            <w:tcW w:w="1335" w:type="dxa"/>
            <w:vAlign w:val="center"/>
          </w:tcPr>
          <w:p>
            <w:pPr>
              <w:pStyle w:val="33"/>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eastAsia="zh-CN"/>
              </w:rPr>
              <w:t>1494</w:t>
            </w:r>
          </w:p>
        </w:tc>
        <w:tc>
          <w:tcPr>
            <w:tcW w:w="1681" w:type="dxa"/>
            <w:vAlign w:val="center"/>
          </w:tcPr>
          <w:p>
            <w:pPr>
              <w:pStyle w:val="33"/>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0.15</w:t>
            </w:r>
          </w:p>
        </w:tc>
        <w:tc>
          <w:tcPr>
            <w:tcW w:w="1602" w:type="dxa"/>
            <w:vAlign w:val="center"/>
          </w:tcPr>
          <w:p>
            <w:pPr>
              <w:pStyle w:val="33"/>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78.75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5" w:hRule="atLeast"/>
        </w:trPr>
        <w:tc>
          <w:tcPr>
            <w:tcW w:w="1335" w:type="dxa"/>
            <w:vAlign w:val="center"/>
          </w:tcPr>
          <w:p>
            <w:pPr>
              <w:pStyle w:val="33"/>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3</w:t>
            </w:r>
          </w:p>
        </w:tc>
        <w:tc>
          <w:tcPr>
            <w:tcW w:w="2569" w:type="dxa"/>
            <w:vAlign w:val="center"/>
          </w:tcPr>
          <w:p>
            <w:pPr>
              <w:pStyle w:val="33"/>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变压器损耗</w:t>
            </w:r>
          </w:p>
        </w:tc>
        <w:tc>
          <w:tcPr>
            <w:tcW w:w="1335" w:type="dxa"/>
            <w:vAlign w:val="center"/>
          </w:tcPr>
          <w:p>
            <w:pPr>
              <w:pStyle w:val="33"/>
              <w:jc w:val="center"/>
              <w:rPr>
                <w:rFonts w:asciiTheme="minorEastAsia" w:hAnsiTheme="minorEastAsia" w:eastAsiaTheme="minorEastAsia" w:cstheme="minorEastAsia"/>
                <w:color w:val="auto"/>
                <w:sz w:val="21"/>
                <w:szCs w:val="21"/>
                <w:highlight w:val="none"/>
              </w:rPr>
            </w:pPr>
          </w:p>
        </w:tc>
        <w:tc>
          <w:tcPr>
            <w:tcW w:w="1681" w:type="dxa"/>
            <w:vAlign w:val="center"/>
          </w:tcPr>
          <w:p>
            <w:pPr>
              <w:pStyle w:val="33"/>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2%</w:t>
            </w:r>
          </w:p>
        </w:tc>
        <w:tc>
          <w:tcPr>
            <w:tcW w:w="1602" w:type="dxa"/>
            <w:vAlign w:val="center"/>
          </w:tcPr>
          <w:p>
            <w:pPr>
              <w:pStyle w:val="33"/>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10.44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7" w:hRule="atLeast"/>
        </w:trPr>
        <w:tc>
          <w:tcPr>
            <w:tcW w:w="1335" w:type="dxa"/>
            <w:vAlign w:val="center"/>
          </w:tcPr>
          <w:p>
            <w:pPr>
              <w:pStyle w:val="33"/>
              <w:jc w:val="center"/>
              <w:rPr>
                <w:rFonts w:asciiTheme="minorEastAsia" w:hAnsiTheme="minorEastAsia" w:eastAsiaTheme="minorEastAsia" w:cstheme="minorEastAsia"/>
                <w:b/>
                <w:color w:val="auto"/>
                <w:sz w:val="21"/>
                <w:szCs w:val="21"/>
                <w:highlight w:val="none"/>
              </w:rPr>
            </w:pPr>
            <w:r>
              <w:rPr>
                <w:rFonts w:hint="eastAsia" w:asciiTheme="minorEastAsia" w:hAnsiTheme="minorEastAsia" w:eastAsiaTheme="minorEastAsia" w:cstheme="minorEastAsia"/>
                <w:b/>
                <w:color w:val="auto"/>
                <w:sz w:val="21"/>
                <w:szCs w:val="21"/>
                <w:highlight w:val="none"/>
              </w:rPr>
              <w:t>合计</w:t>
            </w:r>
          </w:p>
        </w:tc>
        <w:tc>
          <w:tcPr>
            <w:tcW w:w="3904" w:type="dxa"/>
            <w:gridSpan w:val="2"/>
            <w:vAlign w:val="center"/>
          </w:tcPr>
          <w:p>
            <w:pPr>
              <w:pStyle w:val="33"/>
              <w:jc w:val="center"/>
              <w:rPr>
                <w:rFonts w:asciiTheme="minorEastAsia" w:hAnsiTheme="minorEastAsia" w:eastAsiaTheme="minorEastAsia" w:cstheme="minorEastAsia"/>
                <w:color w:val="auto"/>
                <w:sz w:val="21"/>
                <w:szCs w:val="21"/>
                <w:highlight w:val="none"/>
              </w:rPr>
            </w:pPr>
          </w:p>
        </w:tc>
        <w:tc>
          <w:tcPr>
            <w:tcW w:w="1681" w:type="dxa"/>
            <w:vAlign w:val="center"/>
          </w:tcPr>
          <w:p>
            <w:pPr>
              <w:pStyle w:val="33"/>
              <w:jc w:val="center"/>
              <w:rPr>
                <w:rFonts w:asciiTheme="minorEastAsia" w:hAnsiTheme="minorEastAsia" w:eastAsiaTheme="minorEastAsia" w:cstheme="minorEastAsia"/>
                <w:color w:val="auto"/>
                <w:sz w:val="21"/>
                <w:szCs w:val="21"/>
                <w:highlight w:val="none"/>
              </w:rPr>
            </w:pPr>
          </w:p>
        </w:tc>
        <w:tc>
          <w:tcPr>
            <w:tcW w:w="1602" w:type="dxa"/>
            <w:vAlign w:val="center"/>
          </w:tcPr>
          <w:p>
            <w:pPr>
              <w:pStyle w:val="33"/>
              <w:jc w:val="center"/>
              <w:rPr>
                <w:rFonts w:asciiTheme="minorEastAsia" w:hAnsiTheme="minorEastAsia" w:eastAsiaTheme="minorEastAsia" w:cstheme="minorEastAsia"/>
                <w:b/>
                <w:color w:val="auto"/>
                <w:sz w:val="21"/>
                <w:szCs w:val="21"/>
                <w:highlight w:val="none"/>
              </w:rPr>
            </w:pPr>
            <w:r>
              <w:rPr>
                <w:rFonts w:hint="eastAsia" w:asciiTheme="minorEastAsia" w:hAnsiTheme="minorEastAsia" w:eastAsiaTheme="minorEastAsia" w:cstheme="minorEastAsia"/>
                <w:b/>
                <w:color w:val="auto"/>
                <w:w w:val="95"/>
                <w:sz w:val="21"/>
                <w:szCs w:val="21"/>
                <w:highlight w:val="none"/>
              </w:rPr>
              <w:t>610.98</w:t>
            </w:r>
          </w:p>
        </w:tc>
      </w:tr>
    </w:tbl>
    <w:p>
      <w:pPr>
        <w:pStyle w:val="10"/>
        <w:spacing w:line="500" w:lineRule="exact"/>
        <w:ind w:firstLine="480" w:firstLineChars="200"/>
        <w:jc w:val="both"/>
        <w:rPr>
          <w:rFonts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综上，本项目年度综合能耗为750.89 tce，汇总计算如下表：</w:t>
      </w:r>
    </w:p>
    <w:p>
      <w:pPr>
        <w:spacing w:before="120" w:beforeLines="50" w:line="500" w:lineRule="exact"/>
        <w:ind w:firstLine="422" w:firstLineChars="200"/>
        <w:jc w:val="center"/>
        <w:rPr>
          <w:rFonts w:asciiTheme="minorEastAsia" w:hAnsiTheme="minorEastAsia" w:eastAsiaTheme="minorEastAsia" w:cstheme="minorEastAsia"/>
          <w:b/>
          <w:color w:val="auto"/>
          <w:sz w:val="21"/>
          <w:szCs w:val="21"/>
          <w:highlight w:val="none"/>
        </w:rPr>
      </w:pPr>
      <w:r>
        <w:rPr>
          <w:rFonts w:hint="eastAsia" w:asciiTheme="minorEastAsia" w:hAnsiTheme="minorEastAsia" w:eastAsiaTheme="minorEastAsia" w:cstheme="minorEastAsia"/>
          <w:b/>
          <w:color w:val="auto"/>
          <w:sz w:val="21"/>
          <w:szCs w:val="21"/>
          <w:highlight w:val="none"/>
        </w:rPr>
        <w:t>表9.6-3 项目能耗用能汇总表</w:t>
      </w:r>
    </w:p>
    <w:tbl>
      <w:tblPr>
        <w:tblStyle w:val="27"/>
        <w:tblW w:w="8519" w:type="dxa"/>
        <w:tblInd w:w="32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64"/>
        <w:gridCol w:w="1062"/>
        <w:gridCol w:w="1803"/>
        <w:gridCol w:w="1087"/>
        <w:gridCol w:w="1205"/>
        <w:gridCol w:w="1277"/>
        <w:gridCol w:w="152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7" w:hRule="atLeast"/>
        </w:trPr>
        <w:tc>
          <w:tcPr>
            <w:tcW w:w="564" w:type="dxa"/>
            <w:vMerge w:val="restart"/>
            <w:vAlign w:val="center"/>
          </w:tcPr>
          <w:p>
            <w:pPr>
              <w:pStyle w:val="33"/>
              <w:spacing w:line="460" w:lineRule="exact"/>
              <w:jc w:val="center"/>
              <w:rPr>
                <w:rFonts w:asciiTheme="minorEastAsia" w:hAnsiTheme="minorEastAsia" w:eastAsiaTheme="minorEastAsia" w:cstheme="minorEastAsia"/>
                <w:b/>
                <w:color w:val="auto"/>
                <w:sz w:val="21"/>
                <w:szCs w:val="21"/>
                <w:highlight w:val="none"/>
              </w:rPr>
            </w:pPr>
            <w:r>
              <w:rPr>
                <w:rFonts w:hint="eastAsia" w:asciiTheme="minorEastAsia" w:hAnsiTheme="minorEastAsia" w:eastAsiaTheme="minorEastAsia" w:cstheme="minorEastAsia"/>
                <w:b/>
                <w:color w:val="auto"/>
                <w:sz w:val="21"/>
                <w:szCs w:val="21"/>
                <w:highlight w:val="none"/>
              </w:rPr>
              <w:t>序号</w:t>
            </w:r>
          </w:p>
        </w:tc>
        <w:tc>
          <w:tcPr>
            <w:tcW w:w="1062" w:type="dxa"/>
            <w:vMerge w:val="restart"/>
            <w:vAlign w:val="center"/>
          </w:tcPr>
          <w:p>
            <w:pPr>
              <w:pStyle w:val="33"/>
              <w:spacing w:line="460" w:lineRule="exact"/>
              <w:jc w:val="center"/>
              <w:rPr>
                <w:rFonts w:asciiTheme="minorEastAsia" w:hAnsiTheme="minorEastAsia" w:eastAsiaTheme="minorEastAsia" w:cstheme="minorEastAsia"/>
                <w:b/>
                <w:color w:val="auto"/>
                <w:sz w:val="21"/>
                <w:szCs w:val="21"/>
                <w:highlight w:val="none"/>
              </w:rPr>
            </w:pPr>
            <w:r>
              <w:rPr>
                <w:rFonts w:hint="eastAsia" w:asciiTheme="minorEastAsia" w:hAnsiTheme="minorEastAsia" w:eastAsiaTheme="minorEastAsia" w:cstheme="minorEastAsia"/>
                <w:b/>
                <w:color w:val="auto"/>
                <w:sz w:val="21"/>
                <w:szCs w:val="21"/>
                <w:highlight w:val="none"/>
              </w:rPr>
              <w:t>项目</w:t>
            </w:r>
          </w:p>
        </w:tc>
        <w:tc>
          <w:tcPr>
            <w:tcW w:w="2890" w:type="dxa"/>
            <w:gridSpan w:val="2"/>
            <w:vAlign w:val="center"/>
          </w:tcPr>
          <w:p>
            <w:pPr>
              <w:pStyle w:val="33"/>
              <w:spacing w:line="460" w:lineRule="exact"/>
              <w:jc w:val="center"/>
              <w:rPr>
                <w:rFonts w:asciiTheme="minorEastAsia" w:hAnsiTheme="minorEastAsia" w:eastAsiaTheme="minorEastAsia" w:cstheme="minorEastAsia"/>
                <w:b/>
                <w:color w:val="auto"/>
                <w:sz w:val="21"/>
                <w:szCs w:val="21"/>
                <w:highlight w:val="none"/>
              </w:rPr>
            </w:pPr>
            <w:r>
              <w:rPr>
                <w:rFonts w:hint="eastAsia" w:asciiTheme="minorEastAsia" w:hAnsiTheme="minorEastAsia" w:eastAsiaTheme="minorEastAsia" w:cstheme="minorEastAsia"/>
                <w:b/>
                <w:color w:val="auto"/>
                <w:sz w:val="21"/>
                <w:szCs w:val="21"/>
                <w:highlight w:val="none"/>
              </w:rPr>
              <w:t>折算标煤系数</w:t>
            </w:r>
          </w:p>
        </w:tc>
        <w:tc>
          <w:tcPr>
            <w:tcW w:w="4003" w:type="dxa"/>
            <w:gridSpan w:val="3"/>
            <w:vAlign w:val="center"/>
          </w:tcPr>
          <w:p>
            <w:pPr>
              <w:pStyle w:val="33"/>
              <w:spacing w:line="460" w:lineRule="exact"/>
              <w:jc w:val="center"/>
              <w:rPr>
                <w:rFonts w:asciiTheme="minorEastAsia" w:hAnsiTheme="minorEastAsia" w:eastAsiaTheme="minorEastAsia" w:cstheme="minorEastAsia"/>
                <w:b/>
                <w:color w:val="auto"/>
                <w:sz w:val="21"/>
                <w:szCs w:val="21"/>
                <w:highlight w:val="none"/>
              </w:rPr>
            </w:pPr>
            <w:r>
              <w:rPr>
                <w:rFonts w:hint="eastAsia" w:asciiTheme="minorEastAsia" w:hAnsiTheme="minorEastAsia" w:eastAsiaTheme="minorEastAsia" w:cstheme="minorEastAsia"/>
                <w:b/>
                <w:color w:val="auto"/>
                <w:sz w:val="21"/>
                <w:szCs w:val="21"/>
                <w:highlight w:val="none"/>
              </w:rPr>
              <w:t>年耗能量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0" w:hRule="atLeast"/>
        </w:trPr>
        <w:tc>
          <w:tcPr>
            <w:tcW w:w="564" w:type="dxa"/>
            <w:vMerge w:val="continue"/>
            <w:tcBorders>
              <w:top w:val="nil"/>
            </w:tcBorders>
            <w:vAlign w:val="center"/>
          </w:tcPr>
          <w:p>
            <w:pPr>
              <w:spacing w:line="460" w:lineRule="exact"/>
              <w:jc w:val="center"/>
              <w:rPr>
                <w:rFonts w:asciiTheme="minorEastAsia" w:hAnsiTheme="minorEastAsia" w:eastAsiaTheme="minorEastAsia" w:cstheme="minorEastAsia"/>
                <w:color w:val="auto"/>
                <w:sz w:val="21"/>
                <w:szCs w:val="21"/>
                <w:highlight w:val="none"/>
              </w:rPr>
            </w:pPr>
          </w:p>
        </w:tc>
        <w:tc>
          <w:tcPr>
            <w:tcW w:w="1062" w:type="dxa"/>
            <w:vMerge w:val="continue"/>
            <w:tcBorders>
              <w:top w:val="nil"/>
            </w:tcBorders>
            <w:vAlign w:val="center"/>
          </w:tcPr>
          <w:p>
            <w:pPr>
              <w:spacing w:line="460" w:lineRule="exact"/>
              <w:jc w:val="center"/>
              <w:rPr>
                <w:rFonts w:asciiTheme="minorEastAsia" w:hAnsiTheme="minorEastAsia" w:eastAsiaTheme="minorEastAsia" w:cstheme="minorEastAsia"/>
                <w:color w:val="auto"/>
                <w:sz w:val="21"/>
                <w:szCs w:val="21"/>
                <w:highlight w:val="none"/>
              </w:rPr>
            </w:pPr>
          </w:p>
        </w:tc>
        <w:tc>
          <w:tcPr>
            <w:tcW w:w="1803" w:type="dxa"/>
            <w:vAlign w:val="center"/>
          </w:tcPr>
          <w:p>
            <w:pPr>
              <w:pStyle w:val="33"/>
              <w:spacing w:line="460" w:lineRule="exact"/>
              <w:jc w:val="center"/>
              <w:rPr>
                <w:rFonts w:asciiTheme="minorEastAsia" w:hAnsiTheme="minorEastAsia" w:eastAsiaTheme="minorEastAsia" w:cstheme="minorEastAsia"/>
                <w:b/>
                <w:color w:val="auto"/>
                <w:sz w:val="21"/>
                <w:szCs w:val="21"/>
                <w:highlight w:val="none"/>
              </w:rPr>
            </w:pPr>
            <w:r>
              <w:rPr>
                <w:rFonts w:hint="eastAsia" w:asciiTheme="minorEastAsia" w:hAnsiTheme="minorEastAsia" w:eastAsiaTheme="minorEastAsia" w:cstheme="minorEastAsia"/>
                <w:b/>
                <w:color w:val="auto"/>
                <w:sz w:val="21"/>
                <w:szCs w:val="21"/>
                <w:highlight w:val="none"/>
              </w:rPr>
              <w:t>标煤/实物单位</w:t>
            </w:r>
          </w:p>
        </w:tc>
        <w:tc>
          <w:tcPr>
            <w:tcW w:w="1087" w:type="dxa"/>
            <w:vAlign w:val="center"/>
          </w:tcPr>
          <w:p>
            <w:pPr>
              <w:pStyle w:val="33"/>
              <w:spacing w:line="460" w:lineRule="exact"/>
              <w:jc w:val="center"/>
              <w:rPr>
                <w:rFonts w:asciiTheme="minorEastAsia" w:hAnsiTheme="minorEastAsia" w:eastAsiaTheme="minorEastAsia" w:cstheme="minorEastAsia"/>
                <w:b/>
                <w:color w:val="auto"/>
                <w:sz w:val="21"/>
                <w:szCs w:val="21"/>
                <w:highlight w:val="none"/>
              </w:rPr>
            </w:pPr>
            <w:r>
              <w:rPr>
                <w:rFonts w:hint="eastAsia" w:asciiTheme="minorEastAsia" w:hAnsiTheme="minorEastAsia" w:eastAsiaTheme="minorEastAsia" w:cstheme="minorEastAsia"/>
                <w:b/>
                <w:color w:val="auto"/>
                <w:sz w:val="21"/>
                <w:szCs w:val="21"/>
                <w:highlight w:val="none"/>
              </w:rPr>
              <w:t>数据</w:t>
            </w:r>
          </w:p>
        </w:tc>
        <w:tc>
          <w:tcPr>
            <w:tcW w:w="1205" w:type="dxa"/>
            <w:vAlign w:val="center"/>
          </w:tcPr>
          <w:p>
            <w:pPr>
              <w:pStyle w:val="33"/>
              <w:spacing w:line="460" w:lineRule="exact"/>
              <w:jc w:val="center"/>
              <w:rPr>
                <w:rFonts w:asciiTheme="minorEastAsia" w:hAnsiTheme="minorEastAsia" w:eastAsiaTheme="minorEastAsia" w:cstheme="minorEastAsia"/>
                <w:b/>
                <w:color w:val="auto"/>
                <w:sz w:val="21"/>
                <w:szCs w:val="21"/>
                <w:highlight w:val="none"/>
              </w:rPr>
            </w:pPr>
            <w:r>
              <w:rPr>
                <w:rFonts w:hint="eastAsia" w:asciiTheme="minorEastAsia" w:hAnsiTheme="minorEastAsia" w:eastAsiaTheme="minorEastAsia" w:cstheme="minorEastAsia"/>
                <w:b/>
                <w:color w:val="auto"/>
                <w:sz w:val="21"/>
                <w:szCs w:val="21"/>
                <w:highlight w:val="none"/>
              </w:rPr>
              <w:t>实物单位</w:t>
            </w:r>
          </w:p>
        </w:tc>
        <w:tc>
          <w:tcPr>
            <w:tcW w:w="1277" w:type="dxa"/>
            <w:vAlign w:val="center"/>
          </w:tcPr>
          <w:p>
            <w:pPr>
              <w:pStyle w:val="33"/>
              <w:spacing w:line="460" w:lineRule="exact"/>
              <w:jc w:val="center"/>
              <w:rPr>
                <w:rFonts w:asciiTheme="minorEastAsia" w:hAnsiTheme="minorEastAsia" w:eastAsiaTheme="minorEastAsia" w:cstheme="minorEastAsia"/>
                <w:b/>
                <w:color w:val="auto"/>
                <w:sz w:val="21"/>
                <w:szCs w:val="21"/>
                <w:highlight w:val="none"/>
              </w:rPr>
            </w:pPr>
            <w:r>
              <w:rPr>
                <w:rFonts w:hint="eastAsia" w:asciiTheme="minorEastAsia" w:hAnsiTheme="minorEastAsia" w:eastAsiaTheme="minorEastAsia" w:cstheme="minorEastAsia"/>
                <w:b/>
                <w:color w:val="auto"/>
                <w:sz w:val="21"/>
                <w:szCs w:val="21"/>
                <w:highlight w:val="none"/>
              </w:rPr>
              <w:t>年消耗量</w:t>
            </w:r>
          </w:p>
        </w:tc>
        <w:tc>
          <w:tcPr>
            <w:tcW w:w="1521" w:type="dxa"/>
            <w:vAlign w:val="center"/>
          </w:tcPr>
          <w:p>
            <w:pPr>
              <w:pStyle w:val="33"/>
              <w:spacing w:line="460" w:lineRule="exact"/>
              <w:jc w:val="center"/>
              <w:rPr>
                <w:rFonts w:asciiTheme="minorEastAsia" w:hAnsiTheme="minorEastAsia" w:eastAsiaTheme="minorEastAsia" w:cstheme="minorEastAsia"/>
                <w:b/>
                <w:color w:val="auto"/>
                <w:sz w:val="21"/>
                <w:szCs w:val="21"/>
                <w:highlight w:val="none"/>
              </w:rPr>
            </w:pPr>
            <w:r>
              <w:rPr>
                <w:rFonts w:hint="eastAsia" w:asciiTheme="minorEastAsia" w:hAnsiTheme="minorEastAsia" w:eastAsiaTheme="minorEastAsia" w:cstheme="minorEastAsia"/>
                <w:b/>
                <w:color w:val="auto"/>
                <w:sz w:val="21"/>
                <w:szCs w:val="21"/>
                <w:highlight w:val="none"/>
              </w:rPr>
              <w:t>折标煤吨）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0" w:hRule="atLeast"/>
        </w:trPr>
        <w:tc>
          <w:tcPr>
            <w:tcW w:w="564" w:type="dxa"/>
            <w:vAlign w:val="center"/>
          </w:tcPr>
          <w:p>
            <w:pPr>
              <w:pStyle w:val="33"/>
              <w:spacing w:line="46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1</w:t>
            </w:r>
          </w:p>
        </w:tc>
        <w:tc>
          <w:tcPr>
            <w:tcW w:w="1062" w:type="dxa"/>
            <w:vAlign w:val="center"/>
          </w:tcPr>
          <w:p>
            <w:pPr>
              <w:pStyle w:val="33"/>
              <w:spacing w:line="46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电</w:t>
            </w:r>
          </w:p>
        </w:tc>
        <w:tc>
          <w:tcPr>
            <w:tcW w:w="1803" w:type="dxa"/>
            <w:vAlign w:val="center"/>
          </w:tcPr>
          <w:p>
            <w:pPr>
              <w:pStyle w:val="33"/>
              <w:spacing w:line="46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tec/万 kWh</w:t>
            </w:r>
          </w:p>
        </w:tc>
        <w:tc>
          <w:tcPr>
            <w:tcW w:w="1087" w:type="dxa"/>
            <w:vAlign w:val="center"/>
          </w:tcPr>
          <w:p>
            <w:pPr>
              <w:pStyle w:val="33"/>
              <w:spacing w:line="46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1.229</w:t>
            </w:r>
          </w:p>
        </w:tc>
        <w:tc>
          <w:tcPr>
            <w:tcW w:w="1205" w:type="dxa"/>
            <w:vAlign w:val="center"/>
          </w:tcPr>
          <w:p>
            <w:pPr>
              <w:pStyle w:val="33"/>
              <w:spacing w:line="46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万 kWh</w:t>
            </w:r>
          </w:p>
        </w:tc>
        <w:tc>
          <w:tcPr>
            <w:tcW w:w="1277" w:type="dxa"/>
            <w:vAlign w:val="center"/>
          </w:tcPr>
          <w:p>
            <w:pPr>
              <w:pStyle w:val="33"/>
              <w:spacing w:line="46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610.98</w:t>
            </w:r>
          </w:p>
        </w:tc>
        <w:tc>
          <w:tcPr>
            <w:tcW w:w="1521" w:type="dxa"/>
            <w:vAlign w:val="center"/>
          </w:tcPr>
          <w:p>
            <w:pPr>
              <w:pStyle w:val="33"/>
              <w:spacing w:line="46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750.89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0" w:hRule="atLeast"/>
        </w:trPr>
        <w:tc>
          <w:tcPr>
            <w:tcW w:w="564" w:type="dxa"/>
            <w:vAlign w:val="center"/>
          </w:tcPr>
          <w:p>
            <w:pPr>
              <w:pStyle w:val="33"/>
              <w:spacing w:line="46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w:t>
            </w:r>
          </w:p>
        </w:tc>
        <w:tc>
          <w:tcPr>
            <w:tcW w:w="1062" w:type="dxa"/>
            <w:vAlign w:val="center"/>
          </w:tcPr>
          <w:p>
            <w:pPr>
              <w:pStyle w:val="33"/>
              <w:spacing w:line="46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新水</w:t>
            </w:r>
          </w:p>
        </w:tc>
        <w:tc>
          <w:tcPr>
            <w:tcW w:w="1803" w:type="dxa"/>
            <w:vAlign w:val="center"/>
          </w:tcPr>
          <w:p>
            <w:pPr>
              <w:pStyle w:val="33"/>
              <w:spacing w:line="46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kgce/ m³</w:t>
            </w:r>
          </w:p>
        </w:tc>
        <w:tc>
          <w:tcPr>
            <w:tcW w:w="1087" w:type="dxa"/>
            <w:vAlign w:val="center"/>
          </w:tcPr>
          <w:p>
            <w:pPr>
              <w:pStyle w:val="33"/>
              <w:spacing w:line="46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0.857</w:t>
            </w:r>
          </w:p>
        </w:tc>
        <w:tc>
          <w:tcPr>
            <w:tcW w:w="1205" w:type="dxa"/>
            <w:vAlign w:val="center"/>
          </w:tcPr>
          <w:p>
            <w:pPr>
              <w:pStyle w:val="33"/>
              <w:spacing w:line="46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万 m³</w:t>
            </w:r>
          </w:p>
        </w:tc>
        <w:tc>
          <w:tcPr>
            <w:tcW w:w="1277" w:type="dxa"/>
            <w:vAlign w:val="center"/>
          </w:tcPr>
          <w:p>
            <w:pPr>
              <w:pStyle w:val="33"/>
              <w:spacing w:line="46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0</w:t>
            </w:r>
          </w:p>
        </w:tc>
        <w:tc>
          <w:tcPr>
            <w:tcW w:w="1521" w:type="dxa"/>
            <w:vAlign w:val="center"/>
          </w:tcPr>
          <w:p>
            <w:pPr>
              <w:pStyle w:val="33"/>
              <w:spacing w:line="46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0" w:hRule="atLeast"/>
        </w:trPr>
        <w:tc>
          <w:tcPr>
            <w:tcW w:w="564" w:type="dxa"/>
            <w:vAlign w:val="center"/>
          </w:tcPr>
          <w:p>
            <w:pPr>
              <w:pStyle w:val="33"/>
              <w:spacing w:line="46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3</w:t>
            </w:r>
          </w:p>
        </w:tc>
        <w:tc>
          <w:tcPr>
            <w:tcW w:w="1062" w:type="dxa"/>
            <w:vAlign w:val="center"/>
          </w:tcPr>
          <w:p>
            <w:pPr>
              <w:pStyle w:val="33"/>
              <w:spacing w:line="46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燃气</w:t>
            </w:r>
          </w:p>
        </w:tc>
        <w:tc>
          <w:tcPr>
            <w:tcW w:w="1803" w:type="dxa"/>
            <w:vAlign w:val="center"/>
          </w:tcPr>
          <w:p>
            <w:pPr>
              <w:pStyle w:val="33"/>
              <w:spacing w:line="46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tce/万 Nm³</w:t>
            </w:r>
          </w:p>
        </w:tc>
        <w:tc>
          <w:tcPr>
            <w:tcW w:w="1087" w:type="dxa"/>
            <w:vAlign w:val="center"/>
          </w:tcPr>
          <w:p>
            <w:pPr>
              <w:pStyle w:val="33"/>
              <w:spacing w:line="46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1.2143</w:t>
            </w:r>
          </w:p>
        </w:tc>
        <w:tc>
          <w:tcPr>
            <w:tcW w:w="1205" w:type="dxa"/>
            <w:vAlign w:val="center"/>
          </w:tcPr>
          <w:p>
            <w:pPr>
              <w:pStyle w:val="33"/>
              <w:spacing w:line="46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万 Nm³</w:t>
            </w:r>
          </w:p>
        </w:tc>
        <w:tc>
          <w:tcPr>
            <w:tcW w:w="1277" w:type="dxa"/>
            <w:vAlign w:val="center"/>
          </w:tcPr>
          <w:p>
            <w:pPr>
              <w:pStyle w:val="33"/>
              <w:spacing w:line="46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0</w:t>
            </w:r>
          </w:p>
        </w:tc>
        <w:tc>
          <w:tcPr>
            <w:tcW w:w="1521" w:type="dxa"/>
            <w:vAlign w:val="center"/>
          </w:tcPr>
          <w:p>
            <w:pPr>
              <w:pStyle w:val="33"/>
              <w:spacing w:line="46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0" w:hRule="atLeast"/>
        </w:trPr>
        <w:tc>
          <w:tcPr>
            <w:tcW w:w="564" w:type="dxa"/>
            <w:vAlign w:val="center"/>
          </w:tcPr>
          <w:p>
            <w:pPr>
              <w:pStyle w:val="33"/>
              <w:spacing w:line="46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4</w:t>
            </w:r>
          </w:p>
        </w:tc>
        <w:tc>
          <w:tcPr>
            <w:tcW w:w="1062" w:type="dxa"/>
            <w:vAlign w:val="center"/>
          </w:tcPr>
          <w:p>
            <w:pPr>
              <w:pStyle w:val="33"/>
              <w:spacing w:line="46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柴油</w:t>
            </w:r>
          </w:p>
        </w:tc>
        <w:tc>
          <w:tcPr>
            <w:tcW w:w="1803" w:type="dxa"/>
            <w:vAlign w:val="center"/>
          </w:tcPr>
          <w:p>
            <w:pPr>
              <w:pStyle w:val="33"/>
              <w:spacing w:line="46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kgce/kg</w:t>
            </w:r>
          </w:p>
        </w:tc>
        <w:tc>
          <w:tcPr>
            <w:tcW w:w="1087" w:type="dxa"/>
            <w:vAlign w:val="center"/>
          </w:tcPr>
          <w:p>
            <w:pPr>
              <w:pStyle w:val="33"/>
              <w:spacing w:line="46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1.4571</w:t>
            </w:r>
          </w:p>
        </w:tc>
        <w:tc>
          <w:tcPr>
            <w:tcW w:w="1205" w:type="dxa"/>
            <w:vAlign w:val="center"/>
          </w:tcPr>
          <w:p>
            <w:pPr>
              <w:pStyle w:val="33"/>
              <w:spacing w:line="46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t</w:t>
            </w:r>
          </w:p>
        </w:tc>
        <w:tc>
          <w:tcPr>
            <w:tcW w:w="1277" w:type="dxa"/>
            <w:vAlign w:val="center"/>
          </w:tcPr>
          <w:p>
            <w:pPr>
              <w:pStyle w:val="33"/>
              <w:spacing w:line="46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0</w:t>
            </w:r>
          </w:p>
        </w:tc>
        <w:tc>
          <w:tcPr>
            <w:tcW w:w="1521" w:type="dxa"/>
            <w:vAlign w:val="center"/>
          </w:tcPr>
          <w:p>
            <w:pPr>
              <w:pStyle w:val="33"/>
              <w:spacing w:line="46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0" w:hRule="atLeast"/>
        </w:trPr>
        <w:tc>
          <w:tcPr>
            <w:tcW w:w="564" w:type="dxa"/>
            <w:vAlign w:val="center"/>
          </w:tcPr>
          <w:p>
            <w:pPr>
              <w:pStyle w:val="33"/>
              <w:spacing w:line="46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w w:val="97"/>
                <w:sz w:val="21"/>
                <w:szCs w:val="21"/>
              </w:rPr>
              <w:t>5</w:t>
            </w:r>
          </w:p>
        </w:tc>
        <w:tc>
          <w:tcPr>
            <w:tcW w:w="1062" w:type="dxa"/>
            <w:vAlign w:val="center"/>
          </w:tcPr>
          <w:p>
            <w:pPr>
              <w:pStyle w:val="33"/>
              <w:spacing w:line="46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合计</w:t>
            </w:r>
          </w:p>
        </w:tc>
        <w:tc>
          <w:tcPr>
            <w:tcW w:w="1803" w:type="dxa"/>
            <w:vAlign w:val="center"/>
          </w:tcPr>
          <w:p>
            <w:pPr>
              <w:pStyle w:val="33"/>
              <w:spacing w:line="460" w:lineRule="exact"/>
              <w:jc w:val="center"/>
              <w:rPr>
                <w:rFonts w:asciiTheme="minorEastAsia" w:hAnsiTheme="minorEastAsia" w:eastAsiaTheme="minorEastAsia" w:cstheme="minorEastAsia"/>
                <w:color w:val="auto"/>
                <w:sz w:val="21"/>
                <w:szCs w:val="21"/>
              </w:rPr>
            </w:pPr>
          </w:p>
        </w:tc>
        <w:tc>
          <w:tcPr>
            <w:tcW w:w="1087" w:type="dxa"/>
            <w:vAlign w:val="center"/>
          </w:tcPr>
          <w:p>
            <w:pPr>
              <w:pStyle w:val="33"/>
              <w:spacing w:line="460" w:lineRule="exact"/>
              <w:jc w:val="center"/>
              <w:rPr>
                <w:rFonts w:asciiTheme="minorEastAsia" w:hAnsiTheme="minorEastAsia" w:eastAsiaTheme="minorEastAsia" w:cstheme="minorEastAsia"/>
                <w:color w:val="auto"/>
                <w:sz w:val="21"/>
                <w:szCs w:val="21"/>
              </w:rPr>
            </w:pPr>
          </w:p>
        </w:tc>
        <w:tc>
          <w:tcPr>
            <w:tcW w:w="1205" w:type="dxa"/>
            <w:vAlign w:val="center"/>
          </w:tcPr>
          <w:p>
            <w:pPr>
              <w:pStyle w:val="33"/>
              <w:spacing w:line="460" w:lineRule="exact"/>
              <w:jc w:val="center"/>
              <w:rPr>
                <w:rFonts w:asciiTheme="minorEastAsia" w:hAnsiTheme="minorEastAsia" w:eastAsiaTheme="minorEastAsia" w:cstheme="minorEastAsia"/>
                <w:color w:val="auto"/>
                <w:sz w:val="21"/>
                <w:szCs w:val="21"/>
              </w:rPr>
            </w:pPr>
          </w:p>
        </w:tc>
        <w:tc>
          <w:tcPr>
            <w:tcW w:w="1277" w:type="dxa"/>
            <w:vAlign w:val="center"/>
          </w:tcPr>
          <w:p>
            <w:pPr>
              <w:pStyle w:val="33"/>
              <w:spacing w:line="460" w:lineRule="exact"/>
              <w:jc w:val="center"/>
              <w:rPr>
                <w:rFonts w:asciiTheme="minorEastAsia" w:hAnsiTheme="minorEastAsia" w:eastAsiaTheme="minorEastAsia" w:cstheme="minorEastAsia"/>
                <w:color w:val="auto"/>
                <w:sz w:val="21"/>
                <w:szCs w:val="21"/>
              </w:rPr>
            </w:pPr>
          </w:p>
        </w:tc>
        <w:tc>
          <w:tcPr>
            <w:tcW w:w="1521" w:type="dxa"/>
            <w:vAlign w:val="center"/>
          </w:tcPr>
          <w:p>
            <w:pPr>
              <w:pStyle w:val="33"/>
              <w:spacing w:line="46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750.89</w:t>
            </w:r>
          </w:p>
        </w:tc>
      </w:tr>
    </w:tbl>
    <w:p>
      <w:pPr>
        <w:pStyle w:val="2"/>
        <w:tabs>
          <w:tab w:val="left" w:pos="1548"/>
        </w:tabs>
        <w:spacing w:before="0" w:line="500" w:lineRule="exact"/>
        <w:ind w:left="0"/>
        <w:jc w:val="both"/>
        <w:rPr>
          <w:rFonts w:asciiTheme="minorEastAsia" w:hAnsiTheme="minorEastAsia" w:eastAsiaTheme="minorEastAsia" w:cstheme="minorEastAsia"/>
          <w:color w:val="auto"/>
          <w:sz w:val="24"/>
          <w:szCs w:val="24"/>
        </w:rPr>
      </w:pPr>
      <w:bookmarkStart w:id="141" w:name="9.4节能措施"/>
      <w:bookmarkEnd w:id="141"/>
      <w:bookmarkStart w:id="142" w:name="_Toc9858"/>
    </w:p>
    <w:p>
      <w:pPr>
        <w:pStyle w:val="2"/>
        <w:tabs>
          <w:tab w:val="left" w:pos="1548"/>
        </w:tabs>
        <w:spacing w:before="0" w:line="500" w:lineRule="exact"/>
        <w:ind w:left="0"/>
        <w:jc w:val="both"/>
        <w:rPr>
          <w:rFonts w:asciiTheme="minorEastAsia" w:hAnsiTheme="minorEastAsia" w:eastAsiaTheme="minorEastAsia" w:cstheme="minorEastAsia"/>
          <w:color w:val="auto"/>
          <w:sz w:val="24"/>
          <w:szCs w:val="24"/>
        </w:rPr>
      </w:pPr>
      <w:bookmarkStart w:id="143" w:name="_Toc2322"/>
      <w:r>
        <w:rPr>
          <w:rFonts w:hint="eastAsia"/>
          <w:color w:val="auto"/>
          <w:sz w:val="30"/>
          <w:szCs w:val="30"/>
        </w:rPr>
        <w:t>9.7</w:t>
      </w:r>
      <w:r>
        <w:rPr>
          <w:rFonts w:hint="eastAsia" w:asciiTheme="minorEastAsia" w:hAnsiTheme="minorEastAsia" w:eastAsiaTheme="minorEastAsia" w:cstheme="minorEastAsia"/>
          <w:color w:val="auto"/>
          <w:sz w:val="24"/>
          <w:szCs w:val="24"/>
          <w:lang w:val="en-US"/>
        </w:rPr>
        <w:t xml:space="preserve"> </w:t>
      </w:r>
      <w:r>
        <w:rPr>
          <w:rFonts w:hint="eastAsia" w:asciiTheme="minorEastAsia" w:hAnsiTheme="minorEastAsia" w:eastAsiaTheme="minorEastAsia" w:cstheme="minorEastAsia"/>
          <w:color w:val="auto"/>
          <w:sz w:val="24"/>
          <w:szCs w:val="24"/>
        </w:rPr>
        <w:t>节能措施</w:t>
      </w:r>
      <w:bookmarkEnd w:id="142"/>
      <w:bookmarkEnd w:id="143"/>
    </w:p>
    <w:p>
      <w:pPr>
        <w:pStyle w:val="10"/>
        <w:spacing w:line="500" w:lineRule="exact"/>
        <w:ind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能源管理是一个综合的管理工程，健全的能源管理系统可保证安全稳定供应工作生活所需能源，及时发现能耗异常情况</w:t>
      </w:r>
      <w:r>
        <w:rPr>
          <w:rFonts w:hint="eastAsia" w:asciiTheme="minorEastAsia" w:hAnsiTheme="minorEastAsia" w:eastAsiaTheme="minorEastAsia" w:cstheme="minorEastAsia"/>
          <w:color w:val="auto"/>
          <w:spacing w:val="-8"/>
          <w:sz w:val="24"/>
          <w:szCs w:val="24"/>
        </w:rPr>
        <w:t>予以纠正，并不断挖掘节能潜力。根据《能源管理体系要求》ISO50001：2011</w:t>
      </w:r>
      <w:r>
        <w:rPr>
          <w:rFonts w:hint="eastAsia" w:asciiTheme="minorEastAsia" w:hAnsiTheme="minorEastAsia" w:eastAsiaTheme="minorEastAsia" w:cstheme="minorEastAsia"/>
          <w:color w:val="auto"/>
          <w:sz w:val="24"/>
          <w:szCs w:val="24"/>
        </w:rPr>
        <w:t>（GB/T23331）</w:t>
      </w:r>
      <w:r>
        <w:rPr>
          <w:rFonts w:hint="eastAsia" w:asciiTheme="minorEastAsia" w:hAnsiTheme="minorEastAsia" w:eastAsiaTheme="minorEastAsia" w:cstheme="minorEastAsia"/>
          <w:color w:val="auto"/>
          <w:spacing w:val="14"/>
          <w:sz w:val="24"/>
          <w:szCs w:val="24"/>
        </w:rPr>
        <w:t>、《工业企业能源管理导则》</w:t>
      </w:r>
      <w:r>
        <w:rPr>
          <w:rFonts w:hint="eastAsia" w:asciiTheme="minorEastAsia" w:hAnsiTheme="minorEastAsia" w:eastAsiaTheme="minorEastAsia" w:cstheme="minorEastAsia"/>
          <w:color w:val="auto"/>
          <w:spacing w:val="-3"/>
          <w:sz w:val="24"/>
          <w:szCs w:val="24"/>
        </w:rPr>
        <w:t>（GB/T12607）</w:t>
      </w:r>
      <w:r>
        <w:rPr>
          <w:rFonts w:hint="eastAsia" w:asciiTheme="minorEastAsia" w:hAnsiTheme="minorEastAsia" w:eastAsiaTheme="minorEastAsia" w:cstheme="minorEastAsia"/>
          <w:color w:val="auto"/>
          <w:spacing w:val="-6"/>
          <w:sz w:val="24"/>
          <w:szCs w:val="24"/>
        </w:rPr>
        <w:t xml:space="preserve">等，为进一步降低建筑物能源消耗，建议结合项目实际需要， </w:t>
      </w:r>
      <w:r>
        <w:rPr>
          <w:rFonts w:hint="eastAsia" w:asciiTheme="minorEastAsia" w:hAnsiTheme="minorEastAsia" w:eastAsiaTheme="minorEastAsia" w:cstheme="minorEastAsia"/>
          <w:color w:val="auto"/>
          <w:spacing w:val="-10"/>
          <w:sz w:val="24"/>
          <w:szCs w:val="24"/>
        </w:rPr>
        <w:t>从如下方面采取节能措施。</w:t>
      </w:r>
    </w:p>
    <w:p>
      <w:pPr>
        <w:pStyle w:val="2"/>
        <w:tabs>
          <w:tab w:val="left" w:pos="1548"/>
        </w:tabs>
        <w:spacing w:before="0" w:line="500" w:lineRule="exact"/>
        <w:ind w:left="0"/>
        <w:jc w:val="both"/>
        <w:rPr>
          <w:rFonts w:asciiTheme="minorEastAsia" w:hAnsiTheme="minorEastAsia" w:eastAsiaTheme="minorEastAsia" w:cstheme="minorEastAsia"/>
          <w:color w:val="auto"/>
          <w:sz w:val="24"/>
          <w:szCs w:val="24"/>
        </w:rPr>
      </w:pPr>
      <w:bookmarkStart w:id="144" w:name="_Toc29249"/>
      <w:r>
        <w:rPr>
          <w:rFonts w:hint="eastAsia"/>
          <w:color w:val="auto"/>
          <w:sz w:val="30"/>
          <w:szCs w:val="30"/>
        </w:rPr>
        <w:t>9.8</w:t>
      </w:r>
      <w:r>
        <w:rPr>
          <w:rFonts w:hint="eastAsia"/>
          <w:color w:val="auto"/>
          <w:sz w:val="30"/>
          <w:szCs w:val="30"/>
          <w:lang w:val="en-US"/>
        </w:rPr>
        <w:t xml:space="preserve"> </w:t>
      </w:r>
      <w:r>
        <w:rPr>
          <w:rFonts w:hint="eastAsia" w:asciiTheme="minorEastAsia" w:hAnsiTheme="minorEastAsia" w:eastAsiaTheme="minorEastAsia" w:cstheme="minorEastAsia"/>
          <w:color w:val="auto"/>
          <w:sz w:val="24"/>
          <w:szCs w:val="24"/>
        </w:rPr>
        <w:t>施工期间节能措施</w:t>
      </w:r>
      <w:bookmarkEnd w:id="144"/>
    </w:p>
    <w:p>
      <w:pPr>
        <w:pStyle w:val="32"/>
        <w:numPr>
          <w:ilvl w:val="0"/>
          <w:numId w:val="71"/>
        </w:numPr>
        <w:tabs>
          <w:tab w:val="left" w:pos="2285"/>
        </w:tabs>
        <w:spacing w:line="500" w:lineRule="exact"/>
        <w:ind w:left="0" w:firstLine="480" w:firstLineChars="200"/>
        <w:jc w:val="both"/>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z w:val="24"/>
          <w:szCs w:val="24"/>
        </w:rPr>
        <w:t>制订合理施工能耗指标，提高施工能源利用率。施</w:t>
      </w:r>
      <w:r>
        <w:rPr>
          <w:rFonts w:hint="eastAsia" w:asciiTheme="minorEastAsia" w:hAnsiTheme="minorEastAsia" w:eastAsiaTheme="minorEastAsia" w:cstheme="minorEastAsia"/>
          <w:color w:val="auto"/>
          <w:spacing w:val="3"/>
          <w:sz w:val="24"/>
          <w:szCs w:val="24"/>
        </w:rPr>
        <w:t>工现场分别设定生产、生活、办公和施工设备的用电控制指</w:t>
      </w:r>
      <w:r>
        <w:rPr>
          <w:rFonts w:hint="eastAsia" w:asciiTheme="minorEastAsia" w:hAnsiTheme="minorEastAsia" w:eastAsiaTheme="minorEastAsia" w:cstheme="minorEastAsia"/>
          <w:color w:val="auto"/>
          <w:spacing w:val="-8"/>
          <w:sz w:val="24"/>
          <w:szCs w:val="24"/>
        </w:rPr>
        <w:t>标，定期进行计量、核算，对比分析，并设计规定相应的预防与纠正措施。</w:t>
      </w:r>
    </w:p>
    <w:p>
      <w:pPr>
        <w:pStyle w:val="32"/>
        <w:numPr>
          <w:ilvl w:val="0"/>
          <w:numId w:val="71"/>
        </w:numPr>
        <w:tabs>
          <w:tab w:val="left" w:pos="2319"/>
        </w:tabs>
        <w:spacing w:line="500" w:lineRule="exact"/>
        <w:ind w:left="0" w:firstLine="5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0"/>
          <w:sz w:val="24"/>
          <w:szCs w:val="24"/>
        </w:rPr>
        <w:t>强化现场材料管理，建立钢材、沥青、木材、水</w:t>
      </w:r>
      <w:r>
        <w:rPr>
          <w:rFonts w:hint="eastAsia" w:asciiTheme="minorEastAsia" w:hAnsiTheme="minorEastAsia" w:eastAsiaTheme="minorEastAsia" w:cstheme="minorEastAsia"/>
          <w:color w:val="auto"/>
          <w:spacing w:val="3"/>
          <w:sz w:val="24"/>
          <w:szCs w:val="24"/>
        </w:rPr>
        <w:t>泥、砂石料等大宗材料进场验收管理制度；钢材、沥青、木</w:t>
      </w:r>
      <w:r>
        <w:rPr>
          <w:rFonts w:hint="eastAsia" w:asciiTheme="minorEastAsia" w:hAnsiTheme="minorEastAsia" w:eastAsiaTheme="minorEastAsia" w:cstheme="minorEastAsia"/>
          <w:color w:val="auto"/>
          <w:spacing w:val="-6"/>
          <w:sz w:val="24"/>
          <w:szCs w:val="24"/>
        </w:rPr>
        <w:t>材、水泥、砂石料等材料的消耗、评估值需达到分解指标；优先采用高效钢筋与预应力技术、钢筋直螺纹连接、电渣压力焊</w:t>
      </w:r>
      <w:r>
        <w:rPr>
          <w:rFonts w:hint="eastAsia" w:asciiTheme="minorEastAsia" w:hAnsiTheme="minorEastAsia" w:eastAsiaTheme="minorEastAsia" w:cstheme="minorEastAsia"/>
          <w:color w:val="auto"/>
          <w:spacing w:val="-10"/>
          <w:sz w:val="24"/>
          <w:szCs w:val="24"/>
        </w:rPr>
        <w:t>技术等节材效果明显的新技术。</w:t>
      </w:r>
    </w:p>
    <w:p>
      <w:pPr>
        <w:pStyle w:val="32"/>
        <w:numPr>
          <w:ilvl w:val="0"/>
          <w:numId w:val="71"/>
        </w:numPr>
        <w:tabs>
          <w:tab w:val="left" w:pos="2285"/>
        </w:tabs>
        <w:spacing w:line="500" w:lineRule="exact"/>
        <w:ind w:left="0"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优先使用国家、行业推荐的节能、高效、环保的施</w:t>
      </w:r>
      <w:r>
        <w:rPr>
          <w:rFonts w:hint="eastAsia" w:asciiTheme="minorEastAsia" w:hAnsiTheme="minorEastAsia" w:eastAsiaTheme="minorEastAsia" w:cstheme="minorEastAsia"/>
          <w:color w:val="auto"/>
          <w:spacing w:val="-6"/>
          <w:sz w:val="24"/>
          <w:szCs w:val="24"/>
        </w:rPr>
        <w:t>工设备和机具，选择功率与负载相匹配的施工机械设备，避免大功率施工机械设备低负载长时间运行。选择逆变式电焊机和能耗低、效率高的手持电动工具等，以利节电、机械设备宜使用节能型油料添加剂，在可能的情况下，考虑回收利用，节约油量。</w:t>
      </w:r>
    </w:p>
    <w:p>
      <w:pPr>
        <w:pStyle w:val="32"/>
        <w:numPr>
          <w:ilvl w:val="0"/>
          <w:numId w:val="71"/>
        </w:numPr>
        <w:tabs>
          <w:tab w:val="left" w:pos="2285"/>
        </w:tabs>
        <w:spacing w:line="500" w:lineRule="exact"/>
        <w:ind w:left="0"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 xml:space="preserve">在施工组织设计中，合理安排施工顺序、工作面， </w:t>
      </w:r>
      <w:r>
        <w:rPr>
          <w:rFonts w:hint="eastAsia" w:asciiTheme="minorEastAsia" w:hAnsiTheme="minorEastAsia" w:eastAsiaTheme="minorEastAsia" w:cstheme="minorEastAsia"/>
          <w:color w:val="auto"/>
          <w:spacing w:val="-6"/>
          <w:sz w:val="24"/>
          <w:szCs w:val="24"/>
        </w:rPr>
        <w:t>以减少作业区域的机具数量，相邻作业区充分利用共有的机具资源。安排施工工艺时，应优先考虑耗用电能或其它能耗少的施工工艺。避免设备额定功率远大于使用功率或超负荷使用设</w:t>
      </w:r>
      <w:r>
        <w:rPr>
          <w:rFonts w:hint="eastAsia" w:asciiTheme="minorEastAsia" w:hAnsiTheme="minorEastAsia" w:eastAsiaTheme="minorEastAsia" w:cstheme="minorEastAsia"/>
          <w:color w:val="auto"/>
          <w:spacing w:val="-8"/>
          <w:sz w:val="24"/>
          <w:szCs w:val="24"/>
        </w:rPr>
        <w:t>备的现象。</w:t>
      </w:r>
    </w:p>
    <w:p>
      <w:pPr>
        <w:pStyle w:val="32"/>
        <w:numPr>
          <w:ilvl w:val="0"/>
          <w:numId w:val="71"/>
        </w:numPr>
        <w:tabs>
          <w:tab w:val="left" w:pos="2285"/>
        </w:tabs>
        <w:spacing w:line="500" w:lineRule="exact"/>
        <w:ind w:left="0"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临时用电优先选用节能电线和节能灯具，临时用电</w:t>
      </w:r>
      <w:r>
        <w:rPr>
          <w:rFonts w:hint="eastAsia" w:asciiTheme="minorEastAsia" w:hAnsiTheme="minorEastAsia" w:eastAsiaTheme="minorEastAsia" w:cstheme="minorEastAsia"/>
          <w:color w:val="auto"/>
          <w:spacing w:val="-6"/>
          <w:sz w:val="24"/>
          <w:szCs w:val="24"/>
        </w:rPr>
        <w:t>线路合理设计、布置，临时用电设备宜采用自动控制装置，采</w:t>
      </w:r>
      <w:r>
        <w:rPr>
          <w:rFonts w:hint="eastAsia" w:asciiTheme="minorEastAsia" w:hAnsiTheme="minorEastAsia" w:eastAsiaTheme="minorEastAsia" w:cstheme="minorEastAsia"/>
          <w:color w:val="auto"/>
          <w:spacing w:val="-10"/>
          <w:sz w:val="24"/>
          <w:szCs w:val="24"/>
        </w:rPr>
        <w:t>用声控、光控等照明灯具。照明设计以满足最低照度为原则。</w:t>
      </w:r>
    </w:p>
    <w:p>
      <w:pPr>
        <w:pStyle w:val="2"/>
        <w:tabs>
          <w:tab w:val="left" w:pos="1548"/>
        </w:tabs>
        <w:spacing w:before="0" w:line="500" w:lineRule="exact"/>
        <w:ind w:left="0"/>
        <w:jc w:val="both"/>
        <w:rPr>
          <w:rFonts w:asciiTheme="minorEastAsia" w:hAnsiTheme="minorEastAsia" w:eastAsiaTheme="minorEastAsia" w:cstheme="minorEastAsia"/>
          <w:color w:val="auto"/>
          <w:sz w:val="24"/>
          <w:szCs w:val="24"/>
        </w:rPr>
      </w:pPr>
      <w:bookmarkStart w:id="145" w:name="_Toc5871"/>
      <w:r>
        <w:rPr>
          <w:rFonts w:hint="eastAsia"/>
          <w:color w:val="auto"/>
          <w:sz w:val="30"/>
          <w:szCs w:val="30"/>
        </w:rPr>
        <w:t>9.9</w:t>
      </w:r>
      <w:r>
        <w:rPr>
          <w:rFonts w:hint="eastAsia" w:asciiTheme="minorEastAsia" w:hAnsiTheme="minorEastAsia" w:eastAsiaTheme="minorEastAsia" w:cstheme="minorEastAsia"/>
          <w:color w:val="auto"/>
          <w:sz w:val="24"/>
          <w:szCs w:val="24"/>
          <w:lang w:val="en-US"/>
        </w:rPr>
        <w:t xml:space="preserve"> </w:t>
      </w:r>
      <w:r>
        <w:rPr>
          <w:rFonts w:hint="eastAsia" w:asciiTheme="minorEastAsia" w:hAnsiTheme="minorEastAsia" w:eastAsiaTheme="minorEastAsia" w:cstheme="minorEastAsia"/>
          <w:color w:val="auto"/>
          <w:sz w:val="24"/>
          <w:szCs w:val="24"/>
        </w:rPr>
        <w:t>运营期节能措施</w:t>
      </w:r>
      <w:bookmarkEnd w:id="145"/>
    </w:p>
    <w:p>
      <w:pPr>
        <w:tabs>
          <w:tab w:val="left" w:pos="1796"/>
        </w:tabs>
        <w:spacing w:line="500" w:lineRule="exact"/>
        <w:ind w:left="567"/>
        <w:jc w:val="both"/>
        <w:rPr>
          <w:rFonts w:asciiTheme="minorEastAsia" w:hAnsiTheme="minorEastAsia" w:eastAsiaTheme="minorEastAsia" w:cstheme="minorEastAsia"/>
          <w:b/>
          <w:color w:val="auto"/>
          <w:sz w:val="24"/>
          <w:szCs w:val="24"/>
        </w:rPr>
      </w:pPr>
      <w:r>
        <w:rPr>
          <w:rFonts w:hint="eastAsia" w:ascii="黑体" w:hAnsi="黑体" w:eastAsia="黑体" w:cs="黑体"/>
          <w:b/>
          <w:color w:val="auto"/>
          <w:sz w:val="28"/>
          <w:szCs w:val="28"/>
        </w:rPr>
        <w:t>9.9.1</w:t>
      </w:r>
      <w:r>
        <w:rPr>
          <w:rFonts w:hint="eastAsia" w:ascii="黑体" w:hAnsi="黑体" w:eastAsia="黑体" w:cs="黑体"/>
          <w:b/>
          <w:color w:val="auto"/>
          <w:sz w:val="28"/>
          <w:szCs w:val="28"/>
          <w:lang w:val="en-US"/>
        </w:rPr>
        <w:t xml:space="preserve"> </w:t>
      </w:r>
      <w:r>
        <w:rPr>
          <w:rFonts w:hint="eastAsia" w:asciiTheme="minorEastAsia" w:hAnsiTheme="minorEastAsia" w:eastAsiaTheme="minorEastAsia" w:cstheme="minorEastAsia"/>
          <w:b/>
          <w:color w:val="auto"/>
          <w:sz w:val="24"/>
          <w:szCs w:val="24"/>
        </w:rPr>
        <w:t>设立能源管理机构</w:t>
      </w:r>
    </w:p>
    <w:p>
      <w:pPr>
        <w:pStyle w:val="10"/>
        <w:spacing w:line="500" w:lineRule="exact"/>
        <w:ind w:firstLine="49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4"/>
          <w:sz w:val="24"/>
          <w:szCs w:val="24"/>
        </w:rPr>
        <w:t>建议项目单位设立节能管理领导小组，最高负责人任组</w:t>
      </w:r>
      <w:r>
        <w:rPr>
          <w:rFonts w:hint="eastAsia" w:asciiTheme="minorEastAsia" w:hAnsiTheme="minorEastAsia" w:eastAsiaTheme="minorEastAsia" w:cstheme="minorEastAsia"/>
          <w:color w:val="auto"/>
          <w:spacing w:val="-6"/>
          <w:sz w:val="24"/>
          <w:szCs w:val="24"/>
        </w:rPr>
        <w:t>长，统筹安排节能管理工作，各部门主要负责人为小组成员， 负责本部门节能管理工作。根据实际需要，可调配专人安装能</w:t>
      </w:r>
      <w:r>
        <w:rPr>
          <w:rFonts w:hint="eastAsia" w:asciiTheme="minorEastAsia" w:hAnsiTheme="minorEastAsia" w:eastAsiaTheme="minorEastAsia" w:cstheme="minorEastAsia"/>
          <w:color w:val="auto"/>
          <w:spacing w:val="-10"/>
          <w:sz w:val="24"/>
          <w:szCs w:val="24"/>
        </w:rPr>
        <w:t>源计量器具的配备、使用、检定、维修、报废等管理工作。</w:t>
      </w:r>
    </w:p>
    <w:p>
      <w:pPr>
        <w:tabs>
          <w:tab w:val="left" w:pos="1796"/>
        </w:tabs>
        <w:spacing w:line="500" w:lineRule="exact"/>
        <w:ind w:left="567"/>
        <w:jc w:val="both"/>
        <w:rPr>
          <w:rFonts w:asciiTheme="minorEastAsia" w:hAnsiTheme="minorEastAsia" w:eastAsiaTheme="minorEastAsia" w:cstheme="minorEastAsia"/>
          <w:b/>
          <w:color w:val="auto"/>
          <w:sz w:val="24"/>
          <w:szCs w:val="24"/>
        </w:rPr>
      </w:pPr>
      <w:r>
        <w:rPr>
          <w:rFonts w:hint="eastAsia" w:ascii="黑体" w:hAnsi="黑体" w:eastAsia="黑体" w:cs="黑体"/>
          <w:b/>
          <w:color w:val="auto"/>
          <w:sz w:val="28"/>
          <w:szCs w:val="28"/>
        </w:rPr>
        <w:t>9.9.2</w:t>
      </w:r>
      <w:r>
        <w:rPr>
          <w:rFonts w:hint="eastAsia" w:ascii="黑体" w:hAnsi="黑体" w:eastAsia="黑体" w:cs="黑体"/>
          <w:b/>
          <w:color w:val="auto"/>
          <w:sz w:val="28"/>
          <w:szCs w:val="28"/>
          <w:lang w:val="en-US"/>
        </w:rPr>
        <w:t xml:space="preserve"> </w:t>
      </w:r>
      <w:r>
        <w:rPr>
          <w:rFonts w:hint="eastAsia" w:asciiTheme="minorEastAsia" w:hAnsiTheme="minorEastAsia" w:eastAsiaTheme="minorEastAsia" w:cstheme="minorEastAsia"/>
          <w:b/>
          <w:color w:val="auto"/>
          <w:sz w:val="24"/>
          <w:szCs w:val="24"/>
        </w:rPr>
        <w:t>制订节能管理制度</w:t>
      </w:r>
    </w:p>
    <w:p>
      <w:pPr>
        <w:pStyle w:val="10"/>
        <w:spacing w:line="500" w:lineRule="exact"/>
        <w:ind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建议制订并贯彻落实节能、节水管理制度与措施。一是制订用电设备采购选型、日常使用、维护保养、报废处理等环节的相关规章制度，强化用电管理；二是加强项目运作日常耗材的管理，建议制订限额消耗标准；三是对用电器具实施定期检</w:t>
      </w:r>
      <w:r>
        <w:rPr>
          <w:rFonts w:hint="eastAsia" w:asciiTheme="minorEastAsia" w:hAnsiTheme="minorEastAsia" w:eastAsiaTheme="minorEastAsia" w:cstheme="minorEastAsia"/>
          <w:color w:val="auto"/>
          <w:spacing w:val="-10"/>
          <w:sz w:val="24"/>
          <w:szCs w:val="24"/>
        </w:rPr>
        <w:t>查维修制度，尽量提高电力资源利用效率。</w:t>
      </w:r>
    </w:p>
    <w:p>
      <w:pPr>
        <w:pStyle w:val="32"/>
        <w:numPr>
          <w:ilvl w:val="0"/>
          <w:numId w:val="0"/>
        </w:numPr>
        <w:tabs>
          <w:tab w:val="left" w:pos="1796"/>
        </w:tabs>
        <w:spacing w:line="500" w:lineRule="exact"/>
        <w:ind w:left="482"/>
        <w:jc w:val="both"/>
        <w:rPr>
          <w:rFonts w:asciiTheme="minorEastAsia" w:hAnsiTheme="minorEastAsia" w:eastAsiaTheme="minorEastAsia" w:cstheme="minorEastAsia"/>
          <w:b/>
          <w:color w:val="auto"/>
          <w:sz w:val="24"/>
          <w:szCs w:val="24"/>
        </w:rPr>
      </w:pPr>
      <w:r>
        <w:rPr>
          <w:rFonts w:hint="eastAsia" w:ascii="黑体" w:hAnsi="黑体" w:eastAsia="黑体" w:cs="黑体"/>
          <w:b/>
          <w:color w:val="auto"/>
          <w:sz w:val="28"/>
          <w:szCs w:val="28"/>
        </w:rPr>
        <w:t>9.9.3</w:t>
      </w:r>
      <w:r>
        <w:rPr>
          <w:rFonts w:hint="eastAsia" w:ascii="黑体" w:hAnsi="黑体" w:eastAsia="黑体" w:cs="黑体"/>
          <w:b/>
          <w:color w:val="auto"/>
          <w:sz w:val="28"/>
          <w:szCs w:val="28"/>
          <w:lang w:val="en-US"/>
        </w:rPr>
        <w:t xml:space="preserve"> </w:t>
      </w:r>
      <w:r>
        <w:rPr>
          <w:rFonts w:hint="eastAsia" w:asciiTheme="minorEastAsia" w:hAnsiTheme="minorEastAsia" w:eastAsiaTheme="minorEastAsia" w:cstheme="minorEastAsia"/>
          <w:b/>
          <w:color w:val="auto"/>
          <w:sz w:val="24"/>
          <w:szCs w:val="24"/>
        </w:rPr>
        <w:t>电气节能</w:t>
      </w:r>
    </w:p>
    <w:p>
      <w:pPr>
        <w:pStyle w:val="32"/>
        <w:numPr>
          <w:ilvl w:val="0"/>
          <w:numId w:val="72"/>
        </w:numPr>
        <w:tabs>
          <w:tab w:val="left" w:pos="2271"/>
        </w:tabs>
        <w:spacing w:line="500" w:lineRule="exact"/>
        <w:ind w:left="0" w:firstLine="44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8"/>
          <w:sz w:val="24"/>
          <w:szCs w:val="24"/>
        </w:rPr>
        <w:t>供配电系统</w:t>
      </w:r>
    </w:p>
    <w:p>
      <w:pPr>
        <w:pStyle w:val="10"/>
        <w:spacing w:line="500" w:lineRule="exact"/>
        <w:ind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根据负荷容量、供电距离及分布、用电设备特点等因素， 合理选择供配电系统，包括变压器及配套设施。变电所应尽量靠近负荷中心，以缩短配电半径，减少线路损失，内部变电所之间宜敷设联络线，根据负荷情况，可切除部分变压器，从而</w:t>
      </w:r>
      <w:r>
        <w:rPr>
          <w:rFonts w:hint="eastAsia" w:asciiTheme="minorEastAsia" w:hAnsiTheme="minorEastAsia" w:eastAsiaTheme="minorEastAsia" w:cstheme="minorEastAsia"/>
          <w:color w:val="auto"/>
          <w:spacing w:val="-8"/>
          <w:sz w:val="24"/>
          <w:szCs w:val="24"/>
        </w:rPr>
        <w:t>降低电耗。</w:t>
      </w:r>
    </w:p>
    <w:p>
      <w:pPr>
        <w:pStyle w:val="32"/>
        <w:numPr>
          <w:ilvl w:val="0"/>
          <w:numId w:val="72"/>
        </w:numPr>
        <w:tabs>
          <w:tab w:val="left" w:pos="2271"/>
        </w:tabs>
        <w:spacing w:line="500" w:lineRule="exact"/>
        <w:ind w:left="0" w:firstLine="44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8"/>
          <w:sz w:val="24"/>
          <w:szCs w:val="24"/>
        </w:rPr>
        <w:t>配电变压器</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应根据负荷情况，综合考虑投资和年运行费用，选择变压</w:t>
      </w:r>
      <w:r>
        <w:rPr>
          <w:rFonts w:hint="eastAsia" w:asciiTheme="minorEastAsia" w:hAnsiTheme="minorEastAsia" w:eastAsiaTheme="minorEastAsia" w:cstheme="minorEastAsia"/>
          <w:color w:val="auto"/>
          <w:spacing w:val="-6"/>
          <w:sz w:val="24"/>
          <w:szCs w:val="24"/>
        </w:rPr>
        <w:t>器的容量和台数，对负荷进行合理分配，选取容量与电力负荷相适应的变压器。尽量选用节能型变压器，更换或改造高能耗</w:t>
      </w:r>
      <w:r>
        <w:rPr>
          <w:rFonts w:hint="eastAsia" w:asciiTheme="minorEastAsia" w:hAnsiTheme="minorEastAsia" w:eastAsiaTheme="minorEastAsia" w:cstheme="minorEastAsia"/>
          <w:color w:val="auto"/>
          <w:spacing w:val="-8"/>
          <w:sz w:val="24"/>
          <w:szCs w:val="24"/>
        </w:rPr>
        <w:t>的变压器。</w:t>
      </w:r>
    </w:p>
    <w:p>
      <w:pPr>
        <w:pStyle w:val="32"/>
        <w:numPr>
          <w:ilvl w:val="0"/>
          <w:numId w:val="72"/>
        </w:numPr>
        <w:tabs>
          <w:tab w:val="left" w:pos="2271"/>
        </w:tabs>
        <w:spacing w:line="500" w:lineRule="exact"/>
        <w:ind w:left="0" w:firstLine="452"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7"/>
          <w:sz w:val="24"/>
          <w:szCs w:val="24"/>
        </w:rPr>
        <w:t>电力电缆</w:t>
      </w:r>
    </w:p>
    <w:p>
      <w:pPr>
        <w:pStyle w:val="10"/>
        <w:spacing w:line="500" w:lineRule="exact"/>
        <w:ind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电缆截面的选择应同时满足技术条件和经济电流条件，取</w:t>
      </w:r>
      <w:r>
        <w:rPr>
          <w:rFonts w:hint="eastAsia" w:asciiTheme="minorEastAsia" w:hAnsiTheme="minorEastAsia" w:eastAsiaTheme="minorEastAsia" w:cstheme="minorEastAsia"/>
          <w:color w:val="auto"/>
          <w:spacing w:val="3"/>
          <w:sz w:val="24"/>
          <w:szCs w:val="24"/>
        </w:rPr>
        <w:t>截面较大者，按经济电流条件选择电缆有利于电缆的节能降</w:t>
      </w:r>
      <w:r>
        <w:rPr>
          <w:rFonts w:hint="eastAsia" w:asciiTheme="minorEastAsia" w:hAnsiTheme="minorEastAsia" w:eastAsiaTheme="minorEastAsia" w:cstheme="minorEastAsia"/>
          <w:color w:val="auto"/>
          <w:spacing w:val="-3"/>
          <w:sz w:val="24"/>
          <w:szCs w:val="24"/>
        </w:rPr>
        <w:t>耗。</w:t>
      </w:r>
    </w:p>
    <w:p>
      <w:pPr>
        <w:pStyle w:val="32"/>
        <w:numPr>
          <w:ilvl w:val="0"/>
          <w:numId w:val="72"/>
        </w:numPr>
        <w:tabs>
          <w:tab w:val="left" w:pos="2271"/>
        </w:tabs>
        <w:spacing w:line="500" w:lineRule="exact"/>
        <w:ind w:left="0" w:firstLine="44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8"/>
          <w:sz w:val="24"/>
          <w:szCs w:val="24"/>
        </w:rPr>
        <w:t>选用节电装置</w:t>
      </w:r>
    </w:p>
    <w:p>
      <w:pPr>
        <w:pStyle w:val="10"/>
        <w:spacing w:line="500" w:lineRule="exact"/>
        <w:ind w:firstLine="452"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7"/>
          <w:sz w:val="24"/>
          <w:szCs w:val="24"/>
        </w:rPr>
        <w:t>自动稳压型交流电源集中控制节电装置，采用“电磁平衡</w:t>
      </w:r>
      <w:r>
        <w:rPr>
          <w:rFonts w:hint="eastAsia" w:asciiTheme="minorEastAsia" w:hAnsiTheme="minorEastAsia" w:eastAsiaTheme="minorEastAsia" w:cstheme="minorEastAsia"/>
          <w:color w:val="auto"/>
          <w:spacing w:val="-6"/>
          <w:sz w:val="24"/>
          <w:szCs w:val="24"/>
        </w:rPr>
        <w:t>原理”节电技术，通过装置本身的感抗和复合系统感抗形成互感，可提高复合系统电能的利用率。节电装置串联接入电力系统中，对系统输入电能进行集中控制与多方位管理，改善电能</w:t>
      </w:r>
      <w:r>
        <w:rPr>
          <w:rFonts w:hint="eastAsia" w:asciiTheme="minorEastAsia" w:hAnsiTheme="minorEastAsia" w:eastAsiaTheme="minorEastAsia" w:cstheme="minorEastAsia"/>
          <w:color w:val="auto"/>
          <w:spacing w:val="-10"/>
          <w:sz w:val="24"/>
          <w:szCs w:val="24"/>
        </w:rPr>
        <w:t>质量，将供电参数调整到负荷设备最合适的工作状态。</w:t>
      </w:r>
    </w:p>
    <w:p>
      <w:pPr>
        <w:pStyle w:val="32"/>
        <w:numPr>
          <w:ilvl w:val="0"/>
          <w:numId w:val="72"/>
        </w:numPr>
        <w:tabs>
          <w:tab w:val="left" w:pos="2271"/>
        </w:tabs>
        <w:spacing w:line="500" w:lineRule="exact"/>
        <w:ind w:left="0" w:firstLine="44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9"/>
          <w:sz w:val="24"/>
          <w:szCs w:val="24"/>
        </w:rPr>
        <w:t>采取抑制谐波技术</w:t>
      </w:r>
    </w:p>
    <w:p>
      <w:pPr>
        <w:pStyle w:val="10"/>
        <w:spacing w:line="500" w:lineRule="exact"/>
        <w:ind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谐波的产生会导致电动机效率降低、寿命缩短，谐波电流会引起电气设备及配电线路过载导致短路，甚至引发火灾等。</w:t>
      </w:r>
      <w:r>
        <w:rPr>
          <w:rFonts w:hint="eastAsia" w:asciiTheme="minorEastAsia" w:hAnsiTheme="minorEastAsia" w:eastAsiaTheme="minorEastAsia" w:cstheme="minorEastAsia"/>
          <w:color w:val="auto"/>
          <w:spacing w:val="3"/>
          <w:sz w:val="24"/>
          <w:szCs w:val="24"/>
        </w:rPr>
        <w:t>常用的抑制方法有增加换流装置的脉动数、加装交流滤波装</w:t>
      </w:r>
      <w:r>
        <w:rPr>
          <w:rFonts w:hint="eastAsia" w:asciiTheme="minorEastAsia" w:hAnsiTheme="minorEastAsia" w:eastAsiaTheme="minorEastAsia" w:cstheme="minorEastAsia"/>
          <w:color w:val="auto"/>
          <w:spacing w:val="-6"/>
          <w:sz w:val="24"/>
          <w:szCs w:val="24"/>
        </w:rPr>
        <w:t>置、改善三相不平衡度、在用户进线处加装串联电抗器、采用</w:t>
      </w:r>
      <w:r>
        <w:rPr>
          <w:rFonts w:hint="eastAsia" w:asciiTheme="minorEastAsia" w:hAnsiTheme="minorEastAsia" w:eastAsiaTheme="minorEastAsia" w:cstheme="minorEastAsia"/>
          <w:color w:val="auto"/>
          <w:sz w:val="24"/>
          <w:szCs w:val="24"/>
        </w:rPr>
        <w:t>有源滤波器/无源滤波器等新型滤波措施，从而抑制高次谐波</w:t>
      </w:r>
      <w:r>
        <w:rPr>
          <w:rFonts w:hint="eastAsia" w:asciiTheme="minorEastAsia" w:hAnsiTheme="minorEastAsia" w:eastAsiaTheme="minorEastAsia" w:cstheme="minorEastAsia"/>
          <w:color w:val="auto"/>
          <w:spacing w:val="-10"/>
          <w:sz w:val="24"/>
          <w:szCs w:val="24"/>
        </w:rPr>
        <w:t>造成的系统发热和损耗，实现电气系统的节能。</w:t>
      </w:r>
    </w:p>
    <w:p>
      <w:pPr>
        <w:pStyle w:val="32"/>
        <w:numPr>
          <w:ilvl w:val="0"/>
          <w:numId w:val="72"/>
        </w:numPr>
        <w:tabs>
          <w:tab w:val="left" w:pos="2271"/>
        </w:tabs>
        <w:spacing w:line="500" w:lineRule="exact"/>
        <w:ind w:left="0" w:firstLine="44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9"/>
          <w:sz w:val="24"/>
          <w:szCs w:val="24"/>
        </w:rPr>
        <w:t>供配电系统节能措施</w:t>
      </w:r>
    </w:p>
    <w:p>
      <w:pPr>
        <w:pStyle w:val="32"/>
        <w:numPr>
          <w:ilvl w:val="0"/>
          <w:numId w:val="73"/>
        </w:numPr>
        <w:tabs>
          <w:tab w:val="left" w:pos="1980"/>
        </w:tabs>
        <w:spacing w:line="500" w:lineRule="exact"/>
        <w:ind w:left="0" w:firstLine="468" w:firstLineChars="200"/>
        <w:jc w:val="both"/>
        <w:rPr>
          <w:rFonts w:asciiTheme="minorEastAsia" w:hAnsiTheme="minorEastAsia" w:eastAsiaTheme="minorEastAsia" w:cstheme="minorEastAsia"/>
          <w:color w:val="auto"/>
          <w:spacing w:val="-3"/>
          <w:sz w:val="24"/>
          <w:szCs w:val="24"/>
        </w:rPr>
      </w:pPr>
      <w:r>
        <w:rPr>
          <w:rFonts w:hint="eastAsia" w:asciiTheme="minorEastAsia" w:hAnsiTheme="minorEastAsia" w:eastAsiaTheme="minorEastAsia" w:cstheme="minorEastAsia"/>
          <w:color w:val="auto"/>
          <w:spacing w:val="-3"/>
          <w:sz w:val="24"/>
          <w:szCs w:val="24"/>
        </w:rPr>
        <w:t>变配电室设置在负载最集中的地方，供电半径合理，能减少长期运行所造成的线路损失，并在变配电室设低压电容器补偿，自动补偿无功功率，减少能耗。</w:t>
      </w:r>
    </w:p>
    <w:p>
      <w:pPr>
        <w:pStyle w:val="32"/>
        <w:numPr>
          <w:ilvl w:val="0"/>
          <w:numId w:val="73"/>
        </w:numPr>
        <w:tabs>
          <w:tab w:val="left" w:pos="1980"/>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三相配电干线的各相负荷应分配平衡，最大相负荷不应超过三</w:t>
      </w:r>
      <w:r>
        <w:rPr>
          <w:rFonts w:hint="eastAsia" w:asciiTheme="minorEastAsia" w:hAnsiTheme="minorEastAsia" w:eastAsiaTheme="minorEastAsia" w:cstheme="minorEastAsia"/>
          <w:color w:val="auto"/>
          <w:spacing w:val="-7"/>
          <w:sz w:val="24"/>
          <w:szCs w:val="24"/>
        </w:rPr>
        <w:t xml:space="preserve">相负荷平均值的 </w:t>
      </w:r>
      <w:r>
        <w:rPr>
          <w:rFonts w:hint="eastAsia" w:asciiTheme="minorEastAsia" w:hAnsiTheme="minorEastAsia" w:eastAsiaTheme="minorEastAsia" w:cstheme="minorEastAsia"/>
          <w:color w:val="auto"/>
          <w:spacing w:val="-4"/>
          <w:sz w:val="24"/>
          <w:szCs w:val="24"/>
        </w:rPr>
        <w:t>110％，最小相负荷不应小于平均值</w:t>
      </w:r>
      <w:r>
        <w:rPr>
          <w:rFonts w:hint="eastAsia" w:asciiTheme="minorEastAsia" w:hAnsiTheme="minorEastAsia" w:eastAsiaTheme="minorEastAsia" w:cstheme="minorEastAsia"/>
          <w:color w:val="auto"/>
          <w:spacing w:val="-47"/>
          <w:sz w:val="24"/>
          <w:szCs w:val="24"/>
        </w:rPr>
        <w:t xml:space="preserve">的 </w:t>
      </w:r>
      <w:r>
        <w:rPr>
          <w:rFonts w:hint="eastAsia" w:asciiTheme="minorEastAsia" w:hAnsiTheme="minorEastAsia" w:eastAsiaTheme="minorEastAsia" w:cstheme="minorEastAsia"/>
          <w:color w:val="auto"/>
          <w:spacing w:val="-7"/>
          <w:sz w:val="24"/>
          <w:szCs w:val="24"/>
        </w:rPr>
        <w:t>90</w:t>
      </w:r>
      <w:r>
        <w:rPr>
          <w:rFonts w:hint="eastAsia" w:asciiTheme="minorEastAsia" w:hAnsiTheme="minorEastAsia" w:eastAsiaTheme="minorEastAsia" w:cstheme="minorEastAsia"/>
          <w:color w:val="auto"/>
          <w:spacing w:val="-4"/>
          <w:sz w:val="24"/>
          <w:szCs w:val="24"/>
        </w:rPr>
        <w:t>％。</w:t>
      </w:r>
    </w:p>
    <w:p>
      <w:pPr>
        <w:pStyle w:val="32"/>
        <w:numPr>
          <w:ilvl w:val="0"/>
          <w:numId w:val="73"/>
        </w:numPr>
        <w:tabs>
          <w:tab w:val="left" w:pos="1980"/>
        </w:tabs>
        <w:spacing w:line="500" w:lineRule="exact"/>
        <w:ind w:left="0" w:firstLine="44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0"/>
          <w:sz w:val="24"/>
          <w:szCs w:val="24"/>
        </w:rPr>
        <w:t>配电干线和分支线选用铜芯绝缘导线或电缆。</w:t>
      </w:r>
    </w:p>
    <w:p>
      <w:pPr>
        <w:pStyle w:val="32"/>
        <w:numPr>
          <w:ilvl w:val="0"/>
          <w:numId w:val="73"/>
        </w:numPr>
        <w:tabs>
          <w:tab w:val="left" w:pos="1980"/>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功率因数不低于标准值，配电干线的功率因数不宜低</w:t>
      </w:r>
      <w:r>
        <w:rPr>
          <w:rFonts w:hint="eastAsia" w:asciiTheme="minorEastAsia" w:hAnsiTheme="minorEastAsia" w:eastAsiaTheme="minorEastAsia" w:cstheme="minorEastAsia"/>
          <w:color w:val="auto"/>
          <w:spacing w:val="-44"/>
          <w:sz w:val="24"/>
          <w:szCs w:val="24"/>
        </w:rPr>
        <w:t xml:space="preserve">于 </w:t>
      </w:r>
      <w:r>
        <w:rPr>
          <w:rFonts w:hint="eastAsia" w:asciiTheme="minorEastAsia" w:hAnsiTheme="minorEastAsia" w:eastAsiaTheme="minorEastAsia" w:cstheme="minorEastAsia"/>
          <w:color w:val="auto"/>
          <w:spacing w:val="-8"/>
          <w:sz w:val="24"/>
          <w:szCs w:val="24"/>
        </w:rPr>
        <w:t>0.9</w:t>
      </w:r>
      <w:r>
        <w:rPr>
          <w:rFonts w:hint="eastAsia" w:asciiTheme="minorEastAsia" w:hAnsiTheme="minorEastAsia" w:eastAsiaTheme="minorEastAsia" w:cstheme="minorEastAsia"/>
          <w:color w:val="auto"/>
          <w:sz w:val="24"/>
          <w:szCs w:val="24"/>
        </w:rPr>
        <w:t>。</w:t>
      </w:r>
    </w:p>
    <w:p>
      <w:pPr>
        <w:tabs>
          <w:tab w:val="left" w:pos="1796"/>
        </w:tabs>
        <w:spacing w:line="500" w:lineRule="exact"/>
        <w:ind w:left="567"/>
        <w:jc w:val="both"/>
        <w:rPr>
          <w:rFonts w:asciiTheme="minorEastAsia" w:hAnsiTheme="minorEastAsia" w:eastAsiaTheme="minorEastAsia" w:cstheme="minorEastAsia"/>
          <w:b/>
          <w:color w:val="auto"/>
          <w:sz w:val="24"/>
          <w:szCs w:val="24"/>
        </w:rPr>
      </w:pPr>
      <w:r>
        <w:rPr>
          <w:rFonts w:hint="eastAsia" w:ascii="黑体" w:hAnsi="黑体" w:eastAsia="黑体" w:cs="黑体"/>
          <w:b/>
          <w:color w:val="auto"/>
          <w:sz w:val="28"/>
          <w:szCs w:val="28"/>
        </w:rPr>
        <w:t>9.9.4</w:t>
      </w:r>
      <w:r>
        <w:rPr>
          <w:rFonts w:hint="eastAsia" w:ascii="黑体" w:hAnsi="黑体" w:eastAsia="黑体" w:cs="黑体"/>
          <w:b/>
          <w:color w:val="auto"/>
          <w:sz w:val="28"/>
          <w:szCs w:val="28"/>
          <w:lang w:val="en-US"/>
        </w:rPr>
        <w:t xml:space="preserve"> </w:t>
      </w:r>
      <w:r>
        <w:rPr>
          <w:rFonts w:hint="eastAsia" w:asciiTheme="minorEastAsia" w:hAnsiTheme="minorEastAsia" w:eastAsiaTheme="minorEastAsia" w:cstheme="minorEastAsia"/>
          <w:b/>
          <w:color w:val="auto"/>
          <w:sz w:val="24"/>
          <w:szCs w:val="24"/>
        </w:rPr>
        <w:t>设备节能</w:t>
      </w:r>
    </w:p>
    <w:p>
      <w:pPr>
        <w:pStyle w:val="10"/>
        <w:spacing w:line="500" w:lineRule="exact"/>
        <w:ind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目前，国内有许多污水处理厂虽建有完善的污水污泥处理工艺，但往往不能够坚持运转，只能转转停停，其主要原因是</w:t>
      </w:r>
      <w:r>
        <w:rPr>
          <w:rFonts w:hint="eastAsia" w:asciiTheme="minorEastAsia" w:hAnsiTheme="minorEastAsia" w:eastAsiaTheme="minorEastAsia" w:cstheme="minorEastAsia"/>
          <w:color w:val="auto"/>
          <w:spacing w:val="-10"/>
          <w:sz w:val="24"/>
          <w:szCs w:val="24"/>
        </w:rPr>
        <w:t>处理厂能耗太高，因此节能是非常重要的。</w:t>
      </w:r>
    </w:p>
    <w:p>
      <w:pPr>
        <w:pStyle w:val="10"/>
        <w:spacing w:line="500" w:lineRule="exact"/>
        <w:ind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在本项目设备选型过程中，积极稳妥的运用四新技术，既注重技术的先进性，又考虑技术的成熟性和实用性，使本本项</w:t>
      </w:r>
      <w:r>
        <w:rPr>
          <w:rFonts w:hint="eastAsia" w:asciiTheme="minorEastAsia" w:hAnsiTheme="minorEastAsia" w:eastAsiaTheme="minorEastAsia" w:cstheme="minorEastAsia"/>
          <w:color w:val="auto"/>
          <w:spacing w:val="-10"/>
          <w:sz w:val="24"/>
          <w:szCs w:val="24"/>
        </w:rPr>
        <w:t>目设备选型更为合理和优化。具体措施如下：</w:t>
      </w:r>
    </w:p>
    <w:p>
      <w:pPr>
        <w:pStyle w:val="10"/>
        <w:spacing w:line="500" w:lineRule="exact"/>
        <w:ind w:firstLine="432" w:firstLineChars="200"/>
        <w:jc w:val="both"/>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12"/>
          <w:sz w:val="24"/>
          <w:szCs w:val="24"/>
        </w:rPr>
        <w:t>耗电量大的设备主要是污水处理设备、变压器。应选用国</w:t>
      </w:r>
      <w:r>
        <w:rPr>
          <w:rFonts w:hint="eastAsia" w:asciiTheme="minorEastAsia" w:hAnsiTheme="minorEastAsia" w:eastAsiaTheme="minorEastAsia" w:cstheme="minorEastAsia"/>
          <w:color w:val="auto"/>
          <w:spacing w:val="-8"/>
          <w:sz w:val="24"/>
          <w:szCs w:val="24"/>
        </w:rPr>
        <w:t>内外效率高、能耗低的先进设备、器材和高质量的电气设备，</w:t>
      </w:r>
      <w:r>
        <w:rPr>
          <w:rFonts w:hint="eastAsia" w:asciiTheme="minorEastAsia" w:hAnsiTheme="minorEastAsia" w:eastAsiaTheme="minorEastAsia" w:cstheme="minorEastAsia"/>
          <w:color w:val="auto"/>
          <w:spacing w:val="-10"/>
          <w:sz w:val="24"/>
          <w:szCs w:val="24"/>
        </w:rPr>
        <w:t>如低损耗变压器等，设备选型中确保经常工作点位于高效区。选用高效低损的节能变压器，并正确选择适当的变压器的</w:t>
      </w:r>
      <w:r>
        <w:rPr>
          <w:rFonts w:hint="eastAsia" w:asciiTheme="minorEastAsia" w:hAnsiTheme="minorEastAsia" w:eastAsiaTheme="minorEastAsia" w:cstheme="minorEastAsia"/>
          <w:color w:val="auto"/>
          <w:spacing w:val="-8"/>
          <w:sz w:val="24"/>
          <w:szCs w:val="24"/>
        </w:rPr>
        <w:t>台数及其负载率，使变压器处于较佳的运行状态，以降低其运行费用，达到节能效果。</w:t>
      </w:r>
    </w:p>
    <w:p>
      <w:pPr>
        <w:pStyle w:val="10"/>
        <w:spacing w:line="500" w:lineRule="exact"/>
        <w:ind w:firstLine="448" w:firstLineChars="200"/>
        <w:jc w:val="both"/>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rPr>
        <w:t>污水提升泵作为污水处理的重要耗能设备，节能非常重要。污水提升泵采用效率高，能耗较低的提升泵，并采用变频调速装置，可根据进水流量的大小，进行调节，避免水泵的频繁起停，延长水泵寿命，应保持集水池的高水位运行，这样可降低泵的扬程，在保证提升水量的前提下降低能耗。</w:t>
      </w:r>
    </w:p>
    <w:p>
      <w:pPr>
        <w:pStyle w:val="10"/>
        <w:spacing w:line="500" w:lineRule="exact"/>
        <w:ind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污水处理采用技术先进的微机测控管理系统，分散检测和控制，中显示和管理，各种设备均可根据污水水质、流量等参数自动调节运转台数或运行时间，可使整个污水处理系统在最</w:t>
      </w:r>
      <w:r>
        <w:rPr>
          <w:rFonts w:hint="eastAsia" w:asciiTheme="minorEastAsia" w:hAnsiTheme="minorEastAsia" w:eastAsiaTheme="minorEastAsia" w:cstheme="minorEastAsia"/>
          <w:color w:val="auto"/>
          <w:spacing w:val="-10"/>
          <w:sz w:val="24"/>
          <w:szCs w:val="24"/>
        </w:rPr>
        <w:t>经济的状态下运行，使运行费用最低。</w:t>
      </w:r>
      <w:r>
        <w:rPr>
          <w:rFonts w:hint="eastAsia" w:asciiTheme="minorEastAsia" w:hAnsiTheme="minorEastAsia" w:eastAsiaTheme="minorEastAsia" w:cstheme="minorEastAsia"/>
          <w:color w:val="auto"/>
          <w:sz w:val="24"/>
          <w:szCs w:val="24"/>
        </w:rPr>
        <w:t>选用无功功率补偿装置,采用软启动，改善高压整定值。</w:t>
      </w:r>
    </w:p>
    <w:p>
      <w:pPr>
        <w:pStyle w:val="10"/>
        <w:spacing w:line="500" w:lineRule="exact"/>
        <w:ind w:firstLine="432"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2"/>
          <w:sz w:val="24"/>
          <w:szCs w:val="24"/>
        </w:rPr>
        <w:t>加强用电设备的围护和管理，杜绝空负荷运行，提高设备</w:t>
      </w:r>
      <w:r>
        <w:rPr>
          <w:rFonts w:hint="eastAsia" w:asciiTheme="minorEastAsia" w:hAnsiTheme="minorEastAsia" w:eastAsiaTheme="minorEastAsia" w:cstheme="minorEastAsia"/>
          <w:color w:val="auto"/>
          <w:spacing w:val="-8"/>
          <w:sz w:val="24"/>
          <w:szCs w:val="24"/>
        </w:rPr>
        <w:t>运行效率。</w:t>
      </w:r>
      <w:r>
        <w:rPr>
          <w:rFonts w:hint="eastAsia" w:asciiTheme="minorEastAsia" w:hAnsiTheme="minorEastAsia" w:eastAsiaTheme="minorEastAsia" w:cstheme="minorEastAsia"/>
          <w:color w:val="auto"/>
          <w:sz w:val="24"/>
          <w:szCs w:val="24"/>
        </w:rPr>
        <w:t>合理选择配电间位置，使其靠近大负荷场所。</w:t>
      </w:r>
    </w:p>
    <w:p>
      <w:pPr>
        <w:pStyle w:val="10"/>
        <w:spacing w:line="500" w:lineRule="exact"/>
        <w:ind w:firstLine="432" w:firstLineChars="200"/>
        <w:jc w:val="both"/>
        <w:rPr>
          <w:rFonts w:asciiTheme="minorEastAsia" w:hAnsiTheme="minorEastAsia" w:eastAsiaTheme="minorEastAsia" w:cstheme="minorEastAsia"/>
          <w:color w:val="auto"/>
          <w:spacing w:val="-10"/>
          <w:sz w:val="24"/>
          <w:szCs w:val="24"/>
        </w:rPr>
      </w:pPr>
      <w:r>
        <w:rPr>
          <w:rFonts w:hint="eastAsia" w:asciiTheme="minorEastAsia" w:hAnsiTheme="minorEastAsia" w:eastAsiaTheme="minorEastAsia" w:cstheme="minorEastAsia"/>
          <w:color w:val="auto"/>
          <w:spacing w:val="-12"/>
          <w:sz w:val="24"/>
          <w:szCs w:val="24"/>
        </w:rPr>
        <w:t>通过对各种能源消耗采取的节能措施，有效的降低了污水</w:t>
      </w:r>
      <w:r>
        <w:rPr>
          <w:rFonts w:hint="eastAsia" w:asciiTheme="minorEastAsia" w:hAnsiTheme="minorEastAsia" w:eastAsiaTheme="minorEastAsia" w:cstheme="minorEastAsia"/>
          <w:color w:val="auto"/>
          <w:spacing w:val="-10"/>
          <w:sz w:val="24"/>
          <w:szCs w:val="24"/>
        </w:rPr>
        <w:t>处理的能耗，从而降低了污水处理的运行成本。</w:t>
      </w:r>
    </w:p>
    <w:p>
      <w:pPr>
        <w:tabs>
          <w:tab w:val="left" w:pos="1796"/>
        </w:tabs>
        <w:spacing w:line="500" w:lineRule="exact"/>
        <w:ind w:left="567"/>
        <w:jc w:val="both"/>
        <w:rPr>
          <w:rFonts w:asciiTheme="minorEastAsia" w:hAnsiTheme="minorEastAsia" w:eastAsiaTheme="minorEastAsia" w:cstheme="minorEastAsia"/>
          <w:b/>
          <w:color w:val="auto"/>
          <w:sz w:val="24"/>
          <w:szCs w:val="24"/>
        </w:rPr>
      </w:pPr>
      <w:r>
        <w:rPr>
          <w:rFonts w:hint="eastAsia" w:ascii="黑体" w:hAnsi="黑体" w:eastAsia="黑体" w:cs="黑体"/>
          <w:b/>
          <w:color w:val="auto"/>
          <w:sz w:val="28"/>
          <w:szCs w:val="28"/>
        </w:rPr>
        <w:t>9.9.5</w:t>
      </w:r>
      <w:r>
        <w:rPr>
          <w:rFonts w:hint="eastAsia" w:ascii="黑体" w:hAnsi="黑体" w:eastAsia="黑体" w:cs="黑体"/>
          <w:b/>
          <w:color w:val="auto"/>
          <w:sz w:val="28"/>
          <w:szCs w:val="28"/>
          <w:lang w:val="en-US"/>
        </w:rPr>
        <w:t xml:space="preserve"> </w:t>
      </w:r>
      <w:r>
        <w:rPr>
          <w:rFonts w:hint="eastAsia" w:asciiTheme="minorEastAsia" w:hAnsiTheme="minorEastAsia" w:eastAsiaTheme="minorEastAsia" w:cstheme="minorEastAsia"/>
          <w:b/>
          <w:color w:val="auto"/>
          <w:sz w:val="24"/>
          <w:szCs w:val="24"/>
        </w:rPr>
        <w:t>建筑节能</w:t>
      </w:r>
    </w:p>
    <w:p>
      <w:pPr>
        <w:pStyle w:val="10"/>
        <w:spacing w:line="500" w:lineRule="exact"/>
        <w:ind w:firstLine="456" w:firstLineChars="200"/>
        <w:jc w:val="both"/>
        <w:rPr>
          <w:rFonts w:asciiTheme="minorEastAsia" w:hAnsiTheme="minorEastAsia" w:eastAsiaTheme="minorEastAsia" w:cstheme="minorEastAsia"/>
          <w:color w:val="auto"/>
          <w:spacing w:val="-6"/>
          <w:sz w:val="24"/>
          <w:szCs w:val="24"/>
        </w:rPr>
      </w:pPr>
      <w:r>
        <w:rPr>
          <w:rFonts w:hint="eastAsia" w:asciiTheme="minorEastAsia" w:hAnsiTheme="minorEastAsia" w:eastAsiaTheme="minorEastAsia" w:cstheme="minorEastAsia"/>
          <w:color w:val="auto"/>
          <w:spacing w:val="-6"/>
          <w:sz w:val="24"/>
          <w:szCs w:val="24"/>
        </w:rPr>
        <w:t>建筑设计执行有关建筑节能技术标准，按要求做好建筑节能设计审查。在不影响建筑物结构和项目使用要求的前提下尽量采用新型建筑材料、高效隔热保温材料、节能型门窗等。建筑节能（辅助用房）用电能耗是主要是照明系统，因而在灯具选型、配置上较为关键。在电气节能方面可从以下几个方面考虑：</w:t>
      </w:r>
    </w:p>
    <w:p>
      <w:pPr>
        <w:pStyle w:val="32"/>
        <w:numPr>
          <w:ilvl w:val="0"/>
          <w:numId w:val="74"/>
        </w:numPr>
        <w:tabs>
          <w:tab w:val="left" w:pos="2271"/>
        </w:tabs>
        <w:spacing w:line="500" w:lineRule="exact"/>
        <w:ind w:left="0" w:firstLine="44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9"/>
          <w:sz w:val="24"/>
          <w:szCs w:val="24"/>
        </w:rPr>
        <w:t>方案选择时考虑节能</w:t>
      </w:r>
    </w:p>
    <w:p>
      <w:pPr>
        <w:pStyle w:val="32"/>
        <w:numPr>
          <w:ilvl w:val="0"/>
          <w:numId w:val="75"/>
        </w:numPr>
        <w:tabs>
          <w:tab w:val="left" w:pos="2026"/>
        </w:tabs>
        <w:spacing w:line="500" w:lineRule="exact"/>
        <w:ind w:left="0" w:firstLine="50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在建设方案选择时，尽可能运用节能新技术、新工</w:t>
      </w:r>
      <w:r>
        <w:rPr>
          <w:rFonts w:hint="eastAsia" w:asciiTheme="minorEastAsia" w:hAnsiTheme="minorEastAsia" w:eastAsiaTheme="minorEastAsia" w:cstheme="minorEastAsia"/>
          <w:color w:val="auto"/>
          <w:spacing w:val="-10"/>
          <w:sz w:val="24"/>
          <w:szCs w:val="24"/>
        </w:rPr>
        <w:t>艺，将低能耗作为建设方案选择的主要考虑因素。</w:t>
      </w:r>
    </w:p>
    <w:p>
      <w:pPr>
        <w:pStyle w:val="32"/>
        <w:numPr>
          <w:ilvl w:val="0"/>
          <w:numId w:val="75"/>
        </w:numPr>
        <w:tabs>
          <w:tab w:val="left" w:pos="2004"/>
        </w:tabs>
        <w:spacing w:line="500" w:lineRule="exact"/>
        <w:ind w:left="0"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在总图布置方面，尽可能将辅助用房布置在配电中心</w:t>
      </w:r>
      <w:r>
        <w:rPr>
          <w:rFonts w:hint="eastAsia" w:asciiTheme="minorEastAsia" w:hAnsiTheme="minorEastAsia" w:eastAsiaTheme="minorEastAsia" w:cstheme="minorEastAsia"/>
          <w:color w:val="auto"/>
          <w:spacing w:val="3"/>
          <w:sz w:val="24"/>
          <w:szCs w:val="24"/>
        </w:rPr>
        <w:t>附近，并合理布置负荷流向，减少线路长度，以利于降低能</w:t>
      </w:r>
      <w:r>
        <w:rPr>
          <w:rFonts w:hint="eastAsia" w:asciiTheme="minorEastAsia" w:hAnsiTheme="minorEastAsia" w:eastAsiaTheme="minorEastAsia" w:cstheme="minorEastAsia"/>
          <w:color w:val="auto"/>
          <w:spacing w:val="-3"/>
          <w:sz w:val="24"/>
          <w:szCs w:val="24"/>
        </w:rPr>
        <w:t>耗。</w:t>
      </w:r>
    </w:p>
    <w:p>
      <w:pPr>
        <w:pStyle w:val="32"/>
        <w:numPr>
          <w:ilvl w:val="0"/>
          <w:numId w:val="75"/>
        </w:numPr>
        <w:tabs>
          <w:tab w:val="left" w:pos="2067"/>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减少配电线路的损耗，调节功率因数、实现合理的配</w:t>
      </w:r>
      <w:r>
        <w:rPr>
          <w:rFonts w:hint="eastAsia" w:asciiTheme="minorEastAsia" w:hAnsiTheme="minorEastAsia" w:eastAsiaTheme="minorEastAsia" w:cstheme="minorEastAsia"/>
          <w:color w:val="auto"/>
          <w:spacing w:val="-10"/>
          <w:sz w:val="24"/>
          <w:szCs w:val="24"/>
        </w:rPr>
        <w:t>电方式，通过分散补偿和优化配电方式减少配电线路的损耗。</w:t>
      </w:r>
    </w:p>
    <w:p>
      <w:pPr>
        <w:pStyle w:val="32"/>
        <w:numPr>
          <w:ilvl w:val="0"/>
          <w:numId w:val="0"/>
        </w:numPr>
        <w:tabs>
          <w:tab w:val="left" w:pos="2067"/>
        </w:tabs>
        <w:spacing w:line="500" w:lineRule="exact"/>
        <w:ind w:left="44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4）根据辅助用房功能需要选用不同的采光和参数，合理</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控制照明照度，以免光源浪费。</w:t>
      </w:r>
    </w:p>
    <w:p>
      <w:pPr>
        <w:pStyle w:val="32"/>
        <w:numPr>
          <w:ilvl w:val="0"/>
          <w:numId w:val="74"/>
        </w:numPr>
        <w:tabs>
          <w:tab w:val="left" w:pos="2271"/>
        </w:tabs>
        <w:spacing w:line="500" w:lineRule="exact"/>
        <w:ind w:left="0" w:firstLine="44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9"/>
          <w:sz w:val="24"/>
          <w:szCs w:val="24"/>
        </w:rPr>
        <w:t>选择节能型的产品</w:t>
      </w:r>
    </w:p>
    <w:p>
      <w:pPr>
        <w:pStyle w:val="32"/>
        <w:numPr>
          <w:ilvl w:val="0"/>
          <w:numId w:val="76"/>
        </w:numPr>
        <w:tabs>
          <w:tab w:val="left" w:pos="2004"/>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照明采用集中、分散和自动相结合的控制方式，确定</w:t>
      </w:r>
      <w:r>
        <w:rPr>
          <w:rFonts w:hint="eastAsia" w:asciiTheme="minorEastAsia" w:hAnsiTheme="minorEastAsia" w:eastAsiaTheme="minorEastAsia" w:cstheme="minorEastAsia"/>
          <w:color w:val="auto"/>
          <w:spacing w:val="-10"/>
          <w:sz w:val="24"/>
          <w:szCs w:val="24"/>
        </w:rPr>
        <w:t>合理的照度值，充分利用自然光。</w:t>
      </w:r>
    </w:p>
    <w:p>
      <w:pPr>
        <w:pStyle w:val="32"/>
        <w:numPr>
          <w:ilvl w:val="0"/>
          <w:numId w:val="76"/>
        </w:numPr>
        <w:tabs>
          <w:tab w:val="left" w:pos="2004"/>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采用高效光源和高效灯具。在自然采光的区域设光电</w:t>
      </w:r>
      <w:r>
        <w:rPr>
          <w:rFonts w:hint="eastAsia" w:asciiTheme="minorEastAsia" w:hAnsiTheme="minorEastAsia" w:eastAsiaTheme="minorEastAsia" w:cstheme="minorEastAsia"/>
          <w:color w:val="auto"/>
          <w:spacing w:val="-9"/>
          <w:sz w:val="24"/>
          <w:szCs w:val="24"/>
        </w:rPr>
        <w:t>控制的照明系统。</w:t>
      </w:r>
    </w:p>
    <w:p>
      <w:pPr>
        <w:pStyle w:val="32"/>
        <w:numPr>
          <w:ilvl w:val="0"/>
          <w:numId w:val="76"/>
        </w:numPr>
        <w:tabs>
          <w:tab w:val="left" w:pos="2004"/>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在公用设施灯具控制方式上，采取分区控制灯光或适</w:t>
      </w:r>
      <w:r>
        <w:rPr>
          <w:rFonts w:hint="eastAsia" w:asciiTheme="minorEastAsia" w:hAnsiTheme="minorEastAsia" w:eastAsiaTheme="minorEastAsia" w:cstheme="minorEastAsia"/>
          <w:color w:val="auto"/>
          <w:spacing w:val="-10"/>
          <w:sz w:val="24"/>
          <w:szCs w:val="24"/>
        </w:rPr>
        <w:t>当增加照明开关点，以减少不必要的用电。</w:t>
      </w:r>
    </w:p>
    <w:p>
      <w:pPr>
        <w:pStyle w:val="32"/>
        <w:numPr>
          <w:ilvl w:val="0"/>
          <w:numId w:val="76"/>
        </w:numPr>
        <w:tabs>
          <w:tab w:val="left" w:pos="2002"/>
        </w:tabs>
        <w:spacing w:line="500" w:lineRule="exact"/>
        <w:ind w:left="0"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选用高效、长寿、节能的光源和灯具（</w:t>
      </w:r>
      <w:r>
        <w:rPr>
          <w:rFonts w:hint="eastAsia" w:asciiTheme="minorEastAsia" w:hAnsiTheme="minorEastAsia" w:eastAsiaTheme="minorEastAsia" w:cstheme="minorEastAsia"/>
          <w:color w:val="auto"/>
          <w:spacing w:val="62"/>
          <w:sz w:val="24"/>
          <w:szCs w:val="24"/>
        </w:rPr>
        <w:t>如</w:t>
      </w:r>
      <w:r>
        <w:rPr>
          <w:rFonts w:hint="eastAsia" w:asciiTheme="minorEastAsia" w:hAnsiTheme="minorEastAsia" w:eastAsiaTheme="minorEastAsia" w:cstheme="minorEastAsia"/>
          <w:color w:val="auto"/>
          <w:spacing w:val="-2"/>
          <w:sz w:val="24"/>
          <w:szCs w:val="24"/>
        </w:rPr>
        <w:t>LED</w:t>
      </w:r>
      <w:r>
        <w:rPr>
          <w:rFonts w:hint="eastAsia" w:asciiTheme="minorEastAsia" w:hAnsiTheme="minorEastAsia" w:eastAsiaTheme="minorEastAsia" w:cstheme="minorEastAsia"/>
          <w:color w:val="auto"/>
          <w:spacing w:val="4"/>
          <w:sz w:val="24"/>
          <w:szCs w:val="24"/>
        </w:rPr>
        <w:t xml:space="preserve"> 灯</w:t>
      </w:r>
      <w:r>
        <w:rPr>
          <w:rFonts w:hint="eastAsia" w:asciiTheme="minorEastAsia" w:hAnsiTheme="minorEastAsia" w:eastAsiaTheme="minorEastAsia" w:cstheme="minorEastAsia"/>
          <w:color w:val="auto"/>
          <w:spacing w:val="-7"/>
          <w:sz w:val="24"/>
          <w:szCs w:val="24"/>
        </w:rPr>
        <w:t xml:space="preserve">）， </w:t>
      </w:r>
      <w:r>
        <w:rPr>
          <w:rFonts w:hint="eastAsia" w:asciiTheme="minorEastAsia" w:hAnsiTheme="minorEastAsia" w:eastAsiaTheme="minorEastAsia" w:cstheme="minorEastAsia"/>
          <w:color w:val="auto"/>
          <w:spacing w:val="-10"/>
          <w:sz w:val="24"/>
          <w:szCs w:val="24"/>
        </w:rPr>
        <w:t>选用多组合控制开关，按时间段进行开灯调设控制。</w:t>
      </w:r>
    </w:p>
    <w:p>
      <w:pPr>
        <w:spacing w:line="500" w:lineRule="exact"/>
        <w:ind w:firstLine="480" w:firstLineChars="200"/>
        <w:jc w:val="both"/>
        <w:rPr>
          <w:rFonts w:asciiTheme="minorEastAsia" w:hAnsiTheme="minorEastAsia" w:eastAsiaTheme="minorEastAsia" w:cstheme="minorEastAsia"/>
          <w:color w:val="auto"/>
          <w:sz w:val="24"/>
          <w:szCs w:val="24"/>
        </w:rPr>
        <w:sectPr>
          <w:footerReference r:id="rId14" w:type="default"/>
          <w:type w:val="nextColumn"/>
          <w:pgSz w:w="11910" w:h="16840"/>
          <w:pgMar w:top="1418" w:right="1418" w:bottom="1418" w:left="1701" w:header="0" w:footer="512" w:gutter="0"/>
          <w:cols w:space="720" w:num="1"/>
        </w:sectPr>
      </w:pPr>
    </w:p>
    <w:p>
      <w:pPr>
        <w:pStyle w:val="2"/>
        <w:numPr>
          <w:ilvl w:val="0"/>
          <w:numId w:val="65"/>
        </w:numPr>
        <w:jc w:val="center"/>
        <w:rPr>
          <w:color w:val="auto"/>
        </w:rPr>
      </w:pPr>
      <w:bookmarkStart w:id="146" w:name="_Toc11308"/>
      <w:bookmarkStart w:id="147" w:name="_Toc22053"/>
      <w:r>
        <w:rPr>
          <w:rFonts w:hint="eastAsia"/>
          <w:color w:val="auto"/>
        </w:rPr>
        <w:t>消防设计</w:t>
      </w:r>
      <w:bookmarkEnd w:id="146"/>
      <w:bookmarkEnd w:id="147"/>
    </w:p>
    <w:p>
      <w:pPr>
        <w:pStyle w:val="2"/>
        <w:numPr>
          <w:ilvl w:val="1"/>
          <w:numId w:val="77"/>
        </w:numPr>
        <w:tabs>
          <w:tab w:val="left" w:pos="1700"/>
        </w:tabs>
        <w:spacing w:before="0" w:line="500" w:lineRule="exact"/>
        <w:ind w:left="0" w:firstLine="0"/>
        <w:jc w:val="both"/>
        <w:rPr>
          <w:rFonts w:asciiTheme="minorEastAsia" w:hAnsiTheme="minorEastAsia" w:eastAsiaTheme="minorEastAsia" w:cstheme="minorEastAsia"/>
          <w:color w:val="auto"/>
          <w:sz w:val="24"/>
          <w:szCs w:val="24"/>
        </w:rPr>
      </w:pPr>
      <w:bookmarkStart w:id="148" w:name="10.1编制依据"/>
      <w:bookmarkEnd w:id="148"/>
      <w:bookmarkStart w:id="149" w:name="_Toc26355"/>
      <w:bookmarkStart w:id="150" w:name="_Toc2767"/>
      <w:r>
        <w:rPr>
          <w:rFonts w:hint="eastAsia" w:asciiTheme="minorEastAsia" w:hAnsiTheme="minorEastAsia" w:eastAsiaTheme="minorEastAsia" w:cstheme="minorEastAsia"/>
          <w:color w:val="auto"/>
          <w:sz w:val="24"/>
          <w:szCs w:val="24"/>
        </w:rPr>
        <w:t>编制依据</w:t>
      </w:r>
      <w:bookmarkEnd w:id="149"/>
      <w:bookmarkEnd w:id="150"/>
    </w:p>
    <w:p>
      <w:pPr>
        <w:pStyle w:val="32"/>
        <w:numPr>
          <w:ilvl w:val="0"/>
          <w:numId w:val="78"/>
        </w:numPr>
        <w:tabs>
          <w:tab w:val="left" w:pos="1691"/>
        </w:tabs>
        <w:spacing w:line="500" w:lineRule="exact"/>
        <w:ind w:left="0" w:firstLine="40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20"/>
          <w:sz w:val="24"/>
          <w:szCs w:val="24"/>
        </w:rPr>
        <w:t>《中华人民共和国消防条例》</w:t>
      </w:r>
      <w:r>
        <w:rPr>
          <w:rFonts w:hint="eastAsia" w:asciiTheme="minorEastAsia" w:hAnsiTheme="minorEastAsia" w:eastAsiaTheme="minorEastAsia" w:cstheme="minorEastAsia"/>
          <w:color w:val="auto"/>
          <w:spacing w:val="-10"/>
          <w:sz w:val="24"/>
          <w:szCs w:val="24"/>
        </w:rPr>
        <w:t>（1984</w:t>
      </w:r>
      <w:r>
        <w:rPr>
          <w:rFonts w:hint="eastAsia" w:asciiTheme="minorEastAsia" w:hAnsiTheme="minorEastAsia" w:eastAsiaTheme="minorEastAsia" w:cstheme="minorEastAsia"/>
          <w:color w:val="auto"/>
          <w:spacing w:val="-22"/>
          <w:sz w:val="24"/>
          <w:szCs w:val="24"/>
        </w:rPr>
        <w:t>年</w:t>
      </w:r>
      <w:r>
        <w:rPr>
          <w:rFonts w:hint="eastAsia" w:asciiTheme="minorEastAsia" w:hAnsiTheme="minorEastAsia" w:eastAsiaTheme="minorEastAsia" w:cstheme="minorEastAsia"/>
          <w:color w:val="auto"/>
          <w:sz w:val="24"/>
          <w:szCs w:val="24"/>
        </w:rPr>
        <w:t>5</w:t>
      </w:r>
      <w:r>
        <w:rPr>
          <w:rFonts w:hint="eastAsia" w:asciiTheme="minorEastAsia" w:hAnsiTheme="minorEastAsia" w:eastAsiaTheme="minorEastAsia" w:cstheme="minorEastAsia"/>
          <w:color w:val="auto"/>
          <w:spacing w:val="-16"/>
          <w:sz w:val="24"/>
          <w:szCs w:val="24"/>
        </w:rPr>
        <w:t>月</w:t>
      </w:r>
      <w:r>
        <w:rPr>
          <w:rFonts w:hint="eastAsia" w:asciiTheme="minorEastAsia" w:hAnsiTheme="minorEastAsia" w:eastAsiaTheme="minorEastAsia" w:cstheme="minorEastAsia"/>
          <w:color w:val="auto"/>
          <w:sz w:val="24"/>
          <w:szCs w:val="24"/>
        </w:rPr>
        <w:t>13</w:t>
      </w:r>
      <w:r>
        <w:rPr>
          <w:rFonts w:hint="eastAsia" w:asciiTheme="minorEastAsia" w:hAnsiTheme="minorEastAsia" w:eastAsiaTheme="minorEastAsia" w:cstheme="minorEastAsia"/>
          <w:color w:val="auto"/>
          <w:spacing w:val="-25"/>
          <w:sz w:val="24"/>
          <w:szCs w:val="24"/>
        </w:rPr>
        <w:t xml:space="preserve">日 </w:t>
      </w: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7"/>
          <w:sz w:val="24"/>
          <w:szCs w:val="24"/>
        </w:rPr>
        <w:t>；</w:t>
      </w:r>
    </w:p>
    <w:p>
      <w:pPr>
        <w:pStyle w:val="32"/>
        <w:numPr>
          <w:ilvl w:val="0"/>
          <w:numId w:val="78"/>
        </w:numPr>
        <w:tabs>
          <w:tab w:val="left" w:pos="1691"/>
        </w:tabs>
        <w:spacing w:line="500" w:lineRule="exact"/>
        <w:ind w:left="0" w:firstLine="412"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7"/>
          <w:sz w:val="24"/>
          <w:szCs w:val="24"/>
        </w:rPr>
        <w:t>《中华人民共和国消防条例实施细则》；</w:t>
      </w:r>
    </w:p>
    <w:p>
      <w:pPr>
        <w:pStyle w:val="32"/>
        <w:numPr>
          <w:ilvl w:val="0"/>
          <w:numId w:val="78"/>
        </w:numPr>
        <w:tabs>
          <w:tab w:val="left" w:pos="1691"/>
        </w:tabs>
        <w:spacing w:line="500" w:lineRule="exact"/>
        <w:ind w:left="0"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《建筑设计防火规范》</w:t>
      </w:r>
      <w:r>
        <w:rPr>
          <w:rFonts w:hint="eastAsia" w:asciiTheme="minorEastAsia" w:hAnsiTheme="minorEastAsia" w:eastAsiaTheme="minorEastAsia" w:cstheme="minorEastAsia"/>
          <w:color w:val="auto"/>
          <w:sz w:val="24"/>
          <w:szCs w:val="24"/>
        </w:rPr>
        <w:t>（GB50016-2018版）；</w:t>
      </w:r>
    </w:p>
    <w:p>
      <w:pPr>
        <w:pStyle w:val="32"/>
        <w:numPr>
          <w:ilvl w:val="0"/>
          <w:numId w:val="78"/>
        </w:numPr>
        <w:tabs>
          <w:tab w:val="left" w:pos="1691"/>
        </w:tabs>
        <w:spacing w:line="500" w:lineRule="exact"/>
        <w:ind w:left="0" w:firstLine="412" w:firstLineChars="200"/>
        <w:jc w:val="both"/>
        <w:rPr>
          <w:rFonts w:asciiTheme="minorEastAsia" w:hAnsiTheme="minorEastAsia" w:eastAsiaTheme="minorEastAsia" w:cstheme="minorEastAsia"/>
          <w:color w:val="auto"/>
          <w:spacing w:val="-17"/>
          <w:sz w:val="24"/>
          <w:szCs w:val="24"/>
        </w:rPr>
      </w:pPr>
      <w:r>
        <w:rPr>
          <w:rFonts w:hint="eastAsia" w:asciiTheme="minorEastAsia" w:hAnsiTheme="minorEastAsia" w:eastAsiaTheme="minorEastAsia" w:cstheme="minorEastAsia"/>
          <w:color w:val="auto"/>
          <w:spacing w:val="-17"/>
          <w:sz w:val="24"/>
          <w:szCs w:val="24"/>
        </w:rPr>
        <w:t>《 爆炸危险环境电力装置设计规范》（GB50058-2014）；</w:t>
      </w:r>
    </w:p>
    <w:p>
      <w:pPr>
        <w:pStyle w:val="32"/>
        <w:numPr>
          <w:ilvl w:val="0"/>
          <w:numId w:val="78"/>
        </w:numPr>
        <w:tabs>
          <w:tab w:val="left" w:pos="1691"/>
        </w:tabs>
        <w:spacing w:line="500" w:lineRule="exact"/>
        <w:ind w:left="0" w:firstLine="412" w:firstLineChars="200"/>
        <w:jc w:val="both"/>
        <w:rPr>
          <w:rFonts w:asciiTheme="minorEastAsia" w:hAnsiTheme="minorEastAsia" w:eastAsiaTheme="minorEastAsia" w:cstheme="minorEastAsia"/>
          <w:color w:val="auto"/>
          <w:spacing w:val="-17"/>
          <w:sz w:val="24"/>
          <w:szCs w:val="24"/>
        </w:rPr>
      </w:pPr>
      <w:r>
        <w:rPr>
          <w:rFonts w:hint="eastAsia" w:asciiTheme="minorEastAsia" w:hAnsiTheme="minorEastAsia" w:eastAsiaTheme="minorEastAsia" w:cstheme="minorEastAsia"/>
          <w:color w:val="auto"/>
          <w:spacing w:val="-17"/>
          <w:sz w:val="24"/>
          <w:szCs w:val="24"/>
        </w:rPr>
        <w:t>《建筑物防雷设计规范》（GB50057-2010）；</w:t>
      </w:r>
    </w:p>
    <w:p>
      <w:pPr>
        <w:pStyle w:val="32"/>
        <w:numPr>
          <w:ilvl w:val="0"/>
          <w:numId w:val="78"/>
        </w:numPr>
        <w:tabs>
          <w:tab w:val="left" w:pos="1691"/>
        </w:tabs>
        <w:spacing w:line="500" w:lineRule="exact"/>
        <w:ind w:left="0" w:firstLine="40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20"/>
          <w:sz w:val="24"/>
          <w:szCs w:val="24"/>
        </w:rPr>
        <w:t>《火灾自动报警系统设计规范》</w:t>
      </w:r>
      <w:r>
        <w:rPr>
          <w:rFonts w:hint="eastAsia" w:asciiTheme="minorEastAsia" w:hAnsiTheme="minorEastAsia" w:eastAsiaTheme="minorEastAsia" w:cstheme="minorEastAsia"/>
          <w:color w:val="auto"/>
          <w:spacing w:val="-14"/>
          <w:sz w:val="24"/>
          <w:szCs w:val="24"/>
        </w:rPr>
        <w:t xml:space="preserve">（GB50116-2013）； </w:t>
      </w:r>
    </w:p>
    <w:p>
      <w:pPr>
        <w:pStyle w:val="32"/>
        <w:numPr>
          <w:ilvl w:val="0"/>
          <w:numId w:val="78"/>
        </w:numPr>
        <w:tabs>
          <w:tab w:val="left" w:pos="1691"/>
        </w:tabs>
        <w:spacing w:line="500" w:lineRule="exact"/>
        <w:ind w:left="0" w:firstLine="40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20"/>
          <w:sz w:val="24"/>
          <w:szCs w:val="24"/>
        </w:rPr>
        <w:t>《建筑灭火器配置设计规范》</w:t>
      </w:r>
      <w:r>
        <w:rPr>
          <w:rFonts w:hint="eastAsia" w:asciiTheme="minorEastAsia" w:hAnsiTheme="minorEastAsia" w:eastAsiaTheme="minorEastAsia" w:cstheme="minorEastAsia"/>
          <w:color w:val="auto"/>
          <w:spacing w:val="-14"/>
          <w:sz w:val="24"/>
          <w:szCs w:val="24"/>
        </w:rPr>
        <w:t xml:space="preserve">（GB50140-2005）； </w:t>
      </w:r>
    </w:p>
    <w:p>
      <w:pPr>
        <w:pStyle w:val="32"/>
        <w:numPr>
          <w:ilvl w:val="0"/>
          <w:numId w:val="78"/>
        </w:numPr>
        <w:tabs>
          <w:tab w:val="left" w:pos="1691"/>
        </w:tabs>
        <w:spacing w:line="500" w:lineRule="exact"/>
        <w:ind w:left="0" w:firstLine="40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20"/>
          <w:sz w:val="24"/>
          <w:szCs w:val="24"/>
        </w:rPr>
        <w:t>《泡沫灭火系统设计规范》</w:t>
      </w:r>
      <w:r>
        <w:rPr>
          <w:rFonts w:hint="eastAsia" w:asciiTheme="minorEastAsia" w:hAnsiTheme="minorEastAsia" w:eastAsiaTheme="minorEastAsia" w:cstheme="minorEastAsia"/>
          <w:color w:val="auto"/>
          <w:spacing w:val="-16"/>
          <w:sz w:val="24"/>
          <w:szCs w:val="24"/>
        </w:rPr>
        <w:t>（GB50151-2010）</w:t>
      </w:r>
      <w:r>
        <w:rPr>
          <w:rFonts w:hint="eastAsia" w:asciiTheme="minorEastAsia" w:hAnsiTheme="minorEastAsia" w:eastAsiaTheme="minorEastAsia" w:cstheme="minorEastAsia"/>
          <w:color w:val="auto"/>
          <w:sz w:val="24"/>
          <w:szCs w:val="24"/>
        </w:rPr>
        <w:t>。</w:t>
      </w:r>
    </w:p>
    <w:p>
      <w:pPr>
        <w:pStyle w:val="2"/>
        <w:numPr>
          <w:ilvl w:val="1"/>
          <w:numId w:val="77"/>
        </w:numPr>
        <w:tabs>
          <w:tab w:val="left" w:pos="1700"/>
        </w:tabs>
        <w:spacing w:before="0" w:line="500" w:lineRule="exact"/>
        <w:ind w:left="0" w:firstLine="0"/>
        <w:jc w:val="both"/>
        <w:rPr>
          <w:rFonts w:asciiTheme="minorEastAsia" w:hAnsiTheme="minorEastAsia" w:eastAsiaTheme="minorEastAsia" w:cstheme="minorEastAsia"/>
          <w:color w:val="auto"/>
          <w:sz w:val="24"/>
          <w:szCs w:val="24"/>
        </w:rPr>
      </w:pPr>
      <w:bookmarkStart w:id="151" w:name="10.2防火等级"/>
      <w:bookmarkEnd w:id="151"/>
      <w:bookmarkStart w:id="152" w:name="_Toc19628"/>
      <w:bookmarkStart w:id="153" w:name="_Toc1704"/>
      <w:r>
        <w:rPr>
          <w:rFonts w:hint="eastAsia" w:asciiTheme="minorEastAsia" w:hAnsiTheme="minorEastAsia" w:eastAsiaTheme="minorEastAsia" w:cstheme="minorEastAsia"/>
          <w:color w:val="auto"/>
          <w:sz w:val="24"/>
          <w:szCs w:val="24"/>
        </w:rPr>
        <w:t>防火等级</w:t>
      </w:r>
      <w:bookmarkEnd w:id="152"/>
      <w:bookmarkEnd w:id="153"/>
    </w:p>
    <w:p>
      <w:pPr>
        <w:pStyle w:val="32"/>
        <w:numPr>
          <w:ilvl w:val="0"/>
          <w:numId w:val="79"/>
        </w:numPr>
        <w:tabs>
          <w:tab w:val="left" w:pos="1580"/>
        </w:tabs>
        <w:spacing w:line="500" w:lineRule="exact"/>
        <w:ind w:left="0" w:firstLine="41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6"/>
          <w:sz w:val="24"/>
          <w:szCs w:val="24"/>
        </w:rPr>
        <w:t>综合楼，定为丁类防火标准。</w:t>
      </w:r>
    </w:p>
    <w:p>
      <w:pPr>
        <w:pStyle w:val="32"/>
        <w:numPr>
          <w:ilvl w:val="0"/>
          <w:numId w:val="79"/>
        </w:numPr>
        <w:tabs>
          <w:tab w:val="left" w:pos="1580"/>
        </w:tabs>
        <w:spacing w:line="500" w:lineRule="exact"/>
        <w:ind w:left="0" w:firstLine="41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6"/>
          <w:sz w:val="24"/>
          <w:szCs w:val="24"/>
        </w:rPr>
        <w:t>变配电所，定为丙类防火标准。</w:t>
      </w:r>
    </w:p>
    <w:p>
      <w:pPr>
        <w:pStyle w:val="32"/>
        <w:numPr>
          <w:ilvl w:val="0"/>
          <w:numId w:val="79"/>
        </w:numPr>
        <w:tabs>
          <w:tab w:val="left" w:pos="1565"/>
        </w:tabs>
        <w:spacing w:line="500" w:lineRule="exact"/>
        <w:ind w:left="0"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其它厂区建筑设计均按国家建筑防火规范制定。</w:t>
      </w:r>
    </w:p>
    <w:p>
      <w:pPr>
        <w:pStyle w:val="2"/>
        <w:numPr>
          <w:ilvl w:val="1"/>
          <w:numId w:val="77"/>
        </w:numPr>
        <w:tabs>
          <w:tab w:val="left" w:pos="1700"/>
        </w:tabs>
        <w:spacing w:before="0" w:line="500" w:lineRule="exact"/>
        <w:ind w:left="0" w:firstLine="0"/>
        <w:jc w:val="both"/>
        <w:rPr>
          <w:rFonts w:asciiTheme="minorEastAsia" w:hAnsiTheme="minorEastAsia" w:eastAsiaTheme="minorEastAsia" w:cstheme="minorEastAsia"/>
          <w:color w:val="auto"/>
          <w:sz w:val="24"/>
          <w:szCs w:val="24"/>
        </w:rPr>
      </w:pPr>
      <w:bookmarkStart w:id="154" w:name="10.3火灾及消防措施"/>
      <w:bookmarkEnd w:id="154"/>
      <w:bookmarkStart w:id="155" w:name="_Toc14558"/>
      <w:bookmarkStart w:id="156" w:name="_Toc10164"/>
      <w:r>
        <w:rPr>
          <w:rFonts w:hint="eastAsia" w:asciiTheme="minorEastAsia" w:hAnsiTheme="minorEastAsia" w:eastAsiaTheme="minorEastAsia" w:cstheme="minorEastAsia"/>
          <w:color w:val="auto"/>
          <w:sz w:val="24"/>
          <w:szCs w:val="24"/>
        </w:rPr>
        <w:t>火灾及消防措施</w:t>
      </w:r>
      <w:bookmarkEnd w:id="155"/>
      <w:bookmarkEnd w:id="156"/>
    </w:p>
    <w:p>
      <w:pPr>
        <w:pStyle w:val="10"/>
        <w:spacing w:line="500" w:lineRule="exact"/>
        <w:ind w:firstLine="392" w:firstLineChars="200"/>
        <w:jc w:val="both"/>
        <w:rPr>
          <w:rFonts w:asciiTheme="minorEastAsia" w:hAnsiTheme="minorEastAsia" w:eastAsiaTheme="minorEastAsia" w:cstheme="minorEastAsia"/>
          <w:color w:val="auto"/>
          <w:spacing w:val="-10"/>
          <w:sz w:val="24"/>
          <w:szCs w:val="24"/>
        </w:rPr>
      </w:pPr>
      <w:r>
        <w:rPr>
          <w:rFonts w:hint="eastAsia" w:asciiTheme="minorEastAsia" w:hAnsiTheme="minorEastAsia" w:eastAsiaTheme="minorEastAsia" w:cstheme="minorEastAsia"/>
          <w:color w:val="auto"/>
          <w:spacing w:val="-22"/>
          <w:sz w:val="24"/>
          <w:szCs w:val="24"/>
        </w:rPr>
        <w:t>本工程在正常生产情况下，一般不易发生火灾，只有在操作</w:t>
      </w:r>
      <w:r>
        <w:rPr>
          <w:rFonts w:hint="eastAsia" w:asciiTheme="minorEastAsia" w:hAnsiTheme="minorEastAsia" w:eastAsiaTheme="minorEastAsia" w:cstheme="minorEastAsia"/>
          <w:color w:val="auto"/>
          <w:spacing w:val="-20"/>
          <w:sz w:val="24"/>
          <w:szCs w:val="24"/>
        </w:rPr>
        <w:t>失误、违反规程、管理不当及其它非正常生产情况或意外事故状</w:t>
      </w:r>
      <w:r>
        <w:rPr>
          <w:rFonts w:hint="eastAsia" w:asciiTheme="minorEastAsia" w:hAnsiTheme="minorEastAsia" w:eastAsiaTheme="minorEastAsia" w:cstheme="minorEastAsia"/>
          <w:color w:val="auto"/>
          <w:spacing w:val="-17"/>
          <w:sz w:val="24"/>
          <w:szCs w:val="24"/>
        </w:rPr>
        <w:t>态下，才可能由各种因素导致火灾发生。因此为了防止火灾的发生，或减少火灾发生造成的损失，根据“预防为主，防消结</w:t>
      </w:r>
      <w:r>
        <w:rPr>
          <w:rFonts w:hint="eastAsia" w:asciiTheme="minorEastAsia" w:hAnsiTheme="minorEastAsia" w:eastAsiaTheme="minorEastAsia" w:cstheme="minorEastAsia"/>
          <w:color w:val="auto"/>
          <w:spacing w:val="-10"/>
          <w:sz w:val="24"/>
          <w:szCs w:val="24"/>
        </w:rPr>
        <w:t>合”的方针，本工程在设计上采取了相应的防范措施。</w:t>
      </w:r>
    </w:p>
    <w:p>
      <w:pPr>
        <w:pStyle w:val="32"/>
        <w:numPr>
          <w:ilvl w:val="2"/>
          <w:numId w:val="80"/>
        </w:numPr>
        <w:tabs>
          <w:tab w:val="left" w:pos="2273"/>
        </w:tabs>
        <w:spacing w:line="500" w:lineRule="exact"/>
        <w:ind w:left="0" w:firstLine="448" w:firstLineChars="200"/>
        <w:jc w:val="both"/>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rPr>
        <w:t>总图运输</w:t>
      </w:r>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在厂区内部总平面布置上，按生产性质、工艺要求及火灾危</w:t>
      </w:r>
      <w:r>
        <w:rPr>
          <w:rFonts w:hint="eastAsia" w:asciiTheme="minorEastAsia" w:hAnsiTheme="minorEastAsia" w:eastAsiaTheme="minorEastAsia" w:cstheme="minorEastAsia"/>
          <w:color w:val="auto"/>
          <w:spacing w:val="-17"/>
          <w:sz w:val="24"/>
          <w:szCs w:val="24"/>
        </w:rPr>
        <w:t>险性 的大小等划分出各个相对独立的小区，并在各小区之间采用</w:t>
      </w:r>
      <w:r>
        <w:rPr>
          <w:rFonts w:hint="eastAsia" w:asciiTheme="minorEastAsia" w:hAnsiTheme="minorEastAsia" w:eastAsiaTheme="minorEastAsia" w:cstheme="minorEastAsia"/>
          <w:color w:val="auto"/>
          <w:spacing w:val="-12"/>
          <w:sz w:val="24"/>
          <w:szCs w:val="24"/>
        </w:rPr>
        <w:t>道路相隔。</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厂内道路呈环形布置，保证消防信道畅通，厂内主干道宽6米，次干道宽4米，污水处理厂设出入口，与厂外道路相连， 满足消防车对道路的要求。</w:t>
      </w:r>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在火灾危险性较大的场所设置安全标志及信号装置，在</w:t>
      </w:r>
      <w:r>
        <w:rPr>
          <w:rFonts w:hint="eastAsia" w:asciiTheme="minorEastAsia" w:hAnsiTheme="minorEastAsia" w:eastAsiaTheme="minorEastAsia" w:cstheme="minorEastAsia"/>
          <w:color w:val="auto"/>
          <w:spacing w:val="-10"/>
          <w:sz w:val="24"/>
          <w:szCs w:val="24"/>
        </w:rPr>
        <w:t>设计中对各类介质管道应涂以相应的识别色。</w:t>
      </w:r>
    </w:p>
    <w:p>
      <w:pPr>
        <w:pStyle w:val="32"/>
        <w:numPr>
          <w:ilvl w:val="2"/>
          <w:numId w:val="80"/>
        </w:numPr>
        <w:tabs>
          <w:tab w:val="left" w:pos="2273"/>
        </w:tabs>
        <w:spacing w:line="500" w:lineRule="exact"/>
        <w:ind w:left="0" w:firstLine="448" w:firstLineChars="200"/>
        <w:jc w:val="both"/>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rPr>
        <w:t>建筑</w:t>
      </w:r>
    </w:p>
    <w:p>
      <w:pPr>
        <w:pStyle w:val="10"/>
        <w:spacing w:line="500" w:lineRule="exact"/>
        <w:ind w:firstLine="42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3"/>
          <w:sz w:val="24"/>
          <w:szCs w:val="24"/>
        </w:rPr>
        <w:t>本工程建（</w:t>
      </w:r>
      <w:r>
        <w:rPr>
          <w:rFonts w:hint="eastAsia" w:asciiTheme="minorEastAsia" w:hAnsiTheme="minorEastAsia" w:eastAsiaTheme="minorEastAsia" w:cstheme="minorEastAsia"/>
          <w:color w:val="auto"/>
          <w:spacing w:val="-10"/>
          <w:sz w:val="24"/>
          <w:szCs w:val="24"/>
        </w:rPr>
        <w:t>构</w:t>
      </w:r>
      <w:r>
        <w:rPr>
          <w:rFonts w:hint="eastAsia" w:asciiTheme="minorEastAsia" w:hAnsiTheme="minorEastAsia" w:eastAsiaTheme="minorEastAsia" w:cstheme="minorEastAsia"/>
          <w:color w:val="auto"/>
          <w:spacing w:val="-13"/>
          <w:sz w:val="24"/>
          <w:szCs w:val="24"/>
        </w:rPr>
        <w:t>）</w:t>
      </w:r>
      <w:r>
        <w:rPr>
          <w:rFonts w:hint="eastAsia" w:asciiTheme="minorEastAsia" w:hAnsiTheme="minorEastAsia" w:eastAsiaTheme="minorEastAsia" w:cstheme="minorEastAsia"/>
          <w:color w:val="auto"/>
          <w:spacing w:val="-12"/>
          <w:sz w:val="24"/>
          <w:szCs w:val="24"/>
        </w:rPr>
        <w:t>筑物的耐火等级均至少达到</w:t>
      </w:r>
      <w:r>
        <w:rPr>
          <w:rFonts w:hint="eastAsia" w:asciiTheme="minorEastAsia" w:hAnsiTheme="minorEastAsia" w:eastAsiaTheme="minorEastAsia" w:cstheme="minorEastAsia"/>
          <w:color w:val="auto"/>
          <w:sz w:val="24"/>
          <w:szCs w:val="24"/>
        </w:rPr>
        <w:t>II</w:t>
      </w:r>
      <w:r>
        <w:rPr>
          <w:rFonts w:hint="eastAsia" w:asciiTheme="minorEastAsia" w:hAnsiTheme="minorEastAsia" w:eastAsiaTheme="minorEastAsia" w:cstheme="minorEastAsia"/>
          <w:color w:val="auto"/>
          <w:spacing w:val="-9"/>
          <w:sz w:val="24"/>
          <w:szCs w:val="24"/>
        </w:rPr>
        <w:t>级，主要厂</w:t>
      </w:r>
      <w:r>
        <w:rPr>
          <w:rFonts w:hint="eastAsia" w:asciiTheme="minorEastAsia" w:hAnsiTheme="minorEastAsia" w:eastAsiaTheme="minorEastAsia" w:cstheme="minorEastAsia"/>
          <w:color w:val="auto"/>
          <w:spacing w:val="-13"/>
          <w:sz w:val="24"/>
          <w:szCs w:val="24"/>
        </w:rPr>
        <w:t>房均设两个出入口。本工程建筑物的防火设计均严格按《建筑设</w:t>
      </w:r>
      <w:r>
        <w:rPr>
          <w:rFonts w:hint="eastAsia" w:asciiTheme="minorEastAsia" w:hAnsiTheme="minorEastAsia" w:eastAsiaTheme="minorEastAsia" w:cstheme="minorEastAsia"/>
          <w:color w:val="auto"/>
          <w:spacing w:val="-15"/>
          <w:sz w:val="24"/>
          <w:szCs w:val="24"/>
        </w:rPr>
        <w:t>计防火规范》</w:t>
      </w:r>
      <w:r>
        <w:rPr>
          <w:rFonts w:hint="eastAsia" w:asciiTheme="minorEastAsia" w:hAnsiTheme="minorEastAsia" w:eastAsiaTheme="minorEastAsia" w:cstheme="minorEastAsia"/>
          <w:color w:val="auto"/>
          <w:spacing w:val="-4"/>
          <w:sz w:val="24"/>
          <w:szCs w:val="24"/>
        </w:rPr>
        <w:t>（GB 50016—2014</w:t>
      </w:r>
      <w:r>
        <w:rPr>
          <w:rFonts w:hint="eastAsia" w:asciiTheme="minorEastAsia" w:hAnsiTheme="minorEastAsia" w:eastAsiaTheme="minorEastAsia" w:cstheme="minorEastAsia"/>
          <w:color w:val="auto"/>
          <w:spacing w:val="-13"/>
          <w:sz w:val="24"/>
          <w:szCs w:val="24"/>
        </w:rPr>
        <w:t>）</w:t>
      </w:r>
      <w:r>
        <w:rPr>
          <w:rFonts w:hint="eastAsia" w:asciiTheme="minorEastAsia" w:hAnsiTheme="minorEastAsia" w:eastAsiaTheme="minorEastAsia" w:cstheme="minorEastAsia"/>
          <w:color w:val="auto"/>
          <w:spacing w:val="-11"/>
          <w:sz w:val="24"/>
          <w:szCs w:val="24"/>
        </w:rPr>
        <w:t>的规定进行。</w:t>
      </w:r>
    </w:p>
    <w:p>
      <w:pPr>
        <w:pStyle w:val="32"/>
        <w:numPr>
          <w:ilvl w:val="2"/>
          <w:numId w:val="80"/>
        </w:numPr>
        <w:tabs>
          <w:tab w:val="left" w:pos="2273"/>
        </w:tabs>
        <w:spacing w:line="500" w:lineRule="exact"/>
        <w:ind w:left="0" w:firstLine="448" w:firstLineChars="200"/>
        <w:jc w:val="both"/>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rPr>
        <w:t>电气</w:t>
      </w:r>
    </w:p>
    <w:p>
      <w:pPr>
        <w:pStyle w:val="10"/>
        <w:spacing w:line="500" w:lineRule="exact"/>
        <w:ind w:firstLine="42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3"/>
          <w:sz w:val="24"/>
          <w:szCs w:val="24"/>
        </w:rPr>
        <w:t>本工程消防设施采用双回路电源供电，其配电线采用非延燃</w:t>
      </w:r>
      <w:r>
        <w:rPr>
          <w:rFonts w:hint="eastAsia" w:asciiTheme="minorEastAsia" w:hAnsiTheme="minorEastAsia" w:eastAsiaTheme="minorEastAsia" w:cstheme="minorEastAsia"/>
          <w:color w:val="auto"/>
          <w:spacing w:val="-11"/>
          <w:sz w:val="24"/>
          <w:szCs w:val="24"/>
        </w:rPr>
        <w:t>铠装电缆，明敷时置于桥内或埋地敷设，以保证消防用电的可靠性。建、构筑物的设计均根据其不同的防雷级别按防雷规范设置相应的避雷装置，防止雷击引起的火灾。电气系统具备短路、过</w:t>
      </w:r>
      <w:r>
        <w:rPr>
          <w:rFonts w:hint="eastAsia" w:asciiTheme="minorEastAsia" w:hAnsiTheme="minorEastAsia" w:eastAsiaTheme="minorEastAsia" w:cstheme="minorEastAsia"/>
          <w:color w:val="auto"/>
          <w:spacing w:val="-15"/>
          <w:sz w:val="24"/>
          <w:szCs w:val="24"/>
        </w:rPr>
        <w:t>负荷、接地漏电等完备保护系统，防止电气火灾的发生。</w:t>
      </w:r>
    </w:p>
    <w:p>
      <w:pPr>
        <w:pStyle w:val="32"/>
        <w:numPr>
          <w:ilvl w:val="2"/>
          <w:numId w:val="80"/>
        </w:numPr>
        <w:tabs>
          <w:tab w:val="left" w:pos="2273"/>
        </w:tabs>
        <w:spacing w:line="500" w:lineRule="exact"/>
        <w:ind w:left="0" w:firstLine="448" w:firstLineChars="200"/>
        <w:jc w:val="both"/>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rPr>
        <w:t>消防给水及消防设施</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污水处理厂内布置室外消火栓系统，消火栓服务半径≤120m。在综合楼、变配电间、脱水机房等处布置干粉灭火器。</w:t>
      </w:r>
    </w:p>
    <w:p>
      <w:pPr>
        <w:spacing w:line="500" w:lineRule="exact"/>
        <w:ind w:firstLine="480" w:firstLineChars="200"/>
        <w:jc w:val="both"/>
        <w:rPr>
          <w:rFonts w:asciiTheme="minorEastAsia" w:hAnsiTheme="minorEastAsia" w:eastAsiaTheme="minorEastAsia" w:cstheme="minorEastAsia"/>
          <w:color w:val="auto"/>
          <w:sz w:val="24"/>
          <w:szCs w:val="24"/>
        </w:rPr>
        <w:sectPr>
          <w:type w:val="nextColumn"/>
          <w:pgSz w:w="11910" w:h="16840"/>
          <w:pgMar w:top="1418" w:right="1418" w:bottom="1418" w:left="1701" w:header="0" w:footer="512" w:gutter="0"/>
          <w:cols w:space="720" w:num="1"/>
        </w:sectPr>
      </w:pPr>
    </w:p>
    <w:p>
      <w:pPr>
        <w:pStyle w:val="2"/>
        <w:numPr>
          <w:ilvl w:val="0"/>
          <w:numId w:val="65"/>
        </w:numPr>
        <w:jc w:val="center"/>
        <w:rPr>
          <w:color w:val="auto"/>
        </w:rPr>
      </w:pPr>
      <w:bookmarkStart w:id="157" w:name="_Toc18161"/>
      <w:bookmarkStart w:id="158" w:name="_Toc5930"/>
      <w:r>
        <w:rPr>
          <w:rFonts w:hint="eastAsia"/>
          <w:color w:val="auto"/>
        </w:rPr>
        <w:t>安全生产</w:t>
      </w:r>
      <w:bookmarkEnd w:id="157"/>
      <w:bookmarkEnd w:id="158"/>
    </w:p>
    <w:p>
      <w:pPr>
        <w:pStyle w:val="3"/>
        <w:numPr>
          <w:ilvl w:val="1"/>
          <w:numId w:val="81"/>
        </w:numPr>
        <w:tabs>
          <w:tab w:val="left" w:pos="1700"/>
        </w:tabs>
        <w:adjustRightInd/>
        <w:snapToGrid/>
        <w:spacing w:line="500" w:lineRule="exact"/>
        <w:jc w:val="both"/>
        <w:rPr>
          <w:rFonts w:asciiTheme="minorEastAsia" w:hAnsiTheme="minorEastAsia" w:eastAsiaTheme="minorEastAsia" w:cstheme="minorEastAsia"/>
          <w:color w:val="auto"/>
          <w:sz w:val="24"/>
          <w:szCs w:val="24"/>
        </w:rPr>
      </w:pPr>
      <w:bookmarkStart w:id="159" w:name="11.1设计原则"/>
      <w:bookmarkEnd w:id="159"/>
      <w:bookmarkStart w:id="160" w:name="_Toc25006"/>
      <w:bookmarkStart w:id="161" w:name="_Toc25256"/>
      <w:r>
        <w:rPr>
          <w:rFonts w:hint="eastAsia" w:asciiTheme="minorEastAsia" w:hAnsiTheme="minorEastAsia" w:eastAsiaTheme="minorEastAsia" w:cstheme="minorEastAsia"/>
          <w:color w:val="auto"/>
          <w:sz w:val="24"/>
          <w:szCs w:val="24"/>
        </w:rPr>
        <w:t>设计原则</w:t>
      </w:r>
      <w:bookmarkEnd w:id="160"/>
      <w:bookmarkEnd w:id="161"/>
    </w:p>
    <w:p>
      <w:pPr>
        <w:pStyle w:val="32"/>
        <w:numPr>
          <w:ilvl w:val="2"/>
          <w:numId w:val="81"/>
        </w:numPr>
        <w:tabs>
          <w:tab w:val="left" w:pos="2273"/>
        </w:tabs>
        <w:spacing w:line="500" w:lineRule="exact"/>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8"/>
          <w:sz w:val="24"/>
          <w:szCs w:val="24"/>
        </w:rPr>
        <w:t>重视工业卫生和劳动保护使设计符合各项规范和国家</w:t>
      </w:r>
      <w:r>
        <w:rPr>
          <w:rFonts w:hint="eastAsia" w:asciiTheme="minorEastAsia" w:hAnsiTheme="minorEastAsia" w:eastAsiaTheme="minorEastAsia" w:cstheme="minorEastAsia"/>
          <w:color w:val="auto"/>
          <w:spacing w:val="-3"/>
          <w:sz w:val="24"/>
          <w:szCs w:val="24"/>
        </w:rPr>
        <w:t>标准；</w:t>
      </w:r>
    </w:p>
    <w:p>
      <w:pPr>
        <w:pStyle w:val="32"/>
        <w:numPr>
          <w:ilvl w:val="2"/>
          <w:numId w:val="81"/>
        </w:numPr>
        <w:tabs>
          <w:tab w:val="left" w:pos="2280"/>
        </w:tabs>
        <w:spacing w:line="500" w:lineRule="exact"/>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改善工人的劳动</w:t>
      </w:r>
      <w:r>
        <w:rPr>
          <w:rFonts w:hint="eastAsia" w:asciiTheme="minorEastAsia" w:hAnsiTheme="minorEastAsia" w:eastAsiaTheme="minorEastAsia" w:cstheme="minorEastAsia"/>
          <w:color w:val="auto"/>
          <w:spacing w:val="-8"/>
          <w:sz w:val="24"/>
          <w:szCs w:val="24"/>
        </w:rPr>
        <w:t>条件，减少和消除劳动危害，保障职工在生产过程的安全和健康；</w:t>
      </w:r>
    </w:p>
    <w:p>
      <w:pPr>
        <w:pStyle w:val="32"/>
        <w:numPr>
          <w:ilvl w:val="2"/>
          <w:numId w:val="81"/>
        </w:numPr>
        <w:tabs>
          <w:tab w:val="left" w:pos="2280"/>
        </w:tabs>
        <w:spacing w:line="500" w:lineRule="exact"/>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rPr>
        <w:t>认真贯彻安全第一，预防为主，消灭危害，防止</w:t>
      </w:r>
      <w:r>
        <w:rPr>
          <w:rFonts w:hint="eastAsia" w:asciiTheme="minorEastAsia" w:hAnsiTheme="minorEastAsia" w:eastAsiaTheme="minorEastAsia" w:cstheme="minorEastAsia"/>
          <w:color w:val="auto"/>
          <w:spacing w:val="-8"/>
          <w:sz w:val="24"/>
          <w:szCs w:val="24"/>
        </w:rPr>
        <w:t>伤亡事故，发展生产的劳动保护方针。</w:t>
      </w:r>
    </w:p>
    <w:p>
      <w:pPr>
        <w:pStyle w:val="3"/>
        <w:numPr>
          <w:ilvl w:val="1"/>
          <w:numId w:val="81"/>
        </w:numPr>
        <w:tabs>
          <w:tab w:val="left" w:pos="1700"/>
        </w:tabs>
        <w:adjustRightInd/>
        <w:snapToGrid/>
        <w:spacing w:line="500" w:lineRule="exact"/>
        <w:jc w:val="both"/>
        <w:rPr>
          <w:rFonts w:asciiTheme="minorEastAsia" w:hAnsiTheme="minorEastAsia" w:eastAsiaTheme="minorEastAsia" w:cstheme="minorEastAsia"/>
          <w:color w:val="auto"/>
          <w:sz w:val="24"/>
          <w:szCs w:val="24"/>
        </w:rPr>
      </w:pPr>
      <w:bookmarkStart w:id="162" w:name="11.2编制依据"/>
      <w:bookmarkEnd w:id="162"/>
      <w:bookmarkStart w:id="163" w:name="_Toc15740"/>
      <w:bookmarkStart w:id="164" w:name="_Toc19400"/>
      <w:r>
        <w:rPr>
          <w:rFonts w:hint="eastAsia" w:asciiTheme="minorEastAsia" w:hAnsiTheme="minorEastAsia" w:eastAsiaTheme="minorEastAsia" w:cstheme="minorEastAsia"/>
          <w:color w:val="auto"/>
          <w:sz w:val="24"/>
          <w:szCs w:val="24"/>
        </w:rPr>
        <w:t>编制依据</w:t>
      </w:r>
      <w:bookmarkEnd w:id="163"/>
      <w:bookmarkEnd w:id="164"/>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根据城镇排水工程的特点以及国家的有关规定，安全卫生措施应</w:t>
      </w:r>
      <w:r>
        <w:rPr>
          <w:rFonts w:hint="eastAsia" w:asciiTheme="minorEastAsia" w:hAnsiTheme="minorEastAsia" w:eastAsiaTheme="minorEastAsia" w:cstheme="minorEastAsia"/>
          <w:color w:val="auto"/>
          <w:spacing w:val="-5"/>
          <w:sz w:val="24"/>
          <w:szCs w:val="24"/>
        </w:rPr>
        <w:t>该符合现行标准：</w:t>
      </w:r>
    </w:p>
    <w:p>
      <w:pPr>
        <w:pStyle w:val="32"/>
        <w:numPr>
          <w:ilvl w:val="0"/>
          <w:numId w:val="82"/>
        </w:numPr>
        <w:tabs>
          <w:tab w:val="left" w:pos="1661"/>
        </w:tabs>
        <w:spacing w:line="500" w:lineRule="exact"/>
        <w:jc w:val="both"/>
        <w:rPr>
          <w:rFonts w:asciiTheme="minorEastAsia" w:hAnsiTheme="minorEastAsia" w:eastAsiaTheme="minorEastAsia" w:cstheme="minorEastAsia"/>
          <w:color w:val="auto"/>
          <w:spacing w:val="-16"/>
          <w:sz w:val="24"/>
          <w:szCs w:val="24"/>
        </w:rPr>
      </w:pPr>
      <w:r>
        <w:rPr>
          <w:rFonts w:hint="eastAsia" w:asciiTheme="minorEastAsia" w:hAnsiTheme="minorEastAsia" w:eastAsiaTheme="minorEastAsia" w:cstheme="minorEastAsia"/>
          <w:color w:val="auto"/>
          <w:spacing w:val="-16"/>
          <w:sz w:val="24"/>
          <w:szCs w:val="24"/>
        </w:rPr>
        <w:t xml:space="preserve"> 《建设项目（工程）劳动安全卫生监察规定》劳令第3号；</w:t>
      </w:r>
    </w:p>
    <w:p>
      <w:pPr>
        <w:pStyle w:val="32"/>
        <w:numPr>
          <w:ilvl w:val="0"/>
          <w:numId w:val="82"/>
        </w:numPr>
        <w:tabs>
          <w:tab w:val="left" w:pos="1661"/>
        </w:tabs>
        <w:spacing w:line="500" w:lineRule="exact"/>
        <w:jc w:val="both"/>
        <w:rPr>
          <w:rFonts w:asciiTheme="minorEastAsia" w:hAnsiTheme="minorEastAsia" w:eastAsiaTheme="minorEastAsia" w:cstheme="minorEastAsia"/>
          <w:color w:val="auto"/>
          <w:spacing w:val="-16"/>
          <w:sz w:val="24"/>
          <w:szCs w:val="24"/>
        </w:rPr>
      </w:pPr>
      <w:r>
        <w:rPr>
          <w:rFonts w:hint="eastAsia" w:asciiTheme="minorEastAsia" w:hAnsiTheme="minorEastAsia" w:eastAsiaTheme="minorEastAsia" w:cstheme="minorEastAsia"/>
          <w:color w:val="auto"/>
          <w:spacing w:val="-16"/>
          <w:sz w:val="24"/>
          <w:szCs w:val="24"/>
        </w:rPr>
        <w:t>《工作场所有害因素职业接触限值第1部分：化学有害因素》(GBZ2.1-2007)；</w:t>
      </w:r>
    </w:p>
    <w:p>
      <w:pPr>
        <w:pStyle w:val="32"/>
        <w:numPr>
          <w:ilvl w:val="0"/>
          <w:numId w:val="82"/>
        </w:numPr>
        <w:tabs>
          <w:tab w:val="left" w:pos="1661"/>
        </w:tabs>
        <w:spacing w:line="500" w:lineRule="exact"/>
        <w:jc w:val="both"/>
        <w:rPr>
          <w:rFonts w:asciiTheme="minorEastAsia" w:hAnsiTheme="minorEastAsia" w:eastAsiaTheme="minorEastAsia" w:cstheme="minorEastAsia"/>
          <w:color w:val="auto"/>
          <w:spacing w:val="-16"/>
          <w:sz w:val="24"/>
          <w:szCs w:val="24"/>
        </w:rPr>
      </w:pPr>
      <w:r>
        <w:rPr>
          <w:rFonts w:hint="eastAsia" w:asciiTheme="minorEastAsia" w:hAnsiTheme="minorEastAsia" w:eastAsiaTheme="minorEastAsia" w:cstheme="minorEastAsia"/>
          <w:color w:val="auto"/>
          <w:spacing w:val="-16"/>
          <w:sz w:val="24"/>
          <w:szCs w:val="24"/>
        </w:rPr>
        <w:t>《工作场所有害因素职业接触限值第2部分：物理因素》GBZ 2.2-2007（GBZ2.2-2007）；</w:t>
      </w:r>
    </w:p>
    <w:p>
      <w:pPr>
        <w:pStyle w:val="32"/>
        <w:numPr>
          <w:ilvl w:val="0"/>
          <w:numId w:val="82"/>
        </w:numPr>
        <w:tabs>
          <w:tab w:val="left" w:pos="1661"/>
        </w:tabs>
        <w:spacing w:line="500" w:lineRule="exact"/>
        <w:jc w:val="both"/>
        <w:rPr>
          <w:rFonts w:asciiTheme="minorEastAsia" w:hAnsiTheme="minorEastAsia" w:eastAsiaTheme="minorEastAsia" w:cstheme="minorEastAsia"/>
          <w:color w:val="auto"/>
          <w:spacing w:val="-16"/>
          <w:sz w:val="24"/>
          <w:szCs w:val="24"/>
        </w:rPr>
      </w:pPr>
      <w:r>
        <w:rPr>
          <w:rFonts w:hint="eastAsia" w:asciiTheme="minorEastAsia" w:hAnsiTheme="minorEastAsia" w:eastAsiaTheme="minorEastAsia" w:cstheme="minorEastAsia"/>
          <w:color w:val="auto"/>
          <w:spacing w:val="-16"/>
          <w:sz w:val="24"/>
          <w:szCs w:val="24"/>
        </w:rPr>
        <w:t>《工业企业噪声控制设计规范》（GB/T50087-2013）；</w:t>
      </w:r>
    </w:p>
    <w:p>
      <w:pPr>
        <w:pStyle w:val="32"/>
        <w:numPr>
          <w:ilvl w:val="0"/>
          <w:numId w:val="82"/>
        </w:numPr>
        <w:tabs>
          <w:tab w:val="left" w:pos="1661"/>
        </w:tabs>
        <w:spacing w:line="500" w:lineRule="exact"/>
        <w:jc w:val="both"/>
        <w:rPr>
          <w:rFonts w:asciiTheme="minorEastAsia" w:hAnsiTheme="minorEastAsia" w:eastAsiaTheme="minorEastAsia" w:cstheme="minorEastAsia"/>
          <w:color w:val="auto"/>
          <w:spacing w:val="-16"/>
          <w:sz w:val="24"/>
          <w:szCs w:val="24"/>
        </w:rPr>
      </w:pPr>
      <w:r>
        <w:rPr>
          <w:rFonts w:hint="eastAsia" w:asciiTheme="minorEastAsia" w:hAnsiTheme="minorEastAsia" w:eastAsiaTheme="minorEastAsia" w:cstheme="minorEastAsia"/>
          <w:color w:val="auto"/>
          <w:spacing w:val="-16"/>
          <w:sz w:val="24"/>
          <w:szCs w:val="24"/>
        </w:rPr>
        <w:t>《中华人民共和国职业病防治法》2011年12月31日施行。</w:t>
      </w:r>
    </w:p>
    <w:p>
      <w:pPr>
        <w:pStyle w:val="2"/>
        <w:numPr>
          <w:ilvl w:val="1"/>
          <w:numId w:val="81"/>
        </w:numPr>
        <w:tabs>
          <w:tab w:val="left" w:pos="1700"/>
        </w:tabs>
        <w:spacing w:before="0" w:line="500" w:lineRule="exact"/>
        <w:jc w:val="both"/>
        <w:rPr>
          <w:rFonts w:asciiTheme="minorEastAsia" w:hAnsiTheme="minorEastAsia" w:eastAsiaTheme="minorEastAsia" w:cstheme="minorEastAsia"/>
          <w:color w:val="auto"/>
          <w:sz w:val="24"/>
          <w:szCs w:val="24"/>
        </w:rPr>
      </w:pPr>
      <w:bookmarkStart w:id="165" w:name="11.3劳动安全措施"/>
      <w:bookmarkEnd w:id="165"/>
      <w:bookmarkStart w:id="166" w:name="_Toc25547"/>
      <w:bookmarkStart w:id="167" w:name="_Toc13178"/>
      <w:r>
        <w:rPr>
          <w:rFonts w:hint="eastAsia" w:asciiTheme="minorEastAsia" w:hAnsiTheme="minorEastAsia" w:eastAsiaTheme="minorEastAsia" w:cstheme="minorEastAsia"/>
          <w:color w:val="auto"/>
          <w:sz w:val="24"/>
          <w:szCs w:val="24"/>
        </w:rPr>
        <w:t>劳动安全措施</w:t>
      </w:r>
      <w:bookmarkEnd w:id="166"/>
      <w:bookmarkEnd w:id="167"/>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污水厂工作环境条件较好，除了对本厂操作人员、管理人员进行必要的安全教育、制订必要的操作规程和管理制度外，设计中需要考虑以下的劳动保护和安全措施：</w:t>
      </w:r>
    </w:p>
    <w:p>
      <w:pPr>
        <w:pStyle w:val="32"/>
        <w:numPr>
          <w:ilvl w:val="0"/>
          <w:numId w:val="83"/>
        </w:numPr>
        <w:tabs>
          <w:tab w:val="left" w:pos="1661"/>
        </w:tabs>
        <w:spacing w:line="500" w:lineRule="exact"/>
        <w:ind w:left="0"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污水厂中噪音主要来源于泵房水泵及电动机运转。电动机转速越高，噪音越大。在泵房设计时，一是选用低速电机设备及采用避震隔音措施。二是控制室与泵房之间作隔音墙，使值班人员免受噪音</w:t>
      </w:r>
      <w:r>
        <w:rPr>
          <w:rFonts w:hint="eastAsia" w:asciiTheme="minorEastAsia" w:hAnsiTheme="minorEastAsia" w:eastAsiaTheme="minorEastAsia" w:cstheme="minorEastAsia"/>
          <w:color w:val="auto"/>
          <w:spacing w:val="-13"/>
          <w:sz w:val="24"/>
          <w:szCs w:val="24"/>
        </w:rPr>
        <w:t>干扰，泵房设计符合工业厂房卫生标准。</w:t>
      </w:r>
    </w:p>
    <w:p>
      <w:pPr>
        <w:pStyle w:val="32"/>
        <w:numPr>
          <w:ilvl w:val="0"/>
          <w:numId w:val="83"/>
        </w:numPr>
        <w:tabs>
          <w:tab w:val="left" w:pos="1661"/>
        </w:tabs>
        <w:spacing w:line="500" w:lineRule="exact"/>
        <w:ind w:left="0"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防暑降温。泵房电动机是主要热源，泵房设计时考虑通风设施。</w:t>
      </w:r>
    </w:p>
    <w:p>
      <w:pPr>
        <w:pStyle w:val="32"/>
        <w:numPr>
          <w:ilvl w:val="0"/>
          <w:numId w:val="83"/>
        </w:numPr>
        <w:tabs>
          <w:tab w:val="left" w:pos="1661"/>
        </w:tabs>
        <w:spacing w:line="500" w:lineRule="exact"/>
        <w:ind w:left="0"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加氯间、氯库除设置漏氯吸收装置之外，还需设置漏氯报警、抽风机、防毒面具等设置，以便发生事故时，人员现场及时处</w:t>
      </w:r>
      <w:r>
        <w:rPr>
          <w:rFonts w:hint="eastAsia" w:asciiTheme="minorEastAsia" w:hAnsiTheme="minorEastAsia" w:eastAsiaTheme="minorEastAsia" w:cstheme="minorEastAsia"/>
          <w:color w:val="auto"/>
          <w:spacing w:val="-3"/>
          <w:sz w:val="24"/>
          <w:szCs w:val="24"/>
        </w:rPr>
        <w:t>理。</w:t>
      </w:r>
    </w:p>
    <w:p>
      <w:pPr>
        <w:pStyle w:val="10"/>
        <w:spacing w:line="500" w:lineRule="exact"/>
        <w:ind w:firstLine="44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9"/>
          <w:sz w:val="24"/>
          <w:szCs w:val="24"/>
        </w:rPr>
        <w:t>（4）</w:t>
      </w:r>
      <w:r>
        <w:rPr>
          <w:rFonts w:hint="eastAsia" w:asciiTheme="minorEastAsia" w:hAnsiTheme="minorEastAsia" w:eastAsiaTheme="minorEastAsia" w:cstheme="minorEastAsia"/>
          <w:color w:val="auto"/>
          <w:spacing w:val="-10"/>
          <w:sz w:val="24"/>
          <w:szCs w:val="24"/>
        </w:rPr>
        <w:t>电气设备接线完全按水电部接地保护规程要求执行。电气的防火安全措施采用气体灭火设备和干粉灭火机，安置在各配电间及</w:t>
      </w:r>
      <w:r>
        <w:rPr>
          <w:rFonts w:hint="eastAsia" w:asciiTheme="minorEastAsia" w:hAnsiTheme="minorEastAsia" w:eastAsiaTheme="minorEastAsia" w:cstheme="minorEastAsia"/>
          <w:color w:val="auto"/>
          <w:spacing w:val="-8"/>
          <w:sz w:val="24"/>
          <w:szCs w:val="24"/>
        </w:rPr>
        <w:t>值班室内。</w:t>
      </w:r>
    </w:p>
    <w:p>
      <w:pPr>
        <w:pStyle w:val="32"/>
        <w:numPr>
          <w:ilvl w:val="0"/>
          <w:numId w:val="84"/>
        </w:numPr>
        <w:tabs>
          <w:tab w:val="left" w:pos="1661"/>
        </w:tabs>
        <w:spacing w:line="500" w:lineRule="exact"/>
        <w:ind w:left="0"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水池体构筑物较多，池深壁陡，设计时考虑行人安全，走道板应设置栏杆及路灯。各构筑物走道和临空天桥均设置保护栏杆，其走道宽度、栏杆高度和强度均符合国家劳动保护规定。</w:t>
      </w:r>
    </w:p>
    <w:p>
      <w:pPr>
        <w:pStyle w:val="32"/>
        <w:numPr>
          <w:ilvl w:val="0"/>
          <w:numId w:val="84"/>
        </w:numPr>
        <w:tabs>
          <w:tab w:val="left" w:pos="1661"/>
        </w:tabs>
        <w:spacing w:line="500" w:lineRule="exact"/>
        <w:ind w:left="0"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对于一些密封结构，通风条件差的场所，采取机械通风。</w:t>
      </w:r>
    </w:p>
    <w:p>
      <w:pPr>
        <w:pStyle w:val="32"/>
        <w:numPr>
          <w:ilvl w:val="0"/>
          <w:numId w:val="84"/>
        </w:numPr>
        <w:tabs>
          <w:tab w:val="left" w:pos="1661"/>
        </w:tabs>
        <w:spacing w:line="500" w:lineRule="exact"/>
        <w:ind w:left="0"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厂内配置救生衣、救生圈、安全带、安全帽等劳保防护用品。</w:t>
      </w:r>
    </w:p>
    <w:p>
      <w:pPr>
        <w:pStyle w:val="32"/>
        <w:numPr>
          <w:ilvl w:val="0"/>
          <w:numId w:val="84"/>
        </w:numPr>
        <w:tabs>
          <w:tab w:val="left" w:pos="1661"/>
        </w:tabs>
        <w:spacing w:line="500" w:lineRule="exact"/>
        <w:ind w:left="0"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厂内设置一定管沟，将电力电缆及控制电缆敷设于内。其他厂区管道，闸阀均需考虑阀井，并考虑操作杆接至地面，以便操作。</w:t>
      </w:r>
    </w:p>
    <w:p>
      <w:pPr>
        <w:pStyle w:val="32"/>
        <w:numPr>
          <w:ilvl w:val="0"/>
          <w:numId w:val="84"/>
        </w:numPr>
        <w:tabs>
          <w:tab w:val="left" w:pos="1661"/>
        </w:tabs>
        <w:spacing w:line="500" w:lineRule="exact"/>
        <w:ind w:left="0"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易燃、易爆及有毒物品，须设置专用仓库，专人保管，并满</w:t>
      </w:r>
      <w:r>
        <w:rPr>
          <w:rFonts w:hint="eastAsia" w:asciiTheme="minorEastAsia" w:hAnsiTheme="minorEastAsia" w:eastAsiaTheme="minorEastAsia" w:cstheme="minorEastAsia"/>
          <w:color w:val="auto"/>
          <w:spacing w:val="-12"/>
          <w:sz w:val="24"/>
          <w:szCs w:val="24"/>
        </w:rPr>
        <w:t>足劳动保护规定。</w:t>
      </w:r>
    </w:p>
    <w:p>
      <w:pPr>
        <w:pStyle w:val="32"/>
        <w:numPr>
          <w:ilvl w:val="0"/>
          <w:numId w:val="84"/>
        </w:numPr>
        <w:tabs>
          <w:tab w:val="left" w:pos="1793"/>
        </w:tabs>
        <w:spacing w:line="500" w:lineRule="exact"/>
        <w:ind w:left="0"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须设置适当的生产辅助设施，如浴室、厕所、更衣室、休</w:t>
      </w:r>
      <w:r>
        <w:rPr>
          <w:rFonts w:hint="eastAsia" w:asciiTheme="minorEastAsia" w:hAnsiTheme="minorEastAsia" w:eastAsiaTheme="minorEastAsia" w:cstheme="minorEastAsia"/>
          <w:color w:val="auto"/>
          <w:spacing w:val="-13"/>
          <w:sz w:val="24"/>
          <w:szCs w:val="24"/>
        </w:rPr>
        <w:t>息室等，并注意保护完好和清洁卫生。</w:t>
      </w:r>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劳动保护及安全生产方面要加强对职工的法制教育，包括在建设</w:t>
      </w:r>
      <w:r>
        <w:rPr>
          <w:rFonts w:hint="eastAsia" w:asciiTheme="minorEastAsia" w:hAnsiTheme="minorEastAsia" w:eastAsiaTheme="minorEastAsia" w:cstheme="minorEastAsia"/>
          <w:color w:val="auto"/>
          <w:spacing w:val="-13"/>
          <w:sz w:val="24"/>
          <w:szCs w:val="24"/>
        </w:rPr>
        <w:t>期及运行管理期，其内容如下：</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1、在建设期：</w:t>
      </w:r>
    </w:p>
    <w:p>
      <w:pPr>
        <w:pStyle w:val="32"/>
        <w:numPr>
          <w:ilvl w:val="0"/>
          <w:numId w:val="85"/>
        </w:numPr>
        <w:tabs>
          <w:tab w:val="left" w:pos="1661"/>
        </w:tabs>
        <w:spacing w:line="500" w:lineRule="exact"/>
        <w:jc w:val="both"/>
        <w:rPr>
          <w:rFonts w:asciiTheme="minorEastAsia" w:hAnsiTheme="minorEastAsia" w:eastAsiaTheme="minorEastAsia" w:cstheme="minorEastAsia"/>
          <w:color w:val="auto"/>
          <w:spacing w:val="-16"/>
          <w:sz w:val="24"/>
          <w:szCs w:val="24"/>
        </w:rPr>
      </w:pPr>
      <w:r>
        <w:rPr>
          <w:rFonts w:hint="eastAsia" w:asciiTheme="minorEastAsia" w:hAnsiTheme="minorEastAsia" w:eastAsiaTheme="minorEastAsia" w:cstheme="minorEastAsia"/>
          <w:color w:val="auto"/>
          <w:spacing w:val="-16"/>
          <w:sz w:val="24"/>
          <w:szCs w:val="24"/>
        </w:rPr>
        <w:t>编制和执行各种有关施工安全的政策大纲以及各方面应负的责任；</w:t>
      </w:r>
    </w:p>
    <w:p>
      <w:pPr>
        <w:pStyle w:val="32"/>
        <w:numPr>
          <w:ilvl w:val="0"/>
          <w:numId w:val="85"/>
        </w:numPr>
        <w:tabs>
          <w:tab w:val="left" w:pos="1661"/>
        </w:tabs>
        <w:spacing w:line="500" w:lineRule="exact"/>
        <w:jc w:val="both"/>
        <w:rPr>
          <w:rFonts w:asciiTheme="minorEastAsia" w:hAnsiTheme="minorEastAsia" w:eastAsiaTheme="minorEastAsia" w:cstheme="minorEastAsia"/>
          <w:color w:val="auto"/>
          <w:spacing w:val="-16"/>
          <w:sz w:val="24"/>
          <w:szCs w:val="24"/>
        </w:rPr>
      </w:pPr>
      <w:r>
        <w:rPr>
          <w:rFonts w:hint="eastAsia" w:asciiTheme="minorEastAsia" w:hAnsiTheme="minorEastAsia" w:eastAsiaTheme="minorEastAsia" w:cstheme="minorEastAsia"/>
          <w:color w:val="auto"/>
          <w:spacing w:val="-16"/>
          <w:sz w:val="24"/>
          <w:szCs w:val="24"/>
        </w:rPr>
        <w:t>对全体职工进行安全培训，事故和偶发事件报告制度；</w:t>
      </w:r>
    </w:p>
    <w:p>
      <w:pPr>
        <w:pStyle w:val="32"/>
        <w:numPr>
          <w:ilvl w:val="0"/>
          <w:numId w:val="85"/>
        </w:numPr>
        <w:tabs>
          <w:tab w:val="left" w:pos="1661"/>
        </w:tabs>
        <w:spacing w:line="500" w:lineRule="exact"/>
        <w:jc w:val="both"/>
        <w:rPr>
          <w:rFonts w:asciiTheme="minorEastAsia" w:hAnsiTheme="minorEastAsia" w:eastAsiaTheme="minorEastAsia" w:cstheme="minorEastAsia"/>
          <w:color w:val="auto"/>
          <w:spacing w:val="-16"/>
          <w:sz w:val="24"/>
          <w:szCs w:val="24"/>
        </w:rPr>
      </w:pPr>
      <w:r>
        <w:rPr>
          <w:rFonts w:hint="eastAsia" w:asciiTheme="minorEastAsia" w:hAnsiTheme="minorEastAsia" w:eastAsiaTheme="minorEastAsia" w:cstheme="minorEastAsia"/>
          <w:color w:val="auto"/>
          <w:spacing w:val="-16"/>
          <w:sz w:val="24"/>
          <w:szCs w:val="24"/>
        </w:rPr>
        <w:t>颁发和使用安全设备，如安全帽、安全鞋等；</w:t>
      </w:r>
    </w:p>
    <w:p>
      <w:pPr>
        <w:pStyle w:val="32"/>
        <w:numPr>
          <w:ilvl w:val="0"/>
          <w:numId w:val="85"/>
        </w:numPr>
        <w:tabs>
          <w:tab w:val="left" w:pos="1661"/>
        </w:tabs>
        <w:spacing w:line="500" w:lineRule="exact"/>
        <w:jc w:val="both"/>
        <w:rPr>
          <w:rFonts w:asciiTheme="minorEastAsia" w:hAnsiTheme="minorEastAsia" w:eastAsiaTheme="minorEastAsia" w:cstheme="minorEastAsia"/>
          <w:color w:val="auto"/>
          <w:spacing w:val="-16"/>
          <w:sz w:val="24"/>
          <w:szCs w:val="24"/>
        </w:rPr>
      </w:pPr>
      <w:r>
        <w:rPr>
          <w:rFonts w:hint="eastAsia" w:asciiTheme="minorEastAsia" w:hAnsiTheme="minorEastAsia" w:eastAsiaTheme="minorEastAsia" w:cstheme="minorEastAsia"/>
          <w:color w:val="auto"/>
          <w:spacing w:val="-16"/>
          <w:sz w:val="24"/>
          <w:szCs w:val="24"/>
        </w:rPr>
        <w:t>制订安全工作实践，如脚手架、壳子板和开挖支撑等；</w:t>
      </w:r>
    </w:p>
    <w:p>
      <w:pPr>
        <w:pStyle w:val="32"/>
        <w:numPr>
          <w:ilvl w:val="0"/>
          <w:numId w:val="85"/>
        </w:numPr>
        <w:tabs>
          <w:tab w:val="left" w:pos="1661"/>
        </w:tabs>
        <w:spacing w:line="500" w:lineRule="exact"/>
        <w:jc w:val="both"/>
        <w:rPr>
          <w:rFonts w:asciiTheme="minorEastAsia" w:hAnsiTheme="minorEastAsia" w:eastAsiaTheme="minorEastAsia" w:cstheme="minorEastAsia"/>
          <w:color w:val="auto"/>
          <w:spacing w:val="-16"/>
          <w:sz w:val="24"/>
          <w:szCs w:val="24"/>
        </w:rPr>
      </w:pPr>
      <w:r>
        <w:rPr>
          <w:rFonts w:hint="eastAsia" w:asciiTheme="minorEastAsia" w:hAnsiTheme="minorEastAsia" w:eastAsiaTheme="minorEastAsia" w:cstheme="minorEastAsia"/>
          <w:color w:val="auto"/>
          <w:spacing w:val="-16"/>
          <w:sz w:val="24"/>
          <w:szCs w:val="24"/>
        </w:rPr>
        <w:t xml:space="preserve">任命安全监理和安全官员。 </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2、在运行管理期：</w:t>
      </w:r>
    </w:p>
    <w:p>
      <w:pPr>
        <w:pStyle w:val="32"/>
        <w:numPr>
          <w:ilvl w:val="0"/>
          <w:numId w:val="86"/>
        </w:numPr>
        <w:tabs>
          <w:tab w:val="left" w:pos="1661"/>
        </w:tabs>
        <w:spacing w:line="500" w:lineRule="exact"/>
        <w:jc w:val="both"/>
        <w:rPr>
          <w:rFonts w:asciiTheme="minorEastAsia" w:hAnsiTheme="minorEastAsia" w:eastAsiaTheme="minorEastAsia" w:cstheme="minorEastAsia"/>
          <w:color w:val="auto"/>
          <w:spacing w:val="-16"/>
          <w:sz w:val="24"/>
          <w:szCs w:val="24"/>
        </w:rPr>
      </w:pPr>
      <w:r>
        <w:rPr>
          <w:rFonts w:hint="eastAsia" w:asciiTheme="minorEastAsia" w:hAnsiTheme="minorEastAsia" w:eastAsiaTheme="minorEastAsia" w:cstheme="minorEastAsia"/>
          <w:color w:val="auto"/>
          <w:spacing w:val="-16"/>
          <w:sz w:val="24"/>
          <w:szCs w:val="24"/>
        </w:rPr>
        <w:t>制订紧急反应计划；</w:t>
      </w:r>
    </w:p>
    <w:p>
      <w:pPr>
        <w:pStyle w:val="32"/>
        <w:numPr>
          <w:ilvl w:val="0"/>
          <w:numId w:val="86"/>
        </w:numPr>
        <w:tabs>
          <w:tab w:val="left" w:pos="1661"/>
        </w:tabs>
        <w:spacing w:line="500" w:lineRule="exact"/>
        <w:jc w:val="both"/>
        <w:rPr>
          <w:rFonts w:asciiTheme="minorEastAsia" w:hAnsiTheme="minorEastAsia" w:eastAsiaTheme="minorEastAsia" w:cstheme="minorEastAsia"/>
          <w:color w:val="auto"/>
          <w:spacing w:val="-16"/>
          <w:sz w:val="24"/>
          <w:szCs w:val="24"/>
        </w:rPr>
      </w:pPr>
      <w:r>
        <w:rPr>
          <w:rFonts w:hint="eastAsia" w:asciiTheme="minorEastAsia" w:hAnsiTheme="minorEastAsia" w:eastAsiaTheme="minorEastAsia" w:cstheme="minorEastAsia"/>
          <w:color w:val="auto"/>
          <w:spacing w:val="-16"/>
          <w:sz w:val="24"/>
          <w:szCs w:val="24"/>
        </w:rPr>
        <w:t>任命安全监理和安全官员；</w:t>
      </w:r>
    </w:p>
    <w:p>
      <w:pPr>
        <w:pStyle w:val="32"/>
        <w:numPr>
          <w:ilvl w:val="0"/>
          <w:numId w:val="86"/>
        </w:numPr>
        <w:tabs>
          <w:tab w:val="left" w:pos="1661"/>
        </w:tabs>
        <w:spacing w:line="500" w:lineRule="exact"/>
        <w:jc w:val="both"/>
        <w:rPr>
          <w:rFonts w:asciiTheme="minorEastAsia" w:hAnsiTheme="minorEastAsia" w:eastAsiaTheme="minorEastAsia" w:cstheme="minorEastAsia"/>
          <w:color w:val="auto"/>
          <w:spacing w:val="-16"/>
          <w:sz w:val="24"/>
          <w:szCs w:val="24"/>
        </w:rPr>
      </w:pPr>
      <w:r>
        <w:rPr>
          <w:rFonts w:hint="eastAsia" w:asciiTheme="minorEastAsia" w:hAnsiTheme="minorEastAsia" w:eastAsiaTheme="minorEastAsia" w:cstheme="minorEastAsia"/>
          <w:color w:val="auto"/>
          <w:spacing w:val="-16"/>
          <w:sz w:val="24"/>
          <w:szCs w:val="24"/>
        </w:rPr>
        <w:t>制订安全管理系统（体制）；</w:t>
      </w:r>
    </w:p>
    <w:p>
      <w:pPr>
        <w:pStyle w:val="32"/>
        <w:numPr>
          <w:ilvl w:val="0"/>
          <w:numId w:val="86"/>
        </w:numPr>
        <w:tabs>
          <w:tab w:val="left" w:pos="1661"/>
        </w:tabs>
        <w:spacing w:line="500" w:lineRule="exact"/>
        <w:jc w:val="both"/>
        <w:rPr>
          <w:rFonts w:asciiTheme="minorEastAsia" w:hAnsiTheme="minorEastAsia" w:eastAsiaTheme="minorEastAsia" w:cstheme="minorEastAsia"/>
          <w:color w:val="auto"/>
          <w:spacing w:val="-16"/>
          <w:sz w:val="24"/>
          <w:szCs w:val="24"/>
        </w:rPr>
      </w:pPr>
      <w:r>
        <w:rPr>
          <w:rFonts w:hint="eastAsia" w:asciiTheme="minorEastAsia" w:hAnsiTheme="minorEastAsia" w:eastAsiaTheme="minorEastAsia" w:cstheme="minorEastAsia"/>
          <w:color w:val="auto"/>
          <w:spacing w:val="-16"/>
          <w:sz w:val="24"/>
          <w:szCs w:val="24"/>
        </w:rPr>
        <w:t>定期对所有职工进行医疗检查；</w:t>
      </w:r>
    </w:p>
    <w:p>
      <w:pPr>
        <w:pStyle w:val="32"/>
        <w:numPr>
          <w:ilvl w:val="0"/>
          <w:numId w:val="86"/>
        </w:numPr>
        <w:tabs>
          <w:tab w:val="left" w:pos="1661"/>
        </w:tabs>
        <w:spacing w:line="500" w:lineRule="exact"/>
        <w:jc w:val="both"/>
        <w:rPr>
          <w:rFonts w:asciiTheme="minorEastAsia" w:hAnsiTheme="minorEastAsia" w:eastAsiaTheme="minorEastAsia" w:cstheme="minorEastAsia"/>
          <w:color w:val="auto"/>
          <w:spacing w:val="-16"/>
          <w:sz w:val="24"/>
          <w:szCs w:val="24"/>
        </w:rPr>
      </w:pPr>
      <w:r>
        <w:rPr>
          <w:rFonts w:hint="eastAsia" w:asciiTheme="minorEastAsia" w:hAnsiTheme="minorEastAsia" w:eastAsiaTheme="minorEastAsia" w:cstheme="minorEastAsia"/>
          <w:color w:val="auto"/>
          <w:spacing w:val="-16"/>
          <w:sz w:val="24"/>
          <w:szCs w:val="24"/>
        </w:rPr>
        <w:t>颁发和使用安全用品如安全帽、安全鞋、耳护套、工作服、气体检漏器等。</w:t>
      </w:r>
    </w:p>
    <w:p>
      <w:pPr>
        <w:tabs>
          <w:tab w:val="left" w:pos="1661"/>
        </w:tabs>
        <w:spacing w:line="500" w:lineRule="exact"/>
        <w:jc w:val="both"/>
        <w:rPr>
          <w:rFonts w:asciiTheme="minorEastAsia" w:hAnsiTheme="minorEastAsia" w:eastAsiaTheme="minorEastAsia" w:cstheme="minorEastAsia"/>
          <w:color w:val="auto"/>
          <w:spacing w:val="-16"/>
          <w:sz w:val="24"/>
          <w:szCs w:val="24"/>
        </w:rPr>
      </w:pPr>
    </w:p>
    <w:p>
      <w:pPr>
        <w:pStyle w:val="26"/>
        <w:rPr>
          <w:color w:val="auto"/>
        </w:rPr>
      </w:pPr>
    </w:p>
    <w:p>
      <w:pPr>
        <w:widowControl/>
        <w:autoSpaceDE/>
        <w:autoSpaceDN/>
        <w:rPr>
          <w:color w:val="auto"/>
          <w:sz w:val="28"/>
          <w:szCs w:val="28"/>
        </w:rPr>
      </w:pPr>
      <w:r>
        <w:rPr>
          <w:color w:val="auto"/>
        </w:rPr>
        <w:br w:type="page"/>
      </w:r>
    </w:p>
    <w:p>
      <w:pPr>
        <w:pStyle w:val="2"/>
        <w:numPr>
          <w:ilvl w:val="0"/>
          <w:numId w:val="65"/>
        </w:numPr>
        <w:jc w:val="center"/>
        <w:rPr>
          <w:color w:val="auto"/>
        </w:rPr>
      </w:pPr>
      <w:bookmarkStart w:id="168" w:name="_Toc19352"/>
      <w:bookmarkStart w:id="169" w:name="_Toc16489"/>
      <w:r>
        <w:rPr>
          <w:rFonts w:hint="eastAsia"/>
          <w:color w:val="auto"/>
        </w:rPr>
        <w:t>投资估算与资金筹措</w:t>
      </w:r>
      <w:bookmarkEnd w:id="168"/>
      <w:bookmarkEnd w:id="169"/>
    </w:p>
    <w:p>
      <w:pPr>
        <w:pStyle w:val="2"/>
        <w:numPr>
          <w:ilvl w:val="0"/>
          <w:numId w:val="0"/>
        </w:numPr>
        <w:tabs>
          <w:tab w:val="left" w:pos="1359"/>
        </w:tabs>
        <w:spacing w:before="0" w:line="500" w:lineRule="exact"/>
        <w:ind w:leftChars="0"/>
        <w:jc w:val="both"/>
        <w:rPr>
          <w:rFonts w:asciiTheme="minorEastAsia" w:hAnsiTheme="minorEastAsia" w:eastAsiaTheme="minorEastAsia" w:cstheme="minorEastAsia"/>
          <w:color w:val="auto"/>
          <w:sz w:val="24"/>
          <w:szCs w:val="24"/>
        </w:rPr>
      </w:pPr>
      <w:bookmarkStart w:id="170" w:name="12.1投资估算"/>
      <w:bookmarkEnd w:id="170"/>
      <w:bookmarkStart w:id="171" w:name="_Toc4625"/>
      <w:bookmarkStart w:id="172" w:name="_Toc8220"/>
      <w:r>
        <w:rPr>
          <w:rFonts w:hint="eastAsia" w:asciiTheme="minorEastAsia" w:hAnsiTheme="minorEastAsia" w:eastAsiaTheme="minorEastAsia" w:cstheme="minorEastAsia"/>
          <w:color w:val="auto"/>
          <w:sz w:val="24"/>
          <w:szCs w:val="24"/>
          <w:lang w:val="en-US" w:eastAsia="zh-CN"/>
        </w:rPr>
        <w:t>12.1</w:t>
      </w:r>
      <w:r>
        <w:rPr>
          <w:rFonts w:hint="eastAsia" w:asciiTheme="minorEastAsia" w:hAnsiTheme="minorEastAsia" w:eastAsiaTheme="minorEastAsia" w:cstheme="minorEastAsia"/>
          <w:color w:val="auto"/>
          <w:sz w:val="24"/>
          <w:szCs w:val="24"/>
        </w:rPr>
        <w:t>投资估算</w:t>
      </w:r>
      <w:bookmarkEnd w:id="171"/>
      <w:bookmarkEnd w:id="172"/>
    </w:p>
    <w:p>
      <w:pPr>
        <w:pStyle w:val="32"/>
        <w:numPr>
          <w:ilvl w:val="0"/>
          <w:numId w:val="1"/>
        </w:numPr>
        <w:tabs>
          <w:tab w:val="left" w:pos="1937"/>
        </w:tabs>
        <w:spacing w:line="500" w:lineRule="exact"/>
        <w:jc w:val="both"/>
        <w:rPr>
          <w:rFonts w:asciiTheme="minorEastAsia" w:hAnsiTheme="minorEastAsia" w:eastAsiaTheme="minorEastAsia" w:cstheme="minorEastAsia"/>
          <w:b/>
          <w:vanish/>
          <w:color w:val="auto"/>
          <w:sz w:val="24"/>
          <w:szCs w:val="24"/>
        </w:rPr>
      </w:pPr>
    </w:p>
    <w:p>
      <w:pPr>
        <w:pStyle w:val="32"/>
        <w:numPr>
          <w:ilvl w:val="1"/>
          <w:numId w:val="1"/>
        </w:numPr>
        <w:tabs>
          <w:tab w:val="left" w:pos="1937"/>
        </w:tabs>
        <w:spacing w:line="500" w:lineRule="exact"/>
        <w:jc w:val="both"/>
        <w:rPr>
          <w:rFonts w:asciiTheme="minorEastAsia" w:hAnsiTheme="minorEastAsia" w:eastAsiaTheme="minorEastAsia" w:cstheme="minorEastAsia"/>
          <w:b/>
          <w:vanish/>
          <w:color w:val="auto"/>
          <w:sz w:val="24"/>
          <w:szCs w:val="24"/>
        </w:rPr>
      </w:pPr>
    </w:p>
    <w:p>
      <w:pPr>
        <w:pStyle w:val="32"/>
        <w:tabs>
          <w:tab w:val="left" w:pos="1896"/>
        </w:tabs>
        <w:spacing w:line="500" w:lineRule="exact"/>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编制依据</w:t>
      </w:r>
    </w:p>
    <w:p>
      <w:pPr>
        <w:pStyle w:val="32"/>
        <w:numPr>
          <w:ilvl w:val="0"/>
          <w:numId w:val="87"/>
        </w:numPr>
        <w:tabs>
          <w:tab w:val="left" w:pos="1661"/>
        </w:tabs>
        <w:spacing w:line="500" w:lineRule="exact"/>
        <w:ind w:left="0" w:firstLine="428" w:firstLineChars="200"/>
        <w:jc w:val="both"/>
        <w:rPr>
          <w:rFonts w:asciiTheme="minorEastAsia" w:hAnsiTheme="minorEastAsia" w:eastAsiaTheme="minorEastAsia" w:cstheme="minorEastAsia"/>
          <w:color w:val="auto"/>
          <w:spacing w:val="-13"/>
          <w:sz w:val="24"/>
          <w:szCs w:val="24"/>
        </w:rPr>
      </w:pPr>
      <w:r>
        <w:rPr>
          <w:rFonts w:hint="eastAsia" w:asciiTheme="minorEastAsia" w:hAnsiTheme="minorEastAsia" w:eastAsiaTheme="minorEastAsia" w:cstheme="minorEastAsia"/>
          <w:color w:val="auto"/>
          <w:spacing w:val="-13"/>
          <w:sz w:val="24"/>
          <w:szCs w:val="24"/>
        </w:rPr>
        <w:t>《建设项目经济评价方法与参数》（第三版），发改投资〔2006〕1325号，中国计划出版社；</w:t>
      </w:r>
    </w:p>
    <w:p>
      <w:pPr>
        <w:pStyle w:val="32"/>
        <w:numPr>
          <w:ilvl w:val="0"/>
          <w:numId w:val="87"/>
        </w:numPr>
        <w:tabs>
          <w:tab w:val="left" w:pos="1661"/>
        </w:tabs>
        <w:spacing w:line="500" w:lineRule="exact"/>
        <w:ind w:left="0" w:firstLine="428" w:firstLineChars="200"/>
        <w:jc w:val="both"/>
        <w:rPr>
          <w:rFonts w:asciiTheme="minorEastAsia" w:hAnsiTheme="minorEastAsia" w:eastAsiaTheme="minorEastAsia" w:cstheme="minorEastAsia"/>
          <w:color w:val="auto"/>
          <w:spacing w:val="-13"/>
          <w:sz w:val="24"/>
          <w:szCs w:val="24"/>
        </w:rPr>
      </w:pPr>
      <w:r>
        <w:rPr>
          <w:rFonts w:hint="eastAsia" w:asciiTheme="minorEastAsia" w:hAnsiTheme="minorEastAsia" w:eastAsiaTheme="minorEastAsia" w:cstheme="minorEastAsia"/>
          <w:color w:val="auto"/>
          <w:spacing w:val="-13"/>
          <w:sz w:val="24"/>
          <w:szCs w:val="24"/>
        </w:rPr>
        <w:t>《市政公用设施建设项目经济评价方法与参数》，建标〔2008〕162号；</w:t>
      </w:r>
    </w:p>
    <w:p>
      <w:pPr>
        <w:pStyle w:val="32"/>
        <w:numPr>
          <w:ilvl w:val="0"/>
          <w:numId w:val="87"/>
        </w:numPr>
        <w:tabs>
          <w:tab w:val="left" w:pos="1661"/>
        </w:tabs>
        <w:spacing w:line="500" w:lineRule="exact"/>
        <w:ind w:left="0" w:firstLine="428" w:firstLineChars="200"/>
        <w:jc w:val="both"/>
        <w:rPr>
          <w:rFonts w:asciiTheme="minorEastAsia" w:hAnsiTheme="minorEastAsia" w:eastAsiaTheme="minorEastAsia" w:cstheme="minorEastAsia"/>
          <w:color w:val="auto"/>
          <w:spacing w:val="-13"/>
          <w:sz w:val="24"/>
          <w:szCs w:val="24"/>
        </w:rPr>
      </w:pPr>
      <w:r>
        <w:rPr>
          <w:rFonts w:hint="eastAsia" w:asciiTheme="minorEastAsia" w:hAnsiTheme="minorEastAsia" w:eastAsiaTheme="minorEastAsia" w:cstheme="minorEastAsia"/>
          <w:color w:val="auto"/>
          <w:spacing w:val="-13"/>
          <w:sz w:val="24"/>
          <w:szCs w:val="24"/>
        </w:rPr>
        <w:t>《市政工程投资估算编制办法》建标〔2007〕164 号，中华人民共和国建设部；</w:t>
      </w:r>
    </w:p>
    <w:p>
      <w:pPr>
        <w:pStyle w:val="32"/>
        <w:numPr>
          <w:ilvl w:val="0"/>
          <w:numId w:val="87"/>
        </w:numPr>
        <w:tabs>
          <w:tab w:val="left" w:pos="1661"/>
        </w:tabs>
        <w:spacing w:line="500" w:lineRule="exact"/>
        <w:ind w:left="0" w:firstLine="428" w:firstLineChars="200"/>
        <w:jc w:val="both"/>
        <w:rPr>
          <w:rFonts w:asciiTheme="minorEastAsia" w:hAnsiTheme="minorEastAsia" w:eastAsiaTheme="minorEastAsia" w:cstheme="minorEastAsia"/>
          <w:color w:val="auto"/>
          <w:spacing w:val="-13"/>
          <w:sz w:val="24"/>
          <w:szCs w:val="24"/>
        </w:rPr>
      </w:pPr>
      <w:r>
        <w:rPr>
          <w:rFonts w:hint="eastAsia" w:asciiTheme="minorEastAsia" w:hAnsiTheme="minorEastAsia" w:eastAsiaTheme="minorEastAsia" w:cstheme="minorEastAsia"/>
          <w:color w:val="auto"/>
          <w:spacing w:val="-13"/>
          <w:sz w:val="24"/>
          <w:szCs w:val="24"/>
        </w:rPr>
        <w:t>《全国市政工程投资估算指标》(HGZ47-103-2007)；</w:t>
      </w:r>
    </w:p>
    <w:p>
      <w:pPr>
        <w:pStyle w:val="32"/>
        <w:numPr>
          <w:ilvl w:val="0"/>
          <w:numId w:val="87"/>
        </w:numPr>
        <w:tabs>
          <w:tab w:val="left" w:pos="1661"/>
        </w:tabs>
        <w:spacing w:line="500" w:lineRule="exact"/>
        <w:ind w:left="0" w:firstLine="428" w:firstLineChars="200"/>
        <w:jc w:val="both"/>
        <w:rPr>
          <w:rFonts w:asciiTheme="minorEastAsia" w:hAnsiTheme="minorEastAsia" w:eastAsiaTheme="minorEastAsia" w:cstheme="minorEastAsia"/>
          <w:color w:val="auto"/>
          <w:spacing w:val="-13"/>
          <w:sz w:val="24"/>
          <w:szCs w:val="24"/>
        </w:rPr>
      </w:pPr>
      <w:r>
        <w:rPr>
          <w:rFonts w:hint="eastAsia" w:asciiTheme="minorEastAsia" w:hAnsiTheme="minorEastAsia" w:eastAsiaTheme="minorEastAsia" w:cstheme="minorEastAsia"/>
          <w:color w:val="auto"/>
          <w:spacing w:val="-13"/>
          <w:sz w:val="24"/>
          <w:szCs w:val="24"/>
        </w:rPr>
        <w:t>《给水排水设计手册》技术经济（第二版）；</w:t>
      </w:r>
    </w:p>
    <w:p>
      <w:pPr>
        <w:pStyle w:val="32"/>
        <w:numPr>
          <w:ilvl w:val="0"/>
          <w:numId w:val="87"/>
        </w:numPr>
        <w:tabs>
          <w:tab w:val="left" w:pos="1661"/>
        </w:tabs>
        <w:spacing w:line="500" w:lineRule="exact"/>
        <w:ind w:left="0" w:firstLine="428" w:firstLineChars="200"/>
        <w:jc w:val="both"/>
        <w:rPr>
          <w:rFonts w:asciiTheme="minorEastAsia" w:hAnsiTheme="minorEastAsia" w:eastAsiaTheme="minorEastAsia" w:cstheme="minorEastAsia"/>
          <w:color w:val="auto"/>
          <w:spacing w:val="-13"/>
          <w:sz w:val="24"/>
          <w:szCs w:val="24"/>
        </w:rPr>
      </w:pPr>
      <w:r>
        <w:rPr>
          <w:rFonts w:hint="eastAsia" w:asciiTheme="minorEastAsia" w:hAnsiTheme="minorEastAsia" w:eastAsiaTheme="minorEastAsia" w:cstheme="minorEastAsia"/>
          <w:color w:val="auto"/>
          <w:spacing w:val="-13"/>
          <w:sz w:val="24"/>
          <w:szCs w:val="24"/>
        </w:rPr>
        <w:t>《建设工程工程量清单计价规范》（GB50500-2013）；</w:t>
      </w:r>
    </w:p>
    <w:p>
      <w:pPr>
        <w:pStyle w:val="32"/>
        <w:numPr>
          <w:ilvl w:val="0"/>
          <w:numId w:val="87"/>
        </w:numPr>
        <w:tabs>
          <w:tab w:val="left" w:pos="1661"/>
        </w:tabs>
        <w:spacing w:line="500" w:lineRule="exact"/>
        <w:ind w:left="0" w:firstLine="428" w:firstLineChars="200"/>
        <w:jc w:val="both"/>
        <w:rPr>
          <w:rFonts w:asciiTheme="minorEastAsia" w:hAnsiTheme="minorEastAsia" w:eastAsiaTheme="minorEastAsia" w:cstheme="minorEastAsia"/>
          <w:color w:val="auto"/>
          <w:spacing w:val="-13"/>
          <w:sz w:val="24"/>
          <w:szCs w:val="24"/>
        </w:rPr>
      </w:pPr>
      <w:r>
        <w:rPr>
          <w:rFonts w:hint="eastAsia" w:asciiTheme="minorEastAsia" w:hAnsiTheme="minorEastAsia" w:eastAsiaTheme="minorEastAsia" w:cstheme="minorEastAsia"/>
          <w:color w:val="auto"/>
          <w:spacing w:val="-13"/>
          <w:sz w:val="24"/>
          <w:szCs w:val="24"/>
        </w:rPr>
        <w:t>《广东省建筑与装饰工程综合定额》（2018年）；</w:t>
      </w:r>
    </w:p>
    <w:p>
      <w:pPr>
        <w:pStyle w:val="32"/>
        <w:numPr>
          <w:ilvl w:val="0"/>
          <w:numId w:val="87"/>
        </w:numPr>
        <w:tabs>
          <w:tab w:val="left" w:pos="1661"/>
        </w:tabs>
        <w:spacing w:line="500" w:lineRule="exact"/>
        <w:ind w:left="0" w:firstLine="428" w:firstLineChars="200"/>
        <w:jc w:val="both"/>
        <w:rPr>
          <w:rFonts w:asciiTheme="minorEastAsia" w:hAnsiTheme="minorEastAsia" w:eastAsiaTheme="minorEastAsia" w:cstheme="minorEastAsia"/>
          <w:color w:val="auto"/>
          <w:spacing w:val="-13"/>
          <w:sz w:val="24"/>
          <w:szCs w:val="24"/>
        </w:rPr>
      </w:pPr>
      <w:r>
        <w:rPr>
          <w:rFonts w:hint="eastAsia" w:asciiTheme="minorEastAsia" w:hAnsiTheme="minorEastAsia" w:eastAsiaTheme="minorEastAsia" w:cstheme="minorEastAsia"/>
          <w:color w:val="auto"/>
          <w:spacing w:val="-13"/>
          <w:sz w:val="24"/>
          <w:szCs w:val="24"/>
        </w:rPr>
        <w:t>《建设项目经济评价方法与参数》（第三版）；</w:t>
      </w:r>
    </w:p>
    <w:p>
      <w:pPr>
        <w:pStyle w:val="32"/>
        <w:numPr>
          <w:ilvl w:val="0"/>
          <w:numId w:val="87"/>
        </w:numPr>
        <w:tabs>
          <w:tab w:val="left" w:pos="1661"/>
        </w:tabs>
        <w:spacing w:line="500" w:lineRule="exact"/>
        <w:ind w:left="0" w:firstLine="428" w:firstLineChars="200"/>
        <w:jc w:val="both"/>
        <w:rPr>
          <w:rFonts w:asciiTheme="minorEastAsia" w:hAnsiTheme="minorEastAsia" w:eastAsiaTheme="minorEastAsia" w:cstheme="minorEastAsia"/>
          <w:color w:val="auto"/>
          <w:spacing w:val="-13"/>
          <w:sz w:val="24"/>
          <w:szCs w:val="24"/>
        </w:rPr>
      </w:pPr>
      <w:r>
        <w:rPr>
          <w:rFonts w:hint="eastAsia" w:asciiTheme="minorEastAsia" w:hAnsiTheme="minorEastAsia" w:eastAsiaTheme="minorEastAsia" w:cstheme="minorEastAsia"/>
          <w:color w:val="auto"/>
          <w:spacing w:val="-13"/>
          <w:sz w:val="24"/>
          <w:szCs w:val="24"/>
        </w:rPr>
        <w:t>《广东省安装工程综合定额》（2018年）；</w:t>
      </w:r>
    </w:p>
    <w:p>
      <w:pPr>
        <w:pStyle w:val="32"/>
        <w:numPr>
          <w:ilvl w:val="0"/>
          <w:numId w:val="87"/>
        </w:numPr>
        <w:tabs>
          <w:tab w:val="left" w:pos="1661"/>
        </w:tabs>
        <w:spacing w:line="500" w:lineRule="exact"/>
        <w:ind w:left="0" w:firstLine="428" w:firstLineChars="200"/>
        <w:jc w:val="both"/>
        <w:rPr>
          <w:rFonts w:asciiTheme="minorEastAsia" w:hAnsiTheme="minorEastAsia" w:eastAsiaTheme="minorEastAsia" w:cstheme="minorEastAsia"/>
          <w:color w:val="auto"/>
          <w:spacing w:val="-13"/>
          <w:sz w:val="24"/>
          <w:szCs w:val="24"/>
        </w:rPr>
      </w:pPr>
      <w:r>
        <w:rPr>
          <w:rFonts w:hint="eastAsia" w:asciiTheme="minorEastAsia" w:hAnsiTheme="minorEastAsia" w:eastAsiaTheme="minorEastAsia" w:cstheme="minorEastAsia"/>
          <w:color w:val="auto"/>
          <w:spacing w:val="-13"/>
          <w:sz w:val="24"/>
          <w:szCs w:val="24"/>
        </w:rPr>
        <w:t>《广东省市政工程综合定额》（2018年）；</w:t>
      </w:r>
    </w:p>
    <w:p>
      <w:pPr>
        <w:pStyle w:val="32"/>
        <w:numPr>
          <w:ilvl w:val="0"/>
          <w:numId w:val="87"/>
        </w:numPr>
        <w:tabs>
          <w:tab w:val="left" w:pos="1661"/>
        </w:tabs>
        <w:spacing w:line="500" w:lineRule="exact"/>
        <w:ind w:left="0" w:firstLine="428" w:firstLineChars="200"/>
        <w:jc w:val="both"/>
        <w:rPr>
          <w:rFonts w:asciiTheme="minorEastAsia" w:hAnsiTheme="minorEastAsia" w:eastAsiaTheme="minorEastAsia" w:cstheme="minorEastAsia"/>
          <w:color w:val="auto"/>
          <w:spacing w:val="-13"/>
          <w:sz w:val="24"/>
          <w:szCs w:val="24"/>
        </w:rPr>
      </w:pPr>
      <w:r>
        <w:rPr>
          <w:rFonts w:hint="eastAsia" w:asciiTheme="minorEastAsia" w:hAnsiTheme="minorEastAsia" w:eastAsiaTheme="minorEastAsia" w:cstheme="minorEastAsia"/>
          <w:color w:val="auto"/>
          <w:spacing w:val="-13"/>
          <w:sz w:val="24"/>
          <w:szCs w:val="24"/>
        </w:rPr>
        <w:t>广东省、云浮市、罗定市近期建设工程定额及工程造价资料及材料指导价格。</w:t>
      </w:r>
    </w:p>
    <w:p>
      <w:pPr>
        <w:pStyle w:val="32"/>
        <w:numPr>
          <w:ilvl w:val="0"/>
          <w:numId w:val="87"/>
        </w:numPr>
        <w:tabs>
          <w:tab w:val="left" w:pos="1661"/>
        </w:tabs>
        <w:spacing w:line="500" w:lineRule="exact"/>
        <w:ind w:left="0" w:firstLine="428" w:firstLineChars="200"/>
        <w:jc w:val="both"/>
        <w:rPr>
          <w:rFonts w:asciiTheme="minorEastAsia" w:hAnsiTheme="minorEastAsia" w:eastAsiaTheme="minorEastAsia" w:cstheme="minorEastAsia"/>
          <w:color w:val="auto"/>
          <w:spacing w:val="-13"/>
          <w:sz w:val="24"/>
          <w:szCs w:val="24"/>
        </w:rPr>
      </w:pPr>
      <w:r>
        <w:rPr>
          <w:rFonts w:hint="eastAsia" w:asciiTheme="minorEastAsia" w:hAnsiTheme="minorEastAsia" w:eastAsiaTheme="minorEastAsia" w:cstheme="minorEastAsia"/>
          <w:color w:val="auto"/>
          <w:spacing w:val="-13"/>
          <w:sz w:val="24"/>
          <w:szCs w:val="24"/>
        </w:rPr>
        <w:t>工程其他费用标准主要如下：</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1）</w:t>
      </w:r>
      <w:r>
        <w:rPr>
          <w:rFonts w:hint="eastAsia" w:asciiTheme="minorEastAsia" w:hAnsiTheme="minorEastAsia" w:eastAsiaTheme="minorEastAsia" w:cstheme="minorEastAsia"/>
          <w:color w:val="auto"/>
          <w:spacing w:val="-3"/>
          <w:sz w:val="24"/>
          <w:szCs w:val="24"/>
        </w:rPr>
        <w:t>工程监理费：粤建监协〔</w:t>
      </w:r>
      <w:r>
        <w:rPr>
          <w:rFonts w:hint="eastAsia" w:asciiTheme="minorEastAsia" w:hAnsiTheme="minorEastAsia" w:eastAsiaTheme="minorEastAsia" w:cstheme="minorEastAsia"/>
          <w:color w:val="auto"/>
          <w:sz w:val="24"/>
          <w:szCs w:val="24"/>
        </w:rPr>
        <w:t>2015</w:t>
      </w:r>
      <w:r>
        <w:rPr>
          <w:rFonts w:hint="eastAsia" w:asciiTheme="minorEastAsia" w:hAnsiTheme="minorEastAsia" w:eastAsiaTheme="minorEastAsia" w:cstheme="minorEastAsia"/>
          <w:color w:val="auto"/>
          <w:spacing w:val="-3"/>
          <w:sz w:val="24"/>
          <w:szCs w:val="24"/>
        </w:rPr>
        <w:t>〕</w:t>
      </w:r>
      <w:r>
        <w:rPr>
          <w:rFonts w:hint="eastAsia" w:asciiTheme="minorEastAsia" w:hAnsiTheme="minorEastAsia" w:eastAsiaTheme="minorEastAsia" w:cstheme="minorEastAsia"/>
          <w:color w:val="auto"/>
          <w:sz w:val="24"/>
          <w:szCs w:val="24"/>
        </w:rPr>
        <w:t>21号；</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2）</w:t>
      </w:r>
      <w:r>
        <w:rPr>
          <w:rFonts w:hint="eastAsia" w:asciiTheme="minorEastAsia" w:hAnsiTheme="minorEastAsia" w:eastAsiaTheme="minorEastAsia" w:cstheme="minorEastAsia"/>
          <w:color w:val="auto"/>
          <w:spacing w:val="-3"/>
          <w:sz w:val="24"/>
          <w:szCs w:val="24"/>
        </w:rPr>
        <w:t>建设单位管理费：财建</w:t>
      </w:r>
      <w:r>
        <w:rPr>
          <w:rFonts w:hint="eastAsia" w:asciiTheme="minorEastAsia" w:hAnsiTheme="minorEastAsia" w:eastAsiaTheme="minorEastAsia" w:cstheme="minorEastAsia"/>
          <w:color w:val="auto"/>
          <w:sz w:val="24"/>
          <w:szCs w:val="24"/>
        </w:rPr>
        <w:t>（2016）504</w:t>
      </w:r>
      <w:r>
        <w:rPr>
          <w:rFonts w:hint="eastAsia" w:asciiTheme="minorEastAsia" w:hAnsiTheme="minorEastAsia" w:eastAsiaTheme="minorEastAsia" w:cstheme="minorEastAsia"/>
          <w:color w:val="auto"/>
          <w:spacing w:val="-2"/>
          <w:sz w:val="24"/>
          <w:szCs w:val="24"/>
        </w:rPr>
        <w:t>号；</w:t>
      </w:r>
    </w:p>
    <w:p>
      <w:pPr>
        <w:pStyle w:val="32"/>
        <w:numPr>
          <w:ilvl w:val="0"/>
          <w:numId w:val="88"/>
        </w:numPr>
        <w:tabs>
          <w:tab w:val="left" w:pos="1251"/>
        </w:tabs>
        <w:spacing w:line="500" w:lineRule="exact"/>
        <w:ind w:left="0" w:firstLine="42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3"/>
          <w:sz w:val="24"/>
          <w:szCs w:val="24"/>
        </w:rPr>
        <w:t xml:space="preserve">招标机构代理费：计价格 </w:t>
      </w:r>
      <w:r>
        <w:rPr>
          <w:rFonts w:hint="eastAsia" w:asciiTheme="minorEastAsia" w:hAnsiTheme="minorEastAsia" w:eastAsiaTheme="minorEastAsia" w:cstheme="minorEastAsia"/>
          <w:color w:val="auto"/>
          <w:spacing w:val="-12"/>
          <w:sz w:val="24"/>
          <w:szCs w:val="24"/>
        </w:rPr>
        <w:t>2002（1980）</w:t>
      </w:r>
      <w:r>
        <w:rPr>
          <w:rFonts w:hint="eastAsia" w:asciiTheme="minorEastAsia" w:hAnsiTheme="minorEastAsia" w:eastAsiaTheme="minorEastAsia" w:cstheme="minorEastAsia"/>
          <w:color w:val="auto"/>
          <w:spacing w:val="-8"/>
          <w:sz w:val="24"/>
          <w:szCs w:val="24"/>
        </w:rPr>
        <w:t>号文件；</w:t>
      </w:r>
    </w:p>
    <w:p>
      <w:pPr>
        <w:pStyle w:val="32"/>
        <w:numPr>
          <w:ilvl w:val="0"/>
          <w:numId w:val="88"/>
        </w:numPr>
        <w:tabs>
          <w:tab w:val="left" w:pos="1251"/>
        </w:tabs>
        <w:spacing w:line="500" w:lineRule="exact"/>
        <w:ind w:left="0" w:firstLine="41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6"/>
          <w:sz w:val="24"/>
          <w:szCs w:val="24"/>
        </w:rPr>
        <w:t>工程设计费：执行国家计委、建设部计价格 [</w:t>
      </w:r>
      <w:r>
        <w:rPr>
          <w:rFonts w:hint="eastAsia" w:asciiTheme="minorEastAsia" w:hAnsiTheme="minorEastAsia" w:eastAsiaTheme="minorEastAsia" w:cstheme="minorEastAsia"/>
          <w:color w:val="auto"/>
          <w:spacing w:val="-9"/>
          <w:sz w:val="24"/>
          <w:szCs w:val="24"/>
        </w:rPr>
        <w:t>2002]10</w:t>
      </w:r>
      <w:r>
        <w:rPr>
          <w:rFonts w:hint="eastAsia" w:asciiTheme="minorEastAsia" w:hAnsiTheme="minorEastAsia" w:eastAsiaTheme="minorEastAsia" w:cstheme="minorEastAsia"/>
          <w:color w:val="auto"/>
          <w:spacing w:val="-27"/>
          <w:sz w:val="24"/>
          <w:szCs w:val="24"/>
        </w:rPr>
        <w:t>号</w:t>
      </w:r>
      <w:r>
        <w:rPr>
          <w:rFonts w:hint="eastAsia" w:asciiTheme="minorEastAsia" w:hAnsiTheme="minorEastAsia" w:eastAsiaTheme="minorEastAsia" w:cstheme="minorEastAsia"/>
          <w:color w:val="auto"/>
          <w:sz w:val="24"/>
          <w:szCs w:val="24"/>
        </w:rPr>
        <w:t>《工程勘察设计收费标准》</w:t>
      </w:r>
      <w:r>
        <w:rPr>
          <w:rFonts w:hint="eastAsia" w:asciiTheme="minorEastAsia" w:hAnsiTheme="minorEastAsia" w:eastAsiaTheme="minorEastAsia" w:cstheme="minorEastAsia"/>
          <w:color w:val="auto"/>
          <w:sz w:val="24"/>
          <w:szCs w:val="24"/>
          <w:lang w:eastAsia="zh-CN"/>
        </w:rPr>
        <w:t>，</w:t>
      </w:r>
      <w:r>
        <w:rPr>
          <w:rFonts w:hint="eastAsia" w:asciiTheme="minorEastAsia" w:hAnsiTheme="minorEastAsia" w:eastAsiaTheme="minorEastAsia" w:cstheme="minorEastAsia"/>
          <w:color w:val="auto"/>
          <w:spacing w:val="-16"/>
          <w:sz w:val="24"/>
          <w:szCs w:val="24"/>
        </w:rPr>
        <w:t>工程</w:t>
      </w:r>
      <w:r>
        <w:rPr>
          <w:rFonts w:hint="eastAsia" w:asciiTheme="minorEastAsia" w:hAnsiTheme="minorEastAsia" w:eastAsiaTheme="minorEastAsia" w:cstheme="minorEastAsia"/>
          <w:color w:val="auto"/>
          <w:spacing w:val="-16"/>
          <w:sz w:val="24"/>
          <w:szCs w:val="24"/>
          <w:lang w:val="en-US" w:eastAsia="zh-CN"/>
        </w:rPr>
        <w:t>勘察</w:t>
      </w:r>
      <w:r>
        <w:rPr>
          <w:rFonts w:hint="eastAsia" w:asciiTheme="minorEastAsia" w:hAnsiTheme="minorEastAsia" w:eastAsiaTheme="minorEastAsia" w:cstheme="minorEastAsia"/>
          <w:color w:val="auto"/>
          <w:spacing w:val="-16"/>
          <w:sz w:val="24"/>
          <w:szCs w:val="24"/>
        </w:rPr>
        <w:t>费执行国家计委、建设部计价格 [</w:t>
      </w:r>
      <w:r>
        <w:rPr>
          <w:rFonts w:hint="eastAsia" w:asciiTheme="minorEastAsia" w:hAnsiTheme="minorEastAsia" w:eastAsiaTheme="minorEastAsia" w:cstheme="minorEastAsia"/>
          <w:color w:val="auto"/>
          <w:spacing w:val="-9"/>
          <w:sz w:val="24"/>
          <w:szCs w:val="24"/>
        </w:rPr>
        <w:t>2002]10</w:t>
      </w:r>
      <w:r>
        <w:rPr>
          <w:rFonts w:hint="eastAsia" w:asciiTheme="minorEastAsia" w:hAnsiTheme="minorEastAsia" w:eastAsiaTheme="minorEastAsia" w:cstheme="minorEastAsia"/>
          <w:color w:val="auto"/>
          <w:spacing w:val="-27"/>
          <w:sz w:val="24"/>
          <w:szCs w:val="24"/>
        </w:rPr>
        <w:t>号</w:t>
      </w:r>
      <w:r>
        <w:rPr>
          <w:rFonts w:hint="eastAsia" w:asciiTheme="minorEastAsia" w:hAnsiTheme="minorEastAsia" w:eastAsiaTheme="minorEastAsia" w:cstheme="minorEastAsia"/>
          <w:color w:val="auto"/>
          <w:sz w:val="24"/>
          <w:szCs w:val="24"/>
        </w:rPr>
        <w:t>《工程勘察设计收费标准》</w:t>
      </w:r>
      <w:r>
        <w:rPr>
          <w:rFonts w:hint="eastAsia" w:asciiTheme="minorEastAsia" w:hAnsiTheme="minorEastAsia" w:eastAsiaTheme="minorEastAsia" w:cstheme="minorEastAsia"/>
          <w:color w:val="auto"/>
          <w:sz w:val="24"/>
          <w:szCs w:val="24"/>
          <w:lang w:eastAsia="zh-CN"/>
        </w:rPr>
        <w:t>，</w:t>
      </w:r>
      <w:r>
        <w:rPr>
          <w:rFonts w:hint="eastAsia" w:asciiTheme="minorEastAsia" w:hAnsiTheme="minorEastAsia" w:eastAsiaTheme="minorEastAsia" w:cstheme="minorEastAsia"/>
          <w:color w:val="auto"/>
          <w:sz w:val="24"/>
          <w:szCs w:val="24"/>
          <w:lang w:val="en-US" w:eastAsia="zh-CN"/>
        </w:rPr>
        <w:t>且考虑实物量，两者取大，暂安一个村5万计算</w:t>
      </w:r>
      <w:r>
        <w:rPr>
          <w:rFonts w:hint="eastAsia" w:asciiTheme="minorEastAsia" w:hAnsiTheme="minorEastAsia" w:eastAsiaTheme="minorEastAsia" w:cstheme="minorEastAsia"/>
          <w:color w:val="auto"/>
          <w:sz w:val="24"/>
          <w:szCs w:val="24"/>
        </w:rPr>
        <w:t>；</w:t>
      </w:r>
    </w:p>
    <w:p>
      <w:pPr>
        <w:pStyle w:val="32"/>
        <w:numPr>
          <w:ilvl w:val="0"/>
          <w:numId w:val="88"/>
        </w:numPr>
        <w:tabs>
          <w:tab w:val="left" w:pos="1251"/>
        </w:tabs>
        <w:spacing w:line="500" w:lineRule="exact"/>
        <w:ind w:left="0" w:firstLine="42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3"/>
          <w:sz w:val="24"/>
          <w:szCs w:val="24"/>
        </w:rPr>
        <w:t>办公及生活家具购置费：</w:t>
      </w:r>
      <w:r>
        <w:rPr>
          <w:rFonts w:hint="eastAsia" w:asciiTheme="minorEastAsia" w:hAnsiTheme="minorEastAsia" w:eastAsiaTheme="minorEastAsia" w:cstheme="minorEastAsia"/>
          <w:color w:val="auto"/>
          <w:spacing w:val="-13"/>
          <w:sz w:val="24"/>
          <w:szCs w:val="24"/>
          <w:lang w:val="en-US" w:eastAsia="zh-CN"/>
        </w:rPr>
        <w:t>类比同地区同类型工程</w:t>
      </w:r>
      <w:r>
        <w:rPr>
          <w:rFonts w:hint="eastAsia" w:asciiTheme="minorEastAsia" w:hAnsiTheme="minorEastAsia" w:eastAsiaTheme="minorEastAsia" w:cstheme="minorEastAsia"/>
          <w:color w:val="auto"/>
          <w:spacing w:val="-13"/>
          <w:sz w:val="24"/>
          <w:szCs w:val="24"/>
        </w:rPr>
        <w:t>；</w:t>
      </w:r>
    </w:p>
    <w:p>
      <w:pPr>
        <w:pStyle w:val="32"/>
        <w:numPr>
          <w:ilvl w:val="0"/>
          <w:numId w:val="88"/>
        </w:numPr>
        <w:tabs>
          <w:tab w:val="left" w:pos="1251"/>
        </w:tabs>
        <w:spacing w:line="500" w:lineRule="exact"/>
        <w:ind w:left="0"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 xml:space="preserve">施工图审查费：取设计费的 </w:t>
      </w:r>
      <w:r>
        <w:rPr>
          <w:rFonts w:hint="eastAsia" w:asciiTheme="minorEastAsia" w:hAnsiTheme="minorEastAsia" w:eastAsiaTheme="minorEastAsia" w:cstheme="minorEastAsia"/>
          <w:color w:val="auto"/>
          <w:spacing w:val="-9"/>
          <w:sz w:val="24"/>
          <w:szCs w:val="24"/>
        </w:rPr>
        <w:t>6.5%。</w:t>
      </w:r>
    </w:p>
    <w:p>
      <w:pPr>
        <w:pStyle w:val="32"/>
        <w:tabs>
          <w:tab w:val="left" w:pos="1896"/>
        </w:tabs>
        <w:spacing w:line="500" w:lineRule="exact"/>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rPr>
        <w:t>投资估算总额</w:t>
      </w:r>
    </w:p>
    <w:p>
      <w:pPr>
        <w:pStyle w:val="10"/>
        <w:spacing w:line="500" w:lineRule="exact"/>
        <w:ind w:firstLine="480" w:firstLineChars="200"/>
        <w:jc w:val="both"/>
        <w:rPr>
          <w:rFonts w:hint="eastAsia" w:asciiTheme="minorEastAsia" w:hAnsiTheme="minorEastAsia" w:eastAsiaTheme="minorEastAsia" w:cstheme="minorEastAsia"/>
          <w:color w:val="auto"/>
          <w:spacing w:val="-5"/>
          <w:sz w:val="24"/>
          <w:szCs w:val="24"/>
          <w:highlight w:val="none"/>
          <w:lang w:eastAsia="zh-CN"/>
        </w:rPr>
      </w:pPr>
      <w:r>
        <w:rPr>
          <w:rFonts w:hint="eastAsia" w:asciiTheme="minorEastAsia" w:hAnsiTheme="minorEastAsia" w:eastAsiaTheme="minorEastAsia" w:cstheme="minorEastAsia"/>
          <w:color w:val="auto"/>
          <w:sz w:val="24"/>
          <w:szCs w:val="24"/>
          <w:highlight w:val="none"/>
        </w:rPr>
        <w:t>本项目总投资估算</w:t>
      </w:r>
      <w:r>
        <w:rPr>
          <w:rFonts w:hint="eastAsia" w:asciiTheme="minorEastAsia" w:hAnsiTheme="minorEastAsia" w:eastAsiaTheme="minorEastAsia" w:cstheme="minorEastAsia"/>
          <w:color w:val="auto"/>
          <w:sz w:val="24"/>
          <w:szCs w:val="24"/>
          <w:highlight w:val="none"/>
          <w:lang w:val="en-US" w:eastAsia="zh-CN"/>
        </w:rPr>
        <w:t>80815.07万元</w:t>
      </w:r>
      <w:r>
        <w:rPr>
          <w:rFonts w:hint="eastAsia" w:asciiTheme="minorEastAsia" w:hAnsiTheme="minorEastAsia" w:eastAsiaTheme="minorEastAsia" w:cstheme="minorEastAsia"/>
          <w:color w:val="auto"/>
          <w:sz w:val="24"/>
          <w:szCs w:val="24"/>
          <w:highlight w:val="none"/>
        </w:rPr>
        <w:t>，其中工程费为</w:t>
      </w:r>
      <w:r>
        <w:rPr>
          <w:rFonts w:hint="eastAsia" w:asciiTheme="minorEastAsia" w:hAnsiTheme="minorEastAsia" w:eastAsiaTheme="minorEastAsia" w:cstheme="minorEastAsia"/>
          <w:color w:val="auto"/>
          <w:sz w:val="24"/>
          <w:szCs w:val="24"/>
          <w:highlight w:val="none"/>
          <w:lang w:eastAsia="zh-CN"/>
        </w:rPr>
        <w:t>69876.66万元</w:t>
      </w:r>
      <w:r>
        <w:rPr>
          <w:rFonts w:hint="eastAsia" w:asciiTheme="minorEastAsia" w:hAnsiTheme="minorEastAsia" w:eastAsiaTheme="minorEastAsia" w:cstheme="minorEastAsia"/>
          <w:color w:val="auto"/>
          <w:sz w:val="24"/>
          <w:szCs w:val="24"/>
          <w:highlight w:val="none"/>
        </w:rPr>
        <w:t>，</w:t>
      </w:r>
      <w:r>
        <w:rPr>
          <w:rFonts w:hint="eastAsia" w:asciiTheme="minorEastAsia" w:hAnsiTheme="minorEastAsia" w:eastAsiaTheme="minorEastAsia" w:cstheme="minorEastAsia"/>
          <w:color w:val="auto"/>
          <w:spacing w:val="-11"/>
          <w:sz w:val="24"/>
          <w:szCs w:val="24"/>
          <w:highlight w:val="none"/>
        </w:rPr>
        <w:t xml:space="preserve">工程其他费用 </w:t>
      </w:r>
      <w:r>
        <w:rPr>
          <w:rFonts w:hint="eastAsia" w:asciiTheme="minorEastAsia" w:hAnsiTheme="minorEastAsia" w:eastAsiaTheme="minorEastAsia" w:cstheme="minorEastAsia"/>
          <w:color w:val="auto"/>
          <w:spacing w:val="-8"/>
          <w:sz w:val="24"/>
          <w:szCs w:val="24"/>
          <w:highlight w:val="none"/>
          <w:lang w:val="en-US" w:eastAsia="zh-CN"/>
        </w:rPr>
        <w:t>8584.58万元</w:t>
      </w:r>
      <w:r>
        <w:rPr>
          <w:rFonts w:hint="eastAsia" w:asciiTheme="minorEastAsia" w:hAnsiTheme="minorEastAsia" w:eastAsiaTheme="minorEastAsia" w:cstheme="minorEastAsia"/>
          <w:color w:val="auto"/>
          <w:spacing w:val="-31"/>
          <w:sz w:val="24"/>
          <w:szCs w:val="24"/>
          <w:highlight w:val="none"/>
        </w:rPr>
        <w:t>，预备</w:t>
      </w:r>
      <w:r>
        <w:rPr>
          <w:rFonts w:hint="eastAsia" w:asciiTheme="minorEastAsia" w:hAnsiTheme="minorEastAsia" w:eastAsiaTheme="minorEastAsia" w:cstheme="minorEastAsia"/>
          <w:color w:val="auto"/>
          <w:spacing w:val="-8"/>
          <w:sz w:val="24"/>
          <w:szCs w:val="24"/>
          <w:highlight w:val="none"/>
          <w:lang w:val="en-US" w:eastAsia="zh-CN"/>
        </w:rPr>
        <w:t>费2353.84万</w:t>
      </w:r>
      <w:r>
        <w:rPr>
          <w:rFonts w:hint="eastAsia" w:asciiTheme="minorEastAsia" w:hAnsiTheme="minorEastAsia" w:eastAsiaTheme="minorEastAsia" w:cstheme="minorEastAsia"/>
          <w:color w:val="auto"/>
          <w:spacing w:val="-31"/>
          <w:sz w:val="24"/>
          <w:szCs w:val="24"/>
          <w:highlight w:val="none"/>
          <w:lang w:val="en-US" w:eastAsia="zh-CN"/>
        </w:rPr>
        <w:t>元</w:t>
      </w:r>
      <w:r>
        <w:rPr>
          <w:rFonts w:hint="eastAsia" w:asciiTheme="minorEastAsia" w:hAnsiTheme="minorEastAsia" w:eastAsiaTheme="minorEastAsia" w:cstheme="minorEastAsia"/>
          <w:color w:val="auto"/>
          <w:spacing w:val="-8"/>
          <w:sz w:val="24"/>
          <w:szCs w:val="24"/>
          <w:highlight w:val="none"/>
          <w:lang w:val="en-US"/>
        </w:rPr>
        <w:t>。</w:t>
      </w:r>
      <w:r>
        <w:rPr>
          <w:rFonts w:hint="eastAsia" w:asciiTheme="minorEastAsia" w:hAnsiTheme="minorEastAsia" w:eastAsiaTheme="minorEastAsia" w:cstheme="minorEastAsia"/>
          <w:color w:val="auto"/>
          <w:spacing w:val="-14"/>
          <w:sz w:val="24"/>
          <w:szCs w:val="24"/>
          <w:highlight w:val="none"/>
        </w:rPr>
        <w:t>本项目投资估算</w:t>
      </w:r>
      <w:r>
        <w:rPr>
          <w:rFonts w:hint="eastAsia" w:asciiTheme="minorEastAsia" w:hAnsiTheme="minorEastAsia" w:eastAsiaTheme="minorEastAsia" w:cstheme="minorEastAsia"/>
          <w:color w:val="auto"/>
          <w:spacing w:val="-9"/>
          <w:sz w:val="24"/>
          <w:szCs w:val="24"/>
          <w:highlight w:val="none"/>
        </w:rPr>
        <w:t>情况见下表。</w:t>
      </w:r>
    </w:p>
    <w:p>
      <w:pPr>
        <w:pStyle w:val="11"/>
        <w:rPr>
          <w:b/>
          <w:bCs/>
          <w:i w:val="0"/>
          <w:iCs/>
          <w:color w:val="auto"/>
          <w:highlight w:val="none"/>
          <w:lang w:val="zh-CN" w:bidi="zh-CN"/>
        </w:rPr>
      </w:pPr>
      <w:r>
        <w:rPr>
          <w:rFonts w:hint="eastAsia"/>
          <w:b/>
          <w:bCs/>
          <w:i w:val="0"/>
          <w:iCs/>
          <w:color w:val="auto"/>
          <w:highlight w:val="none"/>
          <w:lang w:val="zh-CN" w:bidi="zh-CN"/>
        </w:rPr>
        <w:t>表1</w:t>
      </w:r>
      <w:r>
        <w:rPr>
          <w:rFonts w:hint="eastAsia"/>
          <w:b/>
          <w:bCs/>
          <w:i w:val="0"/>
          <w:iCs/>
          <w:color w:val="auto"/>
          <w:highlight w:val="none"/>
          <w:lang w:val="en-US" w:bidi="zh-CN"/>
        </w:rPr>
        <w:t>2</w:t>
      </w:r>
      <w:r>
        <w:rPr>
          <w:b/>
          <w:bCs/>
          <w:i w:val="0"/>
          <w:iCs/>
          <w:color w:val="auto"/>
          <w:highlight w:val="none"/>
          <w:lang w:val="zh-CN" w:bidi="zh-CN"/>
        </w:rPr>
        <w:t xml:space="preserve">.1-1   </w:t>
      </w:r>
      <w:r>
        <w:rPr>
          <w:rFonts w:hint="eastAsia"/>
          <w:b/>
          <w:bCs/>
          <w:i w:val="0"/>
          <w:iCs/>
          <w:color w:val="auto"/>
          <w:highlight w:val="none"/>
          <w:lang w:val="zh-CN" w:bidi="zh-CN"/>
        </w:rPr>
        <w:t>总投资估算表</w:t>
      </w:r>
    </w:p>
    <w:tbl>
      <w:tblPr>
        <w:tblStyle w:val="2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10"/>
        <w:gridCol w:w="1454"/>
        <w:gridCol w:w="1146"/>
        <w:gridCol w:w="1103"/>
        <w:gridCol w:w="1202"/>
        <w:gridCol w:w="994"/>
        <w:gridCol w:w="239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9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序号</w:t>
            </w:r>
          </w:p>
        </w:tc>
        <w:tc>
          <w:tcPr>
            <w:tcW w:w="811"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工程或费用名称</w:t>
            </w:r>
          </w:p>
        </w:tc>
        <w:tc>
          <w:tcPr>
            <w:tcW w:w="1901" w:type="pct"/>
            <w:gridSpan w:val="3"/>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投资估算</w:t>
            </w:r>
          </w:p>
        </w:tc>
        <w:tc>
          <w:tcPr>
            <w:tcW w:w="555"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比例（%）</w:t>
            </w:r>
          </w:p>
        </w:tc>
        <w:tc>
          <w:tcPr>
            <w:tcW w:w="1332"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39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b/>
                <w:bCs/>
                <w:i w:val="0"/>
                <w:iCs w:val="0"/>
                <w:color w:val="000000"/>
                <w:sz w:val="22"/>
                <w:szCs w:val="22"/>
                <w:highlight w:val="none"/>
                <w:u w:val="none"/>
              </w:rPr>
            </w:pPr>
          </w:p>
        </w:tc>
        <w:tc>
          <w:tcPr>
            <w:tcW w:w="811"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bCs/>
                <w:i w:val="0"/>
                <w:iCs w:val="0"/>
                <w:color w:val="000000"/>
                <w:sz w:val="22"/>
                <w:szCs w:val="22"/>
                <w:highlight w:val="none"/>
                <w:u w:val="none"/>
              </w:rPr>
            </w:pPr>
          </w:p>
        </w:tc>
        <w:tc>
          <w:tcPr>
            <w:tcW w:w="64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工程直接费用（万元）</w:t>
            </w:r>
          </w:p>
        </w:tc>
        <w:tc>
          <w:tcPr>
            <w:tcW w:w="59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其他费用 （万元）</w:t>
            </w:r>
          </w:p>
        </w:tc>
        <w:tc>
          <w:tcPr>
            <w:tcW w:w="67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合计</w:t>
            </w:r>
          </w:p>
        </w:tc>
        <w:tc>
          <w:tcPr>
            <w:tcW w:w="555"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bCs/>
                <w:i w:val="0"/>
                <w:iCs w:val="0"/>
                <w:color w:val="000000"/>
                <w:sz w:val="22"/>
                <w:szCs w:val="22"/>
                <w:highlight w:val="none"/>
                <w:u w:val="none"/>
              </w:rPr>
            </w:pPr>
          </w:p>
        </w:tc>
        <w:tc>
          <w:tcPr>
            <w:tcW w:w="1332"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bCs/>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T1</w:t>
            </w:r>
          </w:p>
        </w:tc>
        <w:tc>
          <w:tcPr>
            <w:tcW w:w="81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直接工程费用</w:t>
            </w:r>
          </w:p>
        </w:tc>
        <w:tc>
          <w:tcPr>
            <w:tcW w:w="6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 xml:space="preserve">69876.66 </w:t>
            </w:r>
          </w:p>
        </w:tc>
        <w:tc>
          <w:tcPr>
            <w:tcW w:w="590"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bCs/>
                <w:i w:val="0"/>
                <w:iCs w:val="0"/>
                <w:color w:val="000000"/>
                <w:sz w:val="22"/>
                <w:szCs w:val="22"/>
                <w:highlight w:val="none"/>
                <w:u w:val="none"/>
              </w:rPr>
            </w:pPr>
          </w:p>
        </w:tc>
        <w:tc>
          <w:tcPr>
            <w:tcW w:w="67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 xml:space="preserve">69876.66 </w:t>
            </w:r>
          </w:p>
        </w:tc>
        <w:tc>
          <w:tcPr>
            <w:tcW w:w="5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86.46%</w:t>
            </w:r>
          </w:p>
        </w:tc>
        <w:tc>
          <w:tcPr>
            <w:tcW w:w="133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T1=1+2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81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工程主体建安费用</w:t>
            </w:r>
          </w:p>
        </w:tc>
        <w:tc>
          <w:tcPr>
            <w:tcW w:w="6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 xml:space="preserve">69876.66 </w:t>
            </w:r>
          </w:p>
        </w:tc>
        <w:tc>
          <w:tcPr>
            <w:tcW w:w="590"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22"/>
                <w:szCs w:val="22"/>
                <w:highlight w:val="none"/>
                <w:u w:val="none"/>
              </w:rPr>
            </w:pPr>
          </w:p>
        </w:tc>
        <w:tc>
          <w:tcPr>
            <w:tcW w:w="67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 xml:space="preserve">69876.66 </w:t>
            </w:r>
          </w:p>
        </w:tc>
        <w:tc>
          <w:tcPr>
            <w:tcW w:w="5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86.46%</w:t>
            </w:r>
          </w:p>
        </w:tc>
        <w:tc>
          <w:tcPr>
            <w:tcW w:w="133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共包含1494个自然村</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T2</w:t>
            </w:r>
          </w:p>
        </w:tc>
        <w:tc>
          <w:tcPr>
            <w:tcW w:w="81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其他费用</w:t>
            </w:r>
          </w:p>
        </w:tc>
        <w:tc>
          <w:tcPr>
            <w:tcW w:w="640"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bCs/>
                <w:i w:val="0"/>
                <w:iCs w:val="0"/>
                <w:color w:val="000000"/>
                <w:sz w:val="22"/>
                <w:szCs w:val="22"/>
                <w:highlight w:val="none"/>
                <w:u w:val="none"/>
              </w:rPr>
            </w:pPr>
          </w:p>
        </w:tc>
        <w:tc>
          <w:tcPr>
            <w:tcW w:w="59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 xml:space="preserve">8584.58 </w:t>
            </w:r>
          </w:p>
        </w:tc>
        <w:tc>
          <w:tcPr>
            <w:tcW w:w="67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 xml:space="preserve">8584.58 </w:t>
            </w:r>
          </w:p>
        </w:tc>
        <w:tc>
          <w:tcPr>
            <w:tcW w:w="5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10.62%</w:t>
            </w:r>
          </w:p>
        </w:tc>
        <w:tc>
          <w:tcPr>
            <w:tcW w:w="133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T2=1+2+...14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trPr>
        <w:tc>
          <w:tcPr>
            <w:tcW w:w="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81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可研编制费</w:t>
            </w:r>
          </w:p>
        </w:tc>
        <w:tc>
          <w:tcPr>
            <w:tcW w:w="640"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FF0000"/>
                <w:sz w:val="22"/>
                <w:szCs w:val="22"/>
                <w:highlight w:val="none"/>
                <w:u w:val="none"/>
              </w:rPr>
            </w:pPr>
          </w:p>
        </w:tc>
        <w:tc>
          <w:tcPr>
            <w:tcW w:w="59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 xml:space="preserve">20.00 </w:t>
            </w:r>
          </w:p>
        </w:tc>
        <w:tc>
          <w:tcPr>
            <w:tcW w:w="67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 xml:space="preserve">20.00 </w:t>
            </w:r>
          </w:p>
        </w:tc>
        <w:tc>
          <w:tcPr>
            <w:tcW w:w="5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0.02%</w:t>
            </w:r>
          </w:p>
        </w:tc>
        <w:tc>
          <w:tcPr>
            <w:tcW w:w="133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粤价［2000］8 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0" w:hRule="atLeast"/>
        </w:trPr>
        <w:tc>
          <w:tcPr>
            <w:tcW w:w="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81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建设单位管理费</w:t>
            </w:r>
          </w:p>
        </w:tc>
        <w:tc>
          <w:tcPr>
            <w:tcW w:w="640"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22"/>
                <w:szCs w:val="22"/>
                <w:highlight w:val="none"/>
                <w:u w:val="none"/>
              </w:rPr>
            </w:pPr>
          </w:p>
        </w:tc>
        <w:tc>
          <w:tcPr>
            <w:tcW w:w="59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 xml:space="preserve">583.20 </w:t>
            </w:r>
          </w:p>
        </w:tc>
        <w:tc>
          <w:tcPr>
            <w:tcW w:w="67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 xml:space="preserve">583.20 </w:t>
            </w:r>
          </w:p>
        </w:tc>
        <w:tc>
          <w:tcPr>
            <w:tcW w:w="5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0.72%</w:t>
            </w:r>
          </w:p>
        </w:tc>
        <w:tc>
          <w:tcPr>
            <w:tcW w:w="133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财建[2016]504号，按收费标准</w:t>
            </w:r>
            <w:r>
              <w:rPr>
                <w:rFonts w:ascii="Arial" w:hAnsi="Arial" w:eastAsia="宋体" w:cs="Arial"/>
                <w:i w:val="0"/>
                <w:iCs w:val="0"/>
                <w:color w:val="000000"/>
                <w:kern w:val="0"/>
                <w:sz w:val="22"/>
                <w:szCs w:val="22"/>
                <w:highlight w:val="none"/>
                <w:u w:val="none"/>
                <w:lang w:val="en-US" w:eastAsia="zh-CN" w:bidi="ar"/>
              </w:rPr>
              <w:t>×</w:t>
            </w:r>
            <w:r>
              <w:rPr>
                <w:rFonts w:hint="eastAsia" w:ascii="宋体" w:hAnsi="宋体" w:eastAsia="宋体" w:cs="宋体"/>
                <w:i w:val="0"/>
                <w:iCs w:val="0"/>
                <w:color w:val="000000"/>
                <w:kern w:val="0"/>
                <w:sz w:val="22"/>
                <w:szCs w:val="22"/>
                <w:highlight w:val="none"/>
                <w:u w:val="none"/>
                <w:lang w:val="en-US" w:eastAsia="zh-CN" w:bidi="ar"/>
              </w:rPr>
              <w:t>80%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0" w:hRule="atLeast"/>
        </w:trPr>
        <w:tc>
          <w:tcPr>
            <w:tcW w:w="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w:t>
            </w:r>
          </w:p>
        </w:tc>
        <w:tc>
          <w:tcPr>
            <w:tcW w:w="81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工程勘察费</w:t>
            </w:r>
          </w:p>
        </w:tc>
        <w:tc>
          <w:tcPr>
            <w:tcW w:w="640"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FF0000"/>
                <w:sz w:val="22"/>
                <w:szCs w:val="22"/>
                <w:highlight w:val="none"/>
                <w:u w:val="none"/>
              </w:rPr>
            </w:pPr>
          </w:p>
        </w:tc>
        <w:tc>
          <w:tcPr>
            <w:tcW w:w="59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 xml:space="preserve">768.64 </w:t>
            </w:r>
          </w:p>
        </w:tc>
        <w:tc>
          <w:tcPr>
            <w:tcW w:w="67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 xml:space="preserve">768.64 </w:t>
            </w:r>
          </w:p>
        </w:tc>
        <w:tc>
          <w:tcPr>
            <w:tcW w:w="5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0.95%</w:t>
            </w:r>
          </w:p>
        </w:tc>
        <w:tc>
          <w:tcPr>
            <w:tcW w:w="133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工程费×1.1%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trPr>
        <w:tc>
          <w:tcPr>
            <w:tcW w:w="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w:t>
            </w:r>
          </w:p>
        </w:tc>
        <w:tc>
          <w:tcPr>
            <w:tcW w:w="81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工程测绘费</w:t>
            </w:r>
          </w:p>
        </w:tc>
        <w:tc>
          <w:tcPr>
            <w:tcW w:w="640"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FF0000"/>
                <w:sz w:val="22"/>
                <w:szCs w:val="22"/>
                <w:highlight w:val="none"/>
                <w:u w:val="none"/>
              </w:rPr>
            </w:pPr>
          </w:p>
        </w:tc>
        <w:tc>
          <w:tcPr>
            <w:tcW w:w="59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 xml:space="preserve">1593.86 </w:t>
            </w:r>
          </w:p>
        </w:tc>
        <w:tc>
          <w:tcPr>
            <w:tcW w:w="67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 xml:space="preserve">1593.86 </w:t>
            </w:r>
          </w:p>
        </w:tc>
        <w:tc>
          <w:tcPr>
            <w:tcW w:w="5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1.97%</w:t>
            </w:r>
          </w:p>
        </w:tc>
        <w:tc>
          <w:tcPr>
            <w:tcW w:w="133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《2002 工程勘察设计收费标准》和实物量取大值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trPr>
        <w:tc>
          <w:tcPr>
            <w:tcW w:w="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81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工程物探测量费</w:t>
            </w:r>
          </w:p>
        </w:tc>
        <w:tc>
          <w:tcPr>
            <w:tcW w:w="640"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bCs/>
                <w:i w:val="0"/>
                <w:iCs w:val="0"/>
                <w:color w:val="000000"/>
                <w:sz w:val="22"/>
                <w:szCs w:val="22"/>
                <w:highlight w:val="none"/>
                <w:u w:val="none"/>
              </w:rPr>
            </w:pPr>
          </w:p>
        </w:tc>
        <w:tc>
          <w:tcPr>
            <w:tcW w:w="59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 xml:space="preserve">525.00 </w:t>
            </w:r>
          </w:p>
        </w:tc>
        <w:tc>
          <w:tcPr>
            <w:tcW w:w="67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 xml:space="preserve">525.00 </w:t>
            </w:r>
          </w:p>
        </w:tc>
        <w:tc>
          <w:tcPr>
            <w:tcW w:w="5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0.65%</w:t>
            </w:r>
          </w:p>
        </w:tc>
        <w:tc>
          <w:tcPr>
            <w:tcW w:w="133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类比同地区同类型工程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0" w:hRule="atLeast"/>
        </w:trPr>
        <w:tc>
          <w:tcPr>
            <w:tcW w:w="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81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工程设计费</w:t>
            </w:r>
          </w:p>
        </w:tc>
        <w:tc>
          <w:tcPr>
            <w:tcW w:w="640"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22"/>
                <w:szCs w:val="22"/>
                <w:highlight w:val="none"/>
                <w:u w:val="none"/>
              </w:rPr>
            </w:pPr>
          </w:p>
        </w:tc>
        <w:tc>
          <w:tcPr>
            <w:tcW w:w="59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 xml:space="preserve">1908.40 </w:t>
            </w:r>
          </w:p>
        </w:tc>
        <w:tc>
          <w:tcPr>
            <w:tcW w:w="67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 xml:space="preserve">1908.40 </w:t>
            </w:r>
          </w:p>
        </w:tc>
        <w:tc>
          <w:tcPr>
            <w:tcW w:w="5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2.36%</w:t>
            </w:r>
          </w:p>
        </w:tc>
        <w:tc>
          <w:tcPr>
            <w:tcW w:w="133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计价格［2002］10号文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0" w:hRule="atLeast"/>
        </w:trPr>
        <w:tc>
          <w:tcPr>
            <w:tcW w:w="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w:t>
            </w:r>
          </w:p>
        </w:tc>
        <w:tc>
          <w:tcPr>
            <w:tcW w:w="81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图纸审查费</w:t>
            </w:r>
          </w:p>
        </w:tc>
        <w:tc>
          <w:tcPr>
            <w:tcW w:w="640"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22"/>
                <w:szCs w:val="22"/>
                <w:highlight w:val="none"/>
                <w:u w:val="none"/>
              </w:rPr>
            </w:pPr>
          </w:p>
        </w:tc>
        <w:tc>
          <w:tcPr>
            <w:tcW w:w="59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 xml:space="preserve">174.01 </w:t>
            </w:r>
          </w:p>
        </w:tc>
        <w:tc>
          <w:tcPr>
            <w:tcW w:w="67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 xml:space="preserve">174.01 </w:t>
            </w:r>
          </w:p>
        </w:tc>
        <w:tc>
          <w:tcPr>
            <w:tcW w:w="5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0.22%</w:t>
            </w:r>
          </w:p>
        </w:tc>
        <w:tc>
          <w:tcPr>
            <w:tcW w:w="133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勘察设计费×6.5％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trPr>
        <w:tc>
          <w:tcPr>
            <w:tcW w:w="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w:t>
            </w:r>
          </w:p>
        </w:tc>
        <w:tc>
          <w:tcPr>
            <w:tcW w:w="81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竣工图编制费</w:t>
            </w:r>
          </w:p>
        </w:tc>
        <w:tc>
          <w:tcPr>
            <w:tcW w:w="640"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22"/>
                <w:szCs w:val="22"/>
                <w:highlight w:val="none"/>
                <w:u w:val="none"/>
              </w:rPr>
            </w:pPr>
          </w:p>
        </w:tc>
        <w:tc>
          <w:tcPr>
            <w:tcW w:w="59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 xml:space="preserve">152.67 </w:t>
            </w:r>
          </w:p>
        </w:tc>
        <w:tc>
          <w:tcPr>
            <w:tcW w:w="67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 xml:space="preserve">152.67 </w:t>
            </w:r>
          </w:p>
        </w:tc>
        <w:tc>
          <w:tcPr>
            <w:tcW w:w="5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0.19%</w:t>
            </w:r>
          </w:p>
        </w:tc>
        <w:tc>
          <w:tcPr>
            <w:tcW w:w="133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设计费×8％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0" w:hRule="atLeast"/>
        </w:trPr>
        <w:tc>
          <w:tcPr>
            <w:tcW w:w="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w:t>
            </w:r>
          </w:p>
        </w:tc>
        <w:tc>
          <w:tcPr>
            <w:tcW w:w="81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监理费</w:t>
            </w:r>
          </w:p>
        </w:tc>
        <w:tc>
          <w:tcPr>
            <w:tcW w:w="640"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22"/>
                <w:szCs w:val="22"/>
                <w:highlight w:val="none"/>
                <w:u w:val="none"/>
              </w:rPr>
            </w:pPr>
          </w:p>
        </w:tc>
        <w:tc>
          <w:tcPr>
            <w:tcW w:w="59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 xml:space="preserve">1121.97 </w:t>
            </w:r>
          </w:p>
        </w:tc>
        <w:tc>
          <w:tcPr>
            <w:tcW w:w="67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 xml:space="preserve">1121.97 </w:t>
            </w:r>
          </w:p>
        </w:tc>
        <w:tc>
          <w:tcPr>
            <w:tcW w:w="5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1.39%</w:t>
            </w:r>
          </w:p>
        </w:tc>
        <w:tc>
          <w:tcPr>
            <w:tcW w:w="13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发改价格[2007]670号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trPr>
        <w:tc>
          <w:tcPr>
            <w:tcW w:w="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w:t>
            </w:r>
          </w:p>
        </w:tc>
        <w:tc>
          <w:tcPr>
            <w:tcW w:w="81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全过程造价咨询费（含审核费）</w:t>
            </w:r>
          </w:p>
        </w:tc>
        <w:tc>
          <w:tcPr>
            <w:tcW w:w="640"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22"/>
                <w:szCs w:val="22"/>
                <w:highlight w:val="none"/>
                <w:u w:val="none"/>
              </w:rPr>
            </w:pPr>
          </w:p>
        </w:tc>
        <w:tc>
          <w:tcPr>
            <w:tcW w:w="59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 xml:space="preserve">510.74 </w:t>
            </w:r>
          </w:p>
        </w:tc>
        <w:tc>
          <w:tcPr>
            <w:tcW w:w="67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 xml:space="preserve">510.74 </w:t>
            </w:r>
          </w:p>
        </w:tc>
        <w:tc>
          <w:tcPr>
            <w:tcW w:w="5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0.63%</w:t>
            </w:r>
          </w:p>
        </w:tc>
        <w:tc>
          <w:tcPr>
            <w:tcW w:w="133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[粤价函(2011)742号]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trPr>
        <w:tc>
          <w:tcPr>
            <w:tcW w:w="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w:t>
            </w:r>
          </w:p>
        </w:tc>
        <w:tc>
          <w:tcPr>
            <w:tcW w:w="81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招标代理</w:t>
            </w:r>
          </w:p>
        </w:tc>
        <w:tc>
          <w:tcPr>
            <w:tcW w:w="640"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22"/>
                <w:szCs w:val="22"/>
                <w:highlight w:val="none"/>
                <w:u w:val="none"/>
              </w:rPr>
            </w:pPr>
          </w:p>
        </w:tc>
        <w:tc>
          <w:tcPr>
            <w:tcW w:w="59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 xml:space="preserve">108.07 </w:t>
            </w:r>
          </w:p>
        </w:tc>
        <w:tc>
          <w:tcPr>
            <w:tcW w:w="67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 xml:space="preserve">108.07 </w:t>
            </w:r>
          </w:p>
        </w:tc>
        <w:tc>
          <w:tcPr>
            <w:tcW w:w="5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0.13%</w:t>
            </w:r>
          </w:p>
        </w:tc>
        <w:tc>
          <w:tcPr>
            <w:tcW w:w="133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发改价格[2011]534号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trPr>
        <w:tc>
          <w:tcPr>
            <w:tcW w:w="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w:t>
            </w:r>
          </w:p>
        </w:tc>
        <w:tc>
          <w:tcPr>
            <w:tcW w:w="81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工程保险费</w:t>
            </w:r>
          </w:p>
        </w:tc>
        <w:tc>
          <w:tcPr>
            <w:tcW w:w="640"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22"/>
                <w:szCs w:val="22"/>
                <w:highlight w:val="none"/>
                <w:u w:val="none"/>
              </w:rPr>
            </w:pPr>
          </w:p>
        </w:tc>
        <w:tc>
          <w:tcPr>
            <w:tcW w:w="59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 xml:space="preserve">209.63 </w:t>
            </w:r>
          </w:p>
        </w:tc>
        <w:tc>
          <w:tcPr>
            <w:tcW w:w="67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 xml:space="preserve">209.63 </w:t>
            </w:r>
          </w:p>
        </w:tc>
        <w:tc>
          <w:tcPr>
            <w:tcW w:w="5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0.26%</w:t>
            </w:r>
          </w:p>
        </w:tc>
        <w:tc>
          <w:tcPr>
            <w:tcW w:w="133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工程费</w:t>
            </w:r>
            <w:r>
              <w:rPr>
                <w:rFonts w:hint="default" w:ascii="Times New Roman" w:hAnsi="Times New Roman" w:eastAsia="宋体" w:cs="Times New Roman"/>
                <w:i w:val="0"/>
                <w:iCs w:val="0"/>
                <w:color w:val="000000"/>
                <w:kern w:val="0"/>
                <w:sz w:val="22"/>
                <w:szCs w:val="22"/>
                <w:highlight w:val="none"/>
                <w:u w:val="none"/>
                <w:lang w:val="en-US" w:eastAsia="zh-CN" w:bidi="ar"/>
              </w:rPr>
              <w:t>×0.30%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0" w:hRule="atLeast"/>
        </w:trPr>
        <w:tc>
          <w:tcPr>
            <w:tcW w:w="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13</w:t>
            </w:r>
          </w:p>
        </w:tc>
        <w:tc>
          <w:tcPr>
            <w:tcW w:w="81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检验监测费</w:t>
            </w:r>
          </w:p>
        </w:tc>
        <w:tc>
          <w:tcPr>
            <w:tcW w:w="640"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22"/>
                <w:szCs w:val="22"/>
                <w:highlight w:val="none"/>
                <w:u w:val="none"/>
              </w:rPr>
            </w:pPr>
          </w:p>
        </w:tc>
        <w:tc>
          <w:tcPr>
            <w:tcW w:w="5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 xml:space="preserve">698.77 </w:t>
            </w:r>
          </w:p>
        </w:tc>
        <w:tc>
          <w:tcPr>
            <w:tcW w:w="67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 xml:space="preserve">698.77 </w:t>
            </w:r>
          </w:p>
        </w:tc>
        <w:tc>
          <w:tcPr>
            <w:tcW w:w="5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0.86%</w:t>
            </w:r>
          </w:p>
        </w:tc>
        <w:tc>
          <w:tcPr>
            <w:tcW w:w="133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《广东省建设工程概算编制办法》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trPr>
        <w:tc>
          <w:tcPr>
            <w:tcW w:w="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14</w:t>
            </w:r>
          </w:p>
        </w:tc>
        <w:tc>
          <w:tcPr>
            <w:tcW w:w="81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监测验收费</w:t>
            </w:r>
          </w:p>
        </w:tc>
        <w:tc>
          <w:tcPr>
            <w:tcW w:w="640"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i w:val="0"/>
                <w:iCs w:val="0"/>
                <w:color w:val="000000"/>
                <w:sz w:val="22"/>
                <w:szCs w:val="22"/>
                <w:highlight w:val="none"/>
                <w:u w:val="none"/>
              </w:rPr>
            </w:pPr>
          </w:p>
        </w:tc>
        <w:tc>
          <w:tcPr>
            <w:tcW w:w="5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 xml:space="preserve">209.63 </w:t>
            </w:r>
          </w:p>
        </w:tc>
        <w:tc>
          <w:tcPr>
            <w:tcW w:w="67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 xml:space="preserve">209.63 </w:t>
            </w:r>
          </w:p>
        </w:tc>
        <w:tc>
          <w:tcPr>
            <w:tcW w:w="5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0.26%</w:t>
            </w:r>
          </w:p>
        </w:tc>
        <w:tc>
          <w:tcPr>
            <w:tcW w:w="133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工程费*0.3%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0" w:hRule="atLeast"/>
        </w:trPr>
        <w:tc>
          <w:tcPr>
            <w:tcW w:w="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T3</w:t>
            </w:r>
          </w:p>
        </w:tc>
        <w:tc>
          <w:tcPr>
            <w:tcW w:w="811"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预备费</w:t>
            </w:r>
          </w:p>
        </w:tc>
        <w:tc>
          <w:tcPr>
            <w:tcW w:w="640" w:type="pct"/>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宋体" w:hAnsi="宋体" w:eastAsia="宋体" w:cs="宋体"/>
                <w:b/>
                <w:bCs/>
                <w:i w:val="0"/>
                <w:iCs w:val="0"/>
                <w:color w:val="000000"/>
                <w:sz w:val="22"/>
                <w:szCs w:val="22"/>
                <w:highlight w:val="none"/>
                <w:u w:val="none"/>
              </w:rPr>
            </w:pPr>
          </w:p>
        </w:tc>
        <w:tc>
          <w:tcPr>
            <w:tcW w:w="5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 xml:space="preserve">2353.84 </w:t>
            </w:r>
          </w:p>
        </w:tc>
        <w:tc>
          <w:tcPr>
            <w:tcW w:w="670"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 xml:space="preserve">2353.84 </w:t>
            </w:r>
          </w:p>
        </w:tc>
        <w:tc>
          <w:tcPr>
            <w:tcW w:w="555"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2.91%</w:t>
            </w:r>
          </w:p>
        </w:tc>
        <w:tc>
          <w:tcPr>
            <w:tcW w:w="1332"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（工程费+其他建设费）×3%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trPr>
        <w:tc>
          <w:tcPr>
            <w:tcW w:w="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T</w:t>
            </w:r>
          </w:p>
        </w:tc>
        <w:tc>
          <w:tcPr>
            <w:tcW w:w="8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总投资</w:t>
            </w:r>
          </w:p>
        </w:tc>
        <w:tc>
          <w:tcPr>
            <w:tcW w:w="6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highlight w:val="none"/>
                <w:u w:val="none"/>
              </w:rPr>
            </w:pPr>
          </w:p>
        </w:tc>
        <w:tc>
          <w:tcPr>
            <w:tcW w:w="59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 xml:space="preserve">80815.07 </w:t>
            </w:r>
          </w:p>
        </w:tc>
        <w:tc>
          <w:tcPr>
            <w:tcW w:w="67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right"/>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 xml:space="preserve">80815.07 </w:t>
            </w:r>
          </w:p>
        </w:tc>
        <w:tc>
          <w:tcPr>
            <w:tcW w:w="55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100%</w:t>
            </w:r>
          </w:p>
        </w:tc>
        <w:tc>
          <w:tcPr>
            <w:tcW w:w="13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T=T1+T2+T3</w:t>
            </w:r>
          </w:p>
        </w:tc>
      </w:tr>
    </w:tbl>
    <w:p>
      <w:pPr>
        <w:pStyle w:val="10"/>
        <w:spacing w:line="500" w:lineRule="exact"/>
        <w:ind w:firstLine="480" w:firstLineChars="200"/>
        <w:jc w:val="both"/>
        <w:rPr>
          <w:rFonts w:hint="eastAsia" w:asciiTheme="minorEastAsia" w:hAnsiTheme="minorEastAsia" w:eastAsiaTheme="minorEastAsia" w:cstheme="minorEastAsia"/>
          <w:color w:val="auto"/>
          <w:sz w:val="24"/>
          <w:szCs w:val="24"/>
          <w:highlight w:val="none"/>
        </w:rPr>
      </w:pPr>
    </w:p>
    <w:p>
      <w:pPr>
        <w:pStyle w:val="11"/>
        <w:rPr>
          <w:rFonts w:hint="eastAsia"/>
          <w:color w:val="auto"/>
          <w:highlight w:val="none"/>
        </w:rPr>
      </w:pPr>
    </w:p>
    <w:p>
      <w:pPr>
        <w:pStyle w:val="2"/>
        <w:numPr>
          <w:ilvl w:val="0"/>
          <w:numId w:val="0"/>
        </w:numPr>
        <w:tabs>
          <w:tab w:val="left" w:pos="1359"/>
        </w:tabs>
        <w:spacing w:before="0" w:line="500" w:lineRule="exact"/>
        <w:ind w:leftChars="0"/>
        <w:jc w:val="both"/>
        <w:rPr>
          <w:rFonts w:asciiTheme="minorEastAsia" w:hAnsiTheme="minorEastAsia" w:eastAsiaTheme="minorEastAsia" w:cstheme="minorEastAsia"/>
          <w:color w:val="auto"/>
          <w:sz w:val="24"/>
          <w:szCs w:val="24"/>
          <w:highlight w:val="none"/>
        </w:rPr>
      </w:pPr>
      <w:bookmarkStart w:id="173" w:name="12.2资金筹措"/>
      <w:bookmarkEnd w:id="173"/>
      <w:bookmarkStart w:id="174" w:name="_Toc781"/>
      <w:bookmarkStart w:id="175" w:name="_Toc23772"/>
      <w:r>
        <w:rPr>
          <w:rFonts w:hint="eastAsia" w:asciiTheme="minorEastAsia" w:hAnsiTheme="minorEastAsia" w:eastAsiaTheme="minorEastAsia" w:cstheme="minorEastAsia"/>
          <w:color w:val="auto"/>
          <w:sz w:val="32"/>
          <w:szCs w:val="32"/>
          <w:highlight w:val="none"/>
          <w:lang w:val="en-US" w:eastAsia="zh-CN"/>
        </w:rPr>
        <w:t>12.2</w:t>
      </w:r>
      <w:r>
        <w:rPr>
          <w:rFonts w:hint="eastAsia" w:asciiTheme="minorEastAsia" w:hAnsiTheme="minorEastAsia" w:eastAsiaTheme="minorEastAsia" w:cstheme="minorEastAsia"/>
          <w:color w:val="auto"/>
          <w:sz w:val="24"/>
          <w:szCs w:val="24"/>
          <w:highlight w:val="none"/>
        </w:rPr>
        <w:t>资金筹措</w:t>
      </w:r>
      <w:bookmarkEnd w:id="174"/>
      <w:bookmarkEnd w:id="175"/>
    </w:p>
    <w:p>
      <w:pPr>
        <w:pStyle w:val="10"/>
        <w:spacing w:line="500" w:lineRule="exact"/>
        <w:ind w:firstLine="480" w:firstLineChars="200"/>
        <w:jc w:val="both"/>
        <w:rPr>
          <w:rFonts w:asciiTheme="minorEastAsia" w:hAnsiTheme="minorEastAsia" w:eastAsiaTheme="minorEastAsia" w:cstheme="minorEastAsia"/>
          <w:color w:val="auto"/>
          <w:spacing w:val="-13"/>
          <w:sz w:val="24"/>
          <w:szCs w:val="24"/>
        </w:rPr>
      </w:pPr>
      <w:r>
        <w:rPr>
          <w:rFonts w:hint="eastAsia" w:asciiTheme="minorEastAsia" w:hAnsiTheme="minorEastAsia" w:eastAsiaTheme="minorEastAsia" w:cstheme="minorEastAsia"/>
          <w:color w:val="auto"/>
          <w:sz w:val="24"/>
          <w:szCs w:val="24"/>
          <w:highlight w:val="none"/>
        </w:rPr>
        <w:t>本项目总投资估算</w:t>
      </w:r>
      <w:r>
        <w:rPr>
          <w:rFonts w:hint="eastAsia" w:asciiTheme="minorEastAsia" w:hAnsiTheme="minorEastAsia" w:eastAsiaTheme="minorEastAsia" w:cstheme="minorEastAsia"/>
          <w:color w:val="auto"/>
          <w:sz w:val="24"/>
          <w:szCs w:val="24"/>
          <w:highlight w:val="none"/>
          <w:lang w:val="en-US" w:eastAsia="zh-CN"/>
        </w:rPr>
        <w:t>80815.07万元</w:t>
      </w:r>
      <w:r>
        <w:rPr>
          <w:rFonts w:hint="eastAsia" w:asciiTheme="minorEastAsia" w:hAnsiTheme="minorEastAsia" w:eastAsiaTheme="minorEastAsia" w:cstheme="minorEastAsia"/>
          <w:color w:val="auto"/>
          <w:sz w:val="24"/>
          <w:szCs w:val="24"/>
          <w:highlight w:val="none"/>
        </w:rPr>
        <w:t>，其中工程费为</w:t>
      </w:r>
      <w:r>
        <w:rPr>
          <w:rFonts w:hint="eastAsia" w:asciiTheme="minorEastAsia" w:hAnsiTheme="minorEastAsia" w:eastAsiaTheme="minorEastAsia" w:cstheme="minorEastAsia"/>
          <w:color w:val="auto"/>
          <w:sz w:val="24"/>
          <w:szCs w:val="24"/>
          <w:highlight w:val="none"/>
          <w:lang w:eastAsia="zh-CN"/>
        </w:rPr>
        <w:t>69876.66万元</w:t>
      </w:r>
      <w:r>
        <w:rPr>
          <w:rFonts w:hint="eastAsia" w:asciiTheme="minorEastAsia" w:hAnsiTheme="minorEastAsia" w:eastAsiaTheme="minorEastAsia" w:cstheme="minorEastAsia"/>
          <w:color w:val="auto"/>
          <w:sz w:val="24"/>
          <w:szCs w:val="24"/>
          <w:highlight w:val="none"/>
        </w:rPr>
        <w:t>，</w:t>
      </w:r>
      <w:r>
        <w:rPr>
          <w:rFonts w:hint="eastAsia" w:asciiTheme="minorEastAsia" w:hAnsiTheme="minorEastAsia" w:eastAsiaTheme="minorEastAsia" w:cstheme="minorEastAsia"/>
          <w:color w:val="auto"/>
          <w:spacing w:val="-11"/>
          <w:sz w:val="24"/>
          <w:szCs w:val="24"/>
          <w:highlight w:val="none"/>
        </w:rPr>
        <w:t xml:space="preserve">工程其他费用 </w:t>
      </w:r>
      <w:r>
        <w:rPr>
          <w:rFonts w:hint="eastAsia" w:asciiTheme="minorEastAsia" w:hAnsiTheme="minorEastAsia" w:eastAsiaTheme="minorEastAsia" w:cstheme="minorEastAsia"/>
          <w:color w:val="auto"/>
          <w:spacing w:val="-8"/>
          <w:sz w:val="24"/>
          <w:szCs w:val="24"/>
          <w:highlight w:val="none"/>
          <w:lang w:val="en-US" w:eastAsia="zh-CN"/>
        </w:rPr>
        <w:t>8584.58万元</w:t>
      </w:r>
      <w:r>
        <w:rPr>
          <w:rFonts w:hint="eastAsia" w:asciiTheme="minorEastAsia" w:hAnsiTheme="minorEastAsia" w:eastAsiaTheme="minorEastAsia" w:cstheme="minorEastAsia"/>
          <w:color w:val="auto"/>
          <w:spacing w:val="-31"/>
          <w:sz w:val="24"/>
          <w:szCs w:val="24"/>
          <w:highlight w:val="none"/>
        </w:rPr>
        <w:t>，预</w:t>
      </w:r>
      <w:r>
        <w:rPr>
          <w:rFonts w:hint="eastAsia" w:asciiTheme="minorEastAsia" w:hAnsiTheme="minorEastAsia" w:eastAsiaTheme="minorEastAsia" w:cstheme="minorEastAsia"/>
          <w:color w:val="auto"/>
          <w:spacing w:val="-8"/>
          <w:sz w:val="24"/>
          <w:szCs w:val="24"/>
          <w:highlight w:val="none"/>
          <w:lang w:val="en-US" w:eastAsia="zh-CN"/>
        </w:rPr>
        <w:t>备费2353.84万</w:t>
      </w:r>
      <w:r>
        <w:rPr>
          <w:rFonts w:hint="eastAsia" w:asciiTheme="minorEastAsia" w:hAnsiTheme="minorEastAsia" w:eastAsiaTheme="minorEastAsia" w:cstheme="minorEastAsia"/>
          <w:color w:val="auto"/>
          <w:spacing w:val="-31"/>
          <w:sz w:val="24"/>
          <w:szCs w:val="24"/>
          <w:highlight w:val="none"/>
          <w:lang w:val="en-US" w:eastAsia="zh-CN"/>
        </w:rPr>
        <w:t>元</w:t>
      </w:r>
      <w:r>
        <w:rPr>
          <w:rFonts w:hint="eastAsia" w:asciiTheme="minorEastAsia" w:hAnsiTheme="minorEastAsia" w:eastAsiaTheme="minorEastAsia" w:cstheme="minorEastAsia"/>
          <w:color w:val="auto"/>
          <w:spacing w:val="-8"/>
          <w:sz w:val="24"/>
          <w:szCs w:val="24"/>
          <w:highlight w:val="none"/>
          <w:lang w:val="en-US"/>
        </w:rPr>
        <w:t>。</w:t>
      </w:r>
      <w:r>
        <w:rPr>
          <w:rFonts w:hint="eastAsia" w:asciiTheme="minorEastAsia" w:hAnsiTheme="minorEastAsia" w:eastAsiaTheme="minorEastAsia" w:cstheme="minorEastAsia"/>
          <w:color w:val="auto"/>
          <w:spacing w:val="-10"/>
          <w:sz w:val="24"/>
          <w:szCs w:val="24"/>
        </w:rPr>
        <w:t>本项目作为农村生活污水治理设施，属于政府负有提供责任又适宜市场化运作的公共服务、基础设施类项目。项目资金来源于地方财政资金和争取上级专项资金</w:t>
      </w:r>
      <w:r>
        <w:rPr>
          <w:rFonts w:hint="eastAsia" w:asciiTheme="minorEastAsia" w:hAnsiTheme="minorEastAsia" w:eastAsiaTheme="minorEastAsia" w:cstheme="minorEastAsia"/>
          <w:color w:val="auto"/>
          <w:spacing w:val="-13"/>
          <w:sz w:val="24"/>
          <w:szCs w:val="24"/>
        </w:rPr>
        <w:t>。</w:t>
      </w:r>
    </w:p>
    <w:p>
      <w:pPr>
        <w:pStyle w:val="11"/>
        <w:rPr>
          <w:color w:val="auto"/>
          <w:lang w:val="zh-CN" w:bidi="zh-CN"/>
        </w:rPr>
      </w:pPr>
    </w:p>
    <w:p>
      <w:pPr>
        <w:pStyle w:val="25"/>
        <w:ind w:firstLine="280"/>
        <w:rPr>
          <w:color w:val="auto"/>
        </w:rPr>
      </w:pPr>
    </w:p>
    <w:p>
      <w:pPr>
        <w:spacing w:line="500" w:lineRule="exact"/>
        <w:ind w:firstLine="480" w:firstLineChars="200"/>
        <w:jc w:val="both"/>
        <w:rPr>
          <w:rFonts w:asciiTheme="minorEastAsia" w:hAnsiTheme="minorEastAsia" w:eastAsiaTheme="minorEastAsia" w:cstheme="minorEastAsia"/>
          <w:color w:val="auto"/>
          <w:sz w:val="24"/>
          <w:szCs w:val="24"/>
        </w:rPr>
      </w:pPr>
    </w:p>
    <w:p>
      <w:pPr>
        <w:pStyle w:val="26"/>
        <w:rPr>
          <w:color w:val="auto"/>
        </w:rPr>
        <w:sectPr>
          <w:footerReference r:id="rId15" w:type="default"/>
          <w:type w:val="nextColumn"/>
          <w:pgSz w:w="11910" w:h="16840"/>
          <w:pgMar w:top="1418" w:right="1418" w:bottom="1418" w:left="1701" w:header="0" w:footer="346" w:gutter="0"/>
          <w:cols w:space="720" w:num="1"/>
        </w:sectPr>
      </w:pPr>
    </w:p>
    <w:p>
      <w:pPr>
        <w:pStyle w:val="2"/>
        <w:numPr>
          <w:ilvl w:val="0"/>
          <w:numId w:val="65"/>
        </w:numPr>
        <w:jc w:val="center"/>
        <w:rPr>
          <w:color w:val="auto"/>
        </w:rPr>
      </w:pPr>
      <w:bookmarkStart w:id="176" w:name="_Toc453"/>
      <w:bookmarkStart w:id="177" w:name="_Toc26144"/>
      <w:r>
        <w:rPr>
          <w:rFonts w:hint="eastAsia"/>
          <w:color w:val="auto"/>
        </w:rPr>
        <w:t>财务评价</w:t>
      </w:r>
      <w:bookmarkEnd w:id="176"/>
      <w:bookmarkEnd w:id="177"/>
    </w:p>
    <w:p>
      <w:pPr>
        <w:pStyle w:val="2"/>
        <w:numPr>
          <w:ilvl w:val="0"/>
          <w:numId w:val="0"/>
        </w:numPr>
        <w:tabs>
          <w:tab w:val="left" w:pos="1016"/>
        </w:tabs>
        <w:spacing w:before="0" w:line="500" w:lineRule="exact"/>
        <w:ind w:leftChars="0"/>
        <w:jc w:val="both"/>
        <w:rPr>
          <w:rFonts w:asciiTheme="minorEastAsia" w:hAnsiTheme="minorEastAsia" w:eastAsiaTheme="minorEastAsia" w:cstheme="minorEastAsia"/>
          <w:color w:val="auto"/>
          <w:sz w:val="24"/>
          <w:szCs w:val="24"/>
        </w:rPr>
      </w:pPr>
      <w:bookmarkStart w:id="178" w:name="13.1编制依据"/>
      <w:bookmarkEnd w:id="178"/>
      <w:bookmarkStart w:id="179" w:name="_Toc9053"/>
      <w:bookmarkStart w:id="180" w:name="_Toc13807"/>
      <w:r>
        <w:rPr>
          <w:rFonts w:hint="eastAsia" w:asciiTheme="minorEastAsia" w:hAnsiTheme="minorEastAsia" w:eastAsiaTheme="minorEastAsia" w:cstheme="minorEastAsia"/>
          <w:color w:val="auto"/>
          <w:sz w:val="24"/>
          <w:szCs w:val="24"/>
          <w:lang w:val="en-US" w:eastAsia="zh-CN"/>
        </w:rPr>
        <w:t>13.1</w:t>
      </w:r>
      <w:r>
        <w:rPr>
          <w:rFonts w:hint="eastAsia" w:asciiTheme="minorEastAsia" w:hAnsiTheme="minorEastAsia" w:eastAsiaTheme="minorEastAsia" w:cstheme="minorEastAsia"/>
          <w:color w:val="auto"/>
          <w:sz w:val="24"/>
          <w:szCs w:val="24"/>
        </w:rPr>
        <w:t>编制依据</w:t>
      </w:r>
      <w:bookmarkEnd w:id="179"/>
      <w:bookmarkEnd w:id="180"/>
    </w:p>
    <w:p>
      <w:pPr>
        <w:pStyle w:val="32"/>
        <w:numPr>
          <w:ilvl w:val="2"/>
          <w:numId w:val="89"/>
        </w:numPr>
        <w:tabs>
          <w:tab w:val="left" w:pos="1659"/>
        </w:tabs>
        <w:spacing w:line="500" w:lineRule="exact"/>
        <w:jc w:val="both"/>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rPr>
        <w:t>《建设项目经济评价方法与参数》（第三版），发改投资〔2006〕1325号，中国计划出版社；</w:t>
      </w:r>
    </w:p>
    <w:p>
      <w:pPr>
        <w:pStyle w:val="32"/>
        <w:numPr>
          <w:ilvl w:val="2"/>
          <w:numId w:val="89"/>
        </w:numPr>
        <w:tabs>
          <w:tab w:val="left" w:pos="1659"/>
        </w:tabs>
        <w:spacing w:line="500" w:lineRule="exact"/>
        <w:jc w:val="both"/>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rPr>
        <w:t>《市政公用设施建设项目经济评价方法与参数》，建标〔2008〕162号；</w:t>
      </w:r>
    </w:p>
    <w:p>
      <w:pPr>
        <w:pStyle w:val="32"/>
        <w:numPr>
          <w:ilvl w:val="2"/>
          <w:numId w:val="89"/>
        </w:numPr>
        <w:tabs>
          <w:tab w:val="left" w:pos="1661"/>
        </w:tabs>
        <w:spacing w:line="500" w:lineRule="exact"/>
        <w:jc w:val="both"/>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rPr>
        <w:t>《投资项目经济咨询评估指南》——中国国际工程咨询公司编著。</w:t>
      </w:r>
    </w:p>
    <w:p>
      <w:pPr>
        <w:pStyle w:val="2"/>
        <w:numPr>
          <w:ilvl w:val="0"/>
          <w:numId w:val="0"/>
        </w:numPr>
        <w:tabs>
          <w:tab w:val="left" w:pos="1016"/>
        </w:tabs>
        <w:spacing w:before="0" w:line="500" w:lineRule="exact"/>
        <w:ind w:leftChars="0"/>
        <w:jc w:val="both"/>
        <w:rPr>
          <w:rFonts w:asciiTheme="minorEastAsia" w:hAnsiTheme="minorEastAsia" w:eastAsiaTheme="minorEastAsia" w:cstheme="minorEastAsia"/>
          <w:color w:val="auto"/>
          <w:sz w:val="24"/>
          <w:szCs w:val="24"/>
        </w:rPr>
      </w:pPr>
      <w:bookmarkStart w:id="181" w:name="13.2编制说明"/>
      <w:bookmarkEnd w:id="181"/>
      <w:bookmarkStart w:id="182" w:name="_Toc27921"/>
      <w:bookmarkStart w:id="183" w:name="_Toc17721"/>
      <w:r>
        <w:rPr>
          <w:rFonts w:hint="eastAsia" w:asciiTheme="minorEastAsia" w:hAnsiTheme="minorEastAsia" w:eastAsiaTheme="minorEastAsia" w:cstheme="minorEastAsia"/>
          <w:color w:val="auto"/>
          <w:sz w:val="24"/>
          <w:szCs w:val="24"/>
          <w:lang w:val="en-US" w:eastAsia="zh-CN"/>
        </w:rPr>
        <w:t>13.2</w:t>
      </w:r>
      <w:r>
        <w:rPr>
          <w:rFonts w:hint="eastAsia" w:asciiTheme="minorEastAsia" w:hAnsiTheme="minorEastAsia" w:eastAsiaTheme="minorEastAsia" w:cstheme="minorEastAsia"/>
          <w:color w:val="auto"/>
          <w:sz w:val="24"/>
          <w:szCs w:val="24"/>
        </w:rPr>
        <w:t>编制说明</w:t>
      </w:r>
      <w:bookmarkEnd w:id="182"/>
      <w:bookmarkEnd w:id="183"/>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该项目建设期为3年，年均生产负荷取95%。</w:t>
      </w:r>
    </w:p>
    <w:p>
      <w:pPr>
        <w:pStyle w:val="2"/>
        <w:numPr>
          <w:ilvl w:val="0"/>
          <w:numId w:val="0"/>
        </w:numPr>
        <w:tabs>
          <w:tab w:val="left" w:pos="1016"/>
        </w:tabs>
        <w:spacing w:before="0" w:line="500" w:lineRule="exact"/>
        <w:ind w:leftChars="0"/>
        <w:jc w:val="both"/>
        <w:rPr>
          <w:rFonts w:asciiTheme="minorEastAsia" w:hAnsiTheme="minorEastAsia" w:eastAsiaTheme="minorEastAsia" w:cstheme="minorEastAsia"/>
          <w:color w:val="auto"/>
          <w:sz w:val="24"/>
          <w:szCs w:val="24"/>
        </w:rPr>
      </w:pPr>
      <w:bookmarkStart w:id="184" w:name="13.3运营成本分析"/>
      <w:bookmarkEnd w:id="184"/>
      <w:bookmarkStart w:id="185" w:name="_Toc16808"/>
      <w:bookmarkStart w:id="186" w:name="_Toc9775"/>
      <w:r>
        <w:rPr>
          <w:rFonts w:hint="eastAsia" w:asciiTheme="minorEastAsia" w:hAnsiTheme="minorEastAsia" w:eastAsiaTheme="minorEastAsia" w:cstheme="minorEastAsia"/>
          <w:color w:val="auto"/>
          <w:sz w:val="24"/>
          <w:szCs w:val="24"/>
          <w:lang w:val="en-US" w:eastAsia="zh-CN"/>
        </w:rPr>
        <w:t>13.3</w:t>
      </w:r>
      <w:r>
        <w:rPr>
          <w:rFonts w:hint="eastAsia" w:asciiTheme="minorEastAsia" w:hAnsiTheme="minorEastAsia" w:eastAsiaTheme="minorEastAsia" w:cstheme="minorEastAsia"/>
          <w:color w:val="auto"/>
          <w:sz w:val="24"/>
          <w:szCs w:val="24"/>
        </w:rPr>
        <w:t>运营成本分析</w:t>
      </w:r>
      <w:bookmarkEnd w:id="185"/>
      <w:bookmarkEnd w:id="186"/>
    </w:p>
    <w:p>
      <w:pPr>
        <w:pStyle w:val="10"/>
        <w:spacing w:line="500" w:lineRule="exact"/>
        <w:ind w:firstLine="45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6"/>
          <w:sz w:val="24"/>
          <w:szCs w:val="24"/>
          <w:highlight w:val="none"/>
          <w:lang w:val="en-US" w:eastAsia="zh-CN"/>
        </w:rPr>
        <w:t>本项目需对自然村的农村污水</w:t>
      </w:r>
      <w:r>
        <w:rPr>
          <w:rFonts w:hint="eastAsia" w:asciiTheme="minorEastAsia" w:hAnsiTheme="minorEastAsia" w:eastAsiaTheme="minorEastAsia" w:cstheme="minorEastAsia"/>
          <w:color w:val="auto"/>
          <w:spacing w:val="-6"/>
          <w:sz w:val="24"/>
          <w:szCs w:val="24"/>
          <w:highlight w:val="none"/>
        </w:rPr>
        <w:t>处理设施</w:t>
      </w:r>
      <w:r>
        <w:rPr>
          <w:rFonts w:hint="eastAsia" w:asciiTheme="minorEastAsia" w:hAnsiTheme="minorEastAsia" w:eastAsiaTheme="minorEastAsia" w:cstheme="minorEastAsia"/>
          <w:color w:val="auto"/>
          <w:spacing w:val="-6"/>
          <w:sz w:val="24"/>
          <w:szCs w:val="24"/>
          <w:highlight w:val="none"/>
          <w:lang w:val="en-US" w:eastAsia="zh-CN"/>
        </w:rPr>
        <w:t>进行运营，</w:t>
      </w:r>
      <w:r>
        <w:rPr>
          <w:rFonts w:hint="eastAsia" w:asciiTheme="minorEastAsia" w:hAnsiTheme="minorEastAsia" w:eastAsiaTheme="minorEastAsia" w:cstheme="minorEastAsia"/>
          <w:color w:val="auto"/>
          <w:spacing w:val="-6"/>
          <w:sz w:val="24"/>
          <w:szCs w:val="24"/>
          <w:highlight w:val="none"/>
        </w:rPr>
        <w:t>农村污水处理设施的运行费一般包括燃料动力费、人工费、修理</w:t>
      </w:r>
      <w:r>
        <w:rPr>
          <w:rFonts w:hint="eastAsia" w:asciiTheme="minorEastAsia" w:hAnsiTheme="minorEastAsia" w:eastAsiaTheme="minorEastAsia" w:cstheme="minorEastAsia"/>
          <w:color w:val="auto"/>
          <w:spacing w:val="-11"/>
          <w:sz w:val="24"/>
          <w:szCs w:val="24"/>
          <w:highlight w:val="none"/>
        </w:rPr>
        <w:t>费、污泥处置费</w:t>
      </w:r>
      <w:r>
        <w:rPr>
          <w:rFonts w:hint="eastAsia" w:asciiTheme="minorEastAsia" w:hAnsiTheme="minorEastAsia" w:eastAsiaTheme="minorEastAsia" w:cstheme="minorEastAsia"/>
          <w:color w:val="auto"/>
          <w:spacing w:val="-11"/>
          <w:sz w:val="24"/>
          <w:szCs w:val="24"/>
        </w:rPr>
        <w:t>、管理及其他费用；投资回报及财务费用一般包括资本金回收及回报、银行贷款及利息支出及税费。</w:t>
      </w:r>
    </w:p>
    <w:p>
      <w:pPr>
        <w:pStyle w:val="32"/>
        <w:numPr>
          <w:ilvl w:val="2"/>
          <w:numId w:val="90"/>
        </w:numPr>
        <w:tabs>
          <w:tab w:val="left" w:pos="1659"/>
        </w:tabs>
        <w:spacing w:line="500" w:lineRule="exact"/>
        <w:jc w:val="both"/>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rPr>
        <w:t>外购燃料及动力费：电费</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处理工艺及处理规模的差异均会影响污水处理的单位用电水平， 根据《城市污水处理工程项目建设标准》（建标〔2001〕77号），二级污水厂处理每立方米污水能耗为0.15~0.28kW·h。本项目大部分为200m³/d 以</w:t>
      </w:r>
      <w:r>
        <w:rPr>
          <w:rFonts w:hint="eastAsia" w:asciiTheme="minorEastAsia" w:hAnsiTheme="minorEastAsia" w:eastAsiaTheme="minorEastAsia" w:cstheme="minorEastAsia"/>
          <w:color w:val="auto"/>
          <w:spacing w:val="-5"/>
          <w:sz w:val="24"/>
          <w:szCs w:val="24"/>
        </w:rPr>
        <w:t>下的小型农村污水处理设施，规模较小，本次各污水处</w:t>
      </w:r>
      <w:r>
        <w:rPr>
          <w:rFonts w:hint="eastAsia" w:asciiTheme="minorEastAsia" w:hAnsiTheme="minorEastAsia" w:eastAsiaTheme="minorEastAsia" w:cstheme="minorEastAsia"/>
          <w:color w:val="auto"/>
          <w:spacing w:val="-2"/>
          <w:sz w:val="24"/>
          <w:szCs w:val="24"/>
        </w:rPr>
        <w:t>理设施平均耗电量按</w:t>
      </w:r>
      <w:r>
        <w:rPr>
          <w:rFonts w:hint="eastAsia" w:asciiTheme="minorEastAsia" w:hAnsiTheme="minorEastAsia" w:eastAsiaTheme="minorEastAsia" w:cstheme="minorEastAsia"/>
          <w:color w:val="auto"/>
          <w:sz w:val="24"/>
          <w:szCs w:val="24"/>
        </w:rPr>
        <w:t>0.35kW·h/吨取，因此本项目农村污水处理设</w:t>
      </w:r>
      <w:r>
        <w:rPr>
          <w:rFonts w:hint="eastAsia" w:asciiTheme="minorEastAsia" w:hAnsiTheme="minorEastAsia" w:eastAsiaTheme="minorEastAsia" w:cstheme="minorEastAsia"/>
          <w:color w:val="auto"/>
          <w:spacing w:val="-13"/>
          <w:sz w:val="24"/>
          <w:szCs w:val="24"/>
        </w:rPr>
        <w:t>施总能耗为</w:t>
      </w:r>
      <w:r>
        <w:rPr>
          <w:rFonts w:hint="eastAsia" w:asciiTheme="minorEastAsia" w:hAnsiTheme="minorEastAsia" w:eastAsiaTheme="minorEastAsia" w:cstheme="minorEastAsia"/>
          <w:color w:val="auto"/>
          <w:spacing w:val="-5"/>
          <w:sz w:val="24"/>
          <w:szCs w:val="24"/>
        </w:rPr>
        <w:t>52.89kW·h/</w:t>
      </w:r>
      <w:r>
        <w:rPr>
          <w:rFonts w:hint="eastAsia" w:asciiTheme="minorEastAsia" w:hAnsiTheme="minorEastAsia" w:eastAsiaTheme="minorEastAsia" w:cstheme="minorEastAsia"/>
          <w:color w:val="auto"/>
          <w:spacing w:val="-13"/>
          <w:sz w:val="24"/>
          <w:szCs w:val="24"/>
        </w:rPr>
        <w:t>年。根据供电价格为</w:t>
      </w:r>
      <w:r>
        <w:rPr>
          <w:rFonts w:hint="eastAsia" w:asciiTheme="minorEastAsia" w:hAnsiTheme="minorEastAsia" w:eastAsiaTheme="minorEastAsia" w:cstheme="minorEastAsia"/>
          <w:color w:val="auto"/>
          <w:sz w:val="24"/>
          <w:szCs w:val="24"/>
        </w:rPr>
        <w:t>0.80元</w:t>
      </w:r>
      <w:r>
        <w:rPr>
          <w:rFonts w:hint="eastAsia" w:asciiTheme="minorEastAsia" w:hAnsiTheme="minorEastAsia" w:eastAsiaTheme="minorEastAsia" w:cstheme="minorEastAsia"/>
          <w:color w:val="auto"/>
          <w:spacing w:val="-9"/>
          <w:sz w:val="24"/>
          <w:szCs w:val="24"/>
        </w:rPr>
        <w:t xml:space="preserve">/kW·h， </w:t>
      </w:r>
      <w:r>
        <w:rPr>
          <w:rFonts w:hint="eastAsia" w:asciiTheme="minorEastAsia" w:hAnsiTheme="minorEastAsia" w:eastAsiaTheme="minorEastAsia" w:cstheme="minorEastAsia"/>
          <w:color w:val="auto"/>
          <w:sz w:val="24"/>
          <w:szCs w:val="24"/>
        </w:rPr>
        <w:t>则每年运行电费为：</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lang w:val="en-US"/>
        </w:rPr>
        <w:t>1</w:t>
      </w:r>
      <w:r>
        <w:rPr>
          <w:rFonts w:asciiTheme="minorEastAsia" w:hAnsiTheme="minorEastAsia" w:eastAsiaTheme="minorEastAsia" w:cstheme="minorEastAsia"/>
          <w:color w:val="auto"/>
          <w:sz w:val="24"/>
          <w:szCs w:val="24"/>
          <w:lang w:val="en-US"/>
        </w:rPr>
        <w:t>2</w:t>
      </w:r>
      <w:r>
        <w:rPr>
          <w:rFonts w:hint="eastAsia" w:asciiTheme="minorEastAsia" w:hAnsiTheme="minorEastAsia" w:eastAsiaTheme="minorEastAsia" w:cstheme="minorEastAsia"/>
          <w:color w:val="auto"/>
          <w:sz w:val="24"/>
          <w:szCs w:val="24"/>
          <w:lang w:val="en-US"/>
        </w:rPr>
        <w:t>540</w:t>
      </w:r>
      <w:r>
        <w:rPr>
          <w:rFonts w:hint="eastAsia" w:asciiTheme="minorEastAsia" w:hAnsiTheme="minorEastAsia" w:eastAsiaTheme="minorEastAsia" w:cstheme="minorEastAsia"/>
          <w:color w:val="auto"/>
          <w:sz w:val="24"/>
          <w:szCs w:val="24"/>
        </w:rPr>
        <w:t>×0.35</w:t>
      </w:r>
      <w:r>
        <w:rPr>
          <w:rFonts w:hint="eastAsia" w:asciiTheme="minorEastAsia" w:hAnsiTheme="minorEastAsia" w:eastAsiaTheme="minorEastAsia" w:cstheme="minorEastAsia"/>
          <w:color w:val="auto"/>
          <w:spacing w:val="-1"/>
          <w:sz w:val="24"/>
          <w:szCs w:val="24"/>
        </w:rPr>
        <w:t>×</w:t>
      </w:r>
      <w:r>
        <w:rPr>
          <w:rFonts w:hint="eastAsia" w:asciiTheme="minorEastAsia" w:hAnsiTheme="minorEastAsia" w:eastAsiaTheme="minorEastAsia" w:cstheme="minorEastAsia"/>
          <w:color w:val="auto"/>
          <w:sz w:val="24"/>
          <w:szCs w:val="24"/>
        </w:rPr>
        <w:t>365</w:t>
      </w:r>
      <w:r>
        <w:rPr>
          <w:rFonts w:hint="eastAsia" w:asciiTheme="minorEastAsia" w:hAnsiTheme="minorEastAsia" w:eastAsiaTheme="minorEastAsia" w:cstheme="minorEastAsia"/>
          <w:color w:val="auto"/>
          <w:spacing w:val="-1"/>
          <w:sz w:val="24"/>
          <w:szCs w:val="24"/>
        </w:rPr>
        <w:t>×</w:t>
      </w:r>
      <w:r>
        <w:rPr>
          <w:rFonts w:hint="eastAsia" w:asciiTheme="minorEastAsia" w:hAnsiTheme="minorEastAsia" w:eastAsiaTheme="minorEastAsia" w:cstheme="minorEastAsia"/>
          <w:color w:val="auto"/>
          <w:sz w:val="24"/>
          <w:szCs w:val="24"/>
        </w:rPr>
        <w:t>0.80</w:t>
      </w:r>
      <w:r>
        <w:rPr>
          <w:rFonts w:hint="eastAsia" w:asciiTheme="minorEastAsia" w:hAnsiTheme="minorEastAsia" w:eastAsiaTheme="minorEastAsia" w:cstheme="minorEastAsia"/>
          <w:color w:val="auto"/>
          <w:spacing w:val="-1"/>
          <w:sz w:val="24"/>
          <w:szCs w:val="24"/>
        </w:rPr>
        <w:t>÷</w:t>
      </w:r>
      <w:r>
        <w:rPr>
          <w:rFonts w:hint="eastAsia" w:asciiTheme="minorEastAsia" w:hAnsiTheme="minorEastAsia" w:eastAsiaTheme="minorEastAsia" w:cstheme="minorEastAsia"/>
          <w:color w:val="auto"/>
          <w:sz w:val="24"/>
          <w:szCs w:val="24"/>
        </w:rPr>
        <w:t>10000</w:t>
      </w:r>
      <w:r>
        <w:rPr>
          <w:rFonts w:hint="eastAsia" w:asciiTheme="minorEastAsia" w:hAnsiTheme="minorEastAsia" w:eastAsiaTheme="minorEastAsia" w:cstheme="minorEastAsia"/>
          <w:color w:val="auto"/>
          <w:spacing w:val="10"/>
          <w:sz w:val="24"/>
          <w:szCs w:val="24"/>
        </w:rPr>
        <w:t>=</w:t>
      </w:r>
      <w:r>
        <w:rPr>
          <w:rFonts w:asciiTheme="minorEastAsia" w:hAnsiTheme="minorEastAsia" w:eastAsiaTheme="minorEastAsia" w:cstheme="minorEastAsia"/>
          <w:color w:val="auto"/>
          <w:sz w:val="24"/>
          <w:szCs w:val="24"/>
          <w:lang w:val="en-US"/>
        </w:rPr>
        <w:t>128.16</w:t>
      </w:r>
      <w:r>
        <w:rPr>
          <w:rFonts w:hint="eastAsia" w:asciiTheme="minorEastAsia" w:hAnsiTheme="minorEastAsia" w:eastAsiaTheme="minorEastAsia" w:cstheme="minorEastAsia"/>
          <w:color w:val="auto"/>
          <w:sz w:val="24"/>
          <w:szCs w:val="24"/>
        </w:rPr>
        <w:t>万元。</w:t>
      </w:r>
    </w:p>
    <w:p>
      <w:pPr>
        <w:pStyle w:val="32"/>
        <w:numPr>
          <w:ilvl w:val="2"/>
          <w:numId w:val="90"/>
        </w:numPr>
        <w:tabs>
          <w:tab w:val="left" w:pos="1659"/>
        </w:tabs>
        <w:spacing w:line="500" w:lineRule="exact"/>
        <w:jc w:val="both"/>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rPr>
        <w:t>工资及福利</w:t>
      </w:r>
    </w:p>
    <w:p>
      <w:pPr>
        <w:pStyle w:val="10"/>
        <w:spacing w:line="500" w:lineRule="exact"/>
        <w:ind w:firstLine="444"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9"/>
          <w:sz w:val="24"/>
          <w:szCs w:val="24"/>
        </w:rPr>
        <w:t xml:space="preserve">本项目编制人员共 </w:t>
      </w:r>
      <w:r>
        <w:rPr>
          <w:rFonts w:hint="eastAsia" w:asciiTheme="minorEastAsia" w:hAnsiTheme="minorEastAsia" w:eastAsiaTheme="minorEastAsia" w:cstheme="minorEastAsia"/>
          <w:color w:val="auto"/>
          <w:spacing w:val="-6"/>
          <w:sz w:val="24"/>
          <w:szCs w:val="24"/>
          <w:lang w:val="en-US"/>
        </w:rPr>
        <w:t>20</w:t>
      </w:r>
      <w:r>
        <w:rPr>
          <w:rFonts w:hint="eastAsia" w:asciiTheme="minorEastAsia" w:hAnsiTheme="minorEastAsia" w:eastAsiaTheme="minorEastAsia" w:cstheme="minorEastAsia"/>
          <w:color w:val="auto"/>
          <w:spacing w:val="-23"/>
          <w:sz w:val="24"/>
          <w:szCs w:val="24"/>
        </w:rPr>
        <w:t xml:space="preserve">人，人均工资及福利按 </w:t>
      </w:r>
      <w:r>
        <w:rPr>
          <w:rFonts w:hint="eastAsia" w:asciiTheme="minorEastAsia" w:hAnsiTheme="minorEastAsia" w:eastAsiaTheme="minorEastAsia" w:cstheme="minorEastAsia"/>
          <w:color w:val="auto"/>
          <w:sz w:val="24"/>
          <w:szCs w:val="24"/>
        </w:rPr>
        <w:t>6万元/人</w:t>
      </w:r>
      <w:r>
        <w:rPr>
          <w:rFonts w:hint="eastAsia" w:asciiTheme="minorEastAsia" w:hAnsiTheme="minorEastAsia" w:eastAsiaTheme="minorEastAsia" w:cstheme="minorEastAsia"/>
          <w:color w:val="auto"/>
          <w:spacing w:val="-141"/>
          <w:sz w:val="24"/>
          <w:szCs w:val="24"/>
        </w:rPr>
        <w:t>·</w:t>
      </w:r>
      <w:r>
        <w:rPr>
          <w:rFonts w:hint="eastAsia" w:asciiTheme="minorEastAsia" w:hAnsiTheme="minorEastAsia" w:eastAsiaTheme="minorEastAsia" w:cstheme="minorEastAsia"/>
          <w:color w:val="auto"/>
          <w:sz w:val="24"/>
          <w:szCs w:val="24"/>
        </w:rPr>
        <w:t>年计算，</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年工资福利为：</w:t>
      </w:r>
      <w:r>
        <w:rPr>
          <w:rFonts w:hint="eastAsia" w:asciiTheme="minorEastAsia" w:hAnsiTheme="minorEastAsia" w:eastAsiaTheme="minorEastAsia" w:cstheme="minorEastAsia"/>
          <w:color w:val="auto"/>
          <w:sz w:val="24"/>
          <w:szCs w:val="24"/>
          <w:lang w:val="en-US"/>
        </w:rPr>
        <w:t>20</w:t>
      </w:r>
      <w:r>
        <w:rPr>
          <w:rFonts w:hint="eastAsia" w:asciiTheme="minorEastAsia" w:hAnsiTheme="minorEastAsia" w:eastAsiaTheme="minorEastAsia" w:cstheme="minorEastAsia"/>
          <w:color w:val="auto"/>
          <w:sz w:val="24"/>
          <w:szCs w:val="24"/>
        </w:rPr>
        <w:t>×6=</w:t>
      </w:r>
      <w:r>
        <w:rPr>
          <w:rFonts w:hint="eastAsia" w:asciiTheme="minorEastAsia" w:hAnsiTheme="minorEastAsia" w:eastAsiaTheme="minorEastAsia" w:cstheme="minorEastAsia"/>
          <w:color w:val="auto"/>
          <w:sz w:val="24"/>
          <w:szCs w:val="24"/>
          <w:lang w:val="en-US"/>
        </w:rPr>
        <w:t>120</w:t>
      </w:r>
      <w:r>
        <w:rPr>
          <w:rFonts w:hint="eastAsia" w:asciiTheme="minorEastAsia" w:hAnsiTheme="minorEastAsia" w:eastAsiaTheme="minorEastAsia" w:cstheme="minorEastAsia"/>
          <w:color w:val="auto"/>
          <w:sz w:val="24"/>
          <w:szCs w:val="24"/>
        </w:rPr>
        <w:t>万元。</w:t>
      </w:r>
    </w:p>
    <w:p>
      <w:pPr>
        <w:pStyle w:val="32"/>
        <w:numPr>
          <w:ilvl w:val="2"/>
          <w:numId w:val="90"/>
        </w:numPr>
        <w:tabs>
          <w:tab w:val="left" w:pos="1659"/>
        </w:tabs>
        <w:spacing w:line="500" w:lineRule="exact"/>
        <w:jc w:val="both"/>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rPr>
        <w:t>水费</w:t>
      </w:r>
    </w:p>
    <w:p>
      <w:pPr>
        <w:pStyle w:val="10"/>
        <w:spacing w:line="500" w:lineRule="exact"/>
        <w:ind w:firstLine="452"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7"/>
          <w:sz w:val="24"/>
          <w:szCs w:val="24"/>
        </w:rPr>
        <w:t>农村污水处理设施的主要用水点为清洗格栅、稀释药剂等，</w:t>
      </w:r>
      <w:r>
        <w:rPr>
          <w:rFonts w:hint="eastAsia" w:asciiTheme="minorEastAsia" w:hAnsiTheme="minorEastAsia" w:eastAsiaTheme="minorEastAsia" w:cstheme="minorEastAsia"/>
          <w:color w:val="auto"/>
          <w:spacing w:val="-10"/>
          <w:sz w:val="24"/>
          <w:szCs w:val="24"/>
        </w:rPr>
        <w:t>平均自用水率按农村污水处理设施处理规模的</w:t>
      </w:r>
      <w:r>
        <w:rPr>
          <w:rFonts w:hint="eastAsia" w:asciiTheme="minorEastAsia" w:hAnsiTheme="minorEastAsia" w:eastAsiaTheme="minorEastAsia" w:cstheme="minorEastAsia"/>
          <w:color w:val="auto"/>
          <w:sz w:val="24"/>
          <w:szCs w:val="24"/>
        </w:rPr>
        <w:t>1%计算，估算耗水量为</w:t>
      </w:r>
      <w:r>
        <w:rPr>
          <w:rFonts w:hint="eastAsia" w:asciiTheme="minorEastAsia" w:hAnsiTheme="minorEastAsia" w:eastAsiaTheme="minorEastAsia" w:cstheme="minorEastAsia"/>
          <w:color w:val="auto"/>
          <w:sz w:val="24"/>
          <w:szCs w:val="24"/>
          <w:lang w:val="en-US"/>
        </w:rPr>
        <w:t>115.4</w:t>
      </w:r>
      <w:r>
        <w:rPr>
          <w:rFonts w:hint="eastAsia" w:asciiTheme="minorEastAsia" w:hAnsiTheme="minorEastAsia" w:eastAsiaTheme="minorEastAsia" w:cstheme="minorEastAsia"/>
          <w:color w:val="auto"/>
          <w:sz w:val="24"/>
          <w:szCs w:val="24"/>
        </w:rPr>
        <w:t>m³/d，每年水费为</w:t>
      </w:r>
      <w:r>
        <w:rPr>
          <w:rFonts w:hint="eastAsia" w:asciiTheme="minorEastAsia" w:hAnsiTheme="minorEastAsia" w:eastAsiaTheme="minorEastAsia" w:cstheme="minorEastAsia"/>
          <w:color w:val="auto"/>
          <w:sz w:val="24"/>
          <w:szCs w:val="24"/>
          <w:lang w:val="en-US"/>
        </w:rPr>
        <w:t>5.49</w:t>
      </w:r>
      <w:r>
        <w:rPr>
          <w:rFonts w:hint="eastAsia" w:asciiTheme="minorEastAsia" w:hAnsiTheme="minorEastAsia" w:eastAsiaTheme="minorEastAsia" w:cstheme="minorEastAsia"/>
          <w:color w:val="auto"/>
          <w:sz w:val="24"/>
          <w:szCs w:val="24"/>
        </w:rPr>
        <w:t>万元/年，具体计算见下表。</w:t>
      </w:r>
    </w:p>
    <w:p>
      <w:pPr>
        <w:pStyle w:val="11"/>
        <w:rPr>
          <w:color w:val="auto"/>
          <w:lang w:val="zh-CN" w:bidi="zh-CN"/>
        </w:rPr>
      </w:pPr>
    </w:p>
    <w:p>
      <w:pPr>
        <w:spacing w:line="500" w:lineRule="exact"/>
        <w:ind w:firstLine="422" w:firstLineChars="200"/>
        <w:jc w:val="center"/>
        <w:rPr>
          <w:rFonts w:ascii="Times New Roman" w:hAnsi="Times New Roman" w:eastAsia="宋体" w:cs="Times New Roman"/>
          <w:b/>
          <w:bCs/>
          <w:iCs/>
          <w:color w:val="auto"/>
          <w:sz w:val="21"/>
          <w:szCs w:val="20"/>
        </w:rPr>
      </w:pPr>
      <w:r>
        <w:rPr>
          <w:rFonts w:hint="eastAsia" w:ascii="Times New Roman" w:hAnsi="Times New Roman" w:eastAsia="宋体" w:cs="Times New Roman"/>
          <w:b/>
          <w:bCs/>
          <w:iCs/>
          <w:color w:val="auto"/>
          <w:sz w:val="21"/>
          <w:szCs w:val="20"/>
        </w:rPr>
        <w:t>表1</w:t>
      </w:r>
      <w:r>
        <w:rPr>
          <w:rFonts w:hint="eastAsia" w:ascii="Times New Roman" w:hAnsi="Times New Roman" w:eastAsia="宋体" w:cs="Times New Roman"/>
          <w:b/>
          <w:bCs/>
          <w:iCs/>
          <w:color w:val="auto"/>
          <w:sz w:val="21"/>
          <w:szCs w:val="20"/>
          <w:lang w:val="en-US" w:eastAsia="zh-CN"/>
        </w:rPr>
        <w:t>3</w:t>
      </w:r>
      <w:r>
        <w:rPr>
          <w:rFonts w:hint="eastAsia" w:ascii="Times New Roman" w:hAnsi="Times New Roman" w:eastAsia="宋体" w:cs="Times New Roman"/>
          <w:b/>
          <w:bCs/>
          <w:iCs/>
          <w:color w:val="auto"/>
          <w:sz w:val="21"/>
          <w:szCs w:val="20"/>
        </w:rPr>
        <w:t>.3-1</w:t>
      </w:r>
      <w:r>
        <w:rPr>
          <w:rFonts w:hint="eastAsia" w:ascii="Times New Roman" w:hAnsi="Times New Roman" w:eastAsia="宋体" w:cs="Times New Roman"/>
          <w:b/>
          <w:bCs/>
          <w:iCs/>
          <w:color w:val="auto"/>
          <w:sz w:val="21"/>
          <w:szCs w:val="20"/>
          <w:lang w:val="en-US"/>
        </w:rPr>
        <w:t xml:space="preserve">  </w:t>
      </w:r>
      <w:r>
        <w:rPr>
          <w:rFonts w:hint="eastAsia" w:ascii="Times New Roman" w:hAnsi="Times New Roman" w:eastAsia="宋体" w:cs="Times New Roman"/>
          <w:b/>
          <w:bCs/>
          <w:iCs/>
          <w:color w:val="auto"/>
          <w:sz w:val="21"/>
          <w:szCs w:val="20"/>
        </w:rPr>
        <w:t>本项目年水费计算表</w:t>
      </w:r>
    </w:p>
    <w:tbl>
      <w:tblPr>
        <w:tblStyle w:val="27"/>
        <w:tblW w:w="8521" w:type="dxa"/>
        <w:jc w:val="center"/>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817"/>
        <w:gridCol w:w="1418"/>
        <w:gridCol w:w="1599"/>
        <w:gridCol w:w="1377"/>
        <w:gridCol w:w="1560"/>
        <w:gridCol w:w="1750"/>
      </w:tblGrid>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978" w:hRule="atLeast"/>
          <w:jc w:val="center"/>
        </w:trPr>
        <w:tc>
          <w:tcPr>
            <w:tcW w:w="817" w:type="dxa"/>
            <w:vAlign w:val="center"/>
          </w:tcPr>
          <w:p>
            <w:pPr>
              <w:pStyle w:val="33"/>
              <w:spacing w:line="4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序号</w:t>
            </w:r>
          </w:p>
        </w:tc>
        <w:tc>
          <w:tcPr>
            <w:tcW w:w="1418" w:type="dxa"/>
            <w:vAlign w:val="center"/>
          </w:tcPr>
          <w:p>
            <w:pPr>
              <w:pStyle w:val="33"/>
              <w:spacing w:line="4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镇别</w:t>
            </w:r>
          </w:p>
        </w:tc>
        <w:tc>
          <w:tcPr>
            <w:tcW w:w="1599" w:type="dxa"/>
            <w:vAlign w:val="center"/>
          </w:tcPr>
          <w:p>
            <w:pPr>
              <w:pStyle w:val="33"/>
              <w:spacing w:line="4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设计处理</w:t>
            </w:r>
          </w:p>
          <w:p>
            <w:pPr>
              <w:pStyle w:val="33"/>
              <w:spacing w:line="4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pacing w:val="-50"/>
                <w:sz w:val="21"/>
                <w:szCs w:val="21"/>
              </w:rPr>
              <w:t>规模</w:t>
            </w:r>
            <w:r>
              <w:rPr>
                <w:rFonts w:hint="eastAsia" w:asciiTheme="minorEastAsia" w:hAnsiTheme="minorEastAsia" w:eastAsiaTheme="minorEastAsia" w:cstheme="minorEastAsia"/>
                <w:b/>
                <w:color w:val="auto"/>
                <w:sz w:val="21"/>
                <w:szCs w:val="21"/>
              </w:rPr>
              <w:t>（m³</w:t>
            </w:r>
            <w:r>
              <w:rPr>
                <w:rFonts w:hint="eastAsia" w:asciiTheme="minorEastAsia" w:hAnsiTheme="minorEastAsia" w:eastAsiaTheme="minorEastAsia" w:cstheme="minorEastAsia"/>
                <w:b/>
                <w:color w:val="auto"/>
                <w:sz w:val="21"/>
                <w:szCs w:val="21"/>
                <w:vertAlign w:val="superscript"/>
              </w:rPr>
              <w:t>/</w:t>
            </w:r>
            <w:r>
              <w:rPr>
                <w:rFonts w:hint="eastAsia" w:asciiTheme="minorEastAsia" w:hAnsiTheme="minorEastAsia" w:eastAsiaTheme="minorEastAsia" w:cstheme="minorEastAsia"/>
                <w:b/>
                <w:color w:val="auto"/>
                <w:sz w:val="21"/>
                <w:szCs w:val="21"/>
              </w:rPr>
              <w:t>d）</w:t>
            </w:r>
          </w:p>
        </w:tc>
        <w:tc>
          <w:tcPr>
            <w:tcW w:w="1377" w:type="dxa"/>
            <w:vAlign w:val="center"/>
          </w:tcPr>
          <w:p>
            <w:pPr>
              <w:pStyle w:val="33"/>
              <w:spacing w:line="4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年耗水量</w:t>
            </w:r>
          </w:p>
          <w:p>
            <w:pPr>
              <w:pStyle w:val="33"/>
              <w:spacing w:line="4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w w:val="95"/>
                <w:sz w:val="21"/>
                <w:szCs w:val="21"/>
              </w:rPr>
              <w:t>（m³/年）</w:t>
            </w:r>
          </w:p>
        </w:tc>
        <w:tc>
          <w:tcPr>
            <w:tcW w:w="1560" w:type="dxa"/>
            <w:vAlign w:val="center"/>
          </w:tcPr>
          <w:p>
            <w:pPr>
              <w:pStyle w:val="33"/>
              <w:spacing w:line="4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自来水单价</w:t>
            </w:r>
          </w:p>
          <w:p>
            <w:pPr>
              <w:pStyle w:val="33"/>
              <w:spacing w:line="4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w w:val="95"/>
                <w:sz w:val="21"/>
                <w:szCs w:val="21"/>
              </w:rPr>
              <w:t>（元/m³）</w:t>
            </w:r>
          </w:p>
        </w:tc>
        <w:tc>
          <w:tcPr>
            <w:tcW w:w="1750" w:type="dxa"/>
            <w:vAlign w:val="center"/>
          </w:tcPr>
          <w:p>
            <w:pPr>
              <w:pStyle w:val="33"/>
              <w:spacing w:line="4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年水费</w:t>
            </w:r>
          </w:p>
          <w:p>
            <w:pPr>
              <w:pStyle w:val="33"/>
              <w:spacing w:line="4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（万元/年）</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489" w:hRule="atLeast"/>
          <w:jc w:val="center"/>
        </w:trPr>
        <w:tc>
          <w:tcPr>
            <w:tcW w:w="817"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w:t>
            </w:r>
          </w:p>
        </w:tc>
        <w:tc>
          <w:tcPr>
            <w:tcW w:w="1418"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泗纶镇</w:t>
            </w:r>
          </w:p>
        </w:tc>
        <w:tc>
          <w:tcPr>
            <w:tcW w:w="1599"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910</w:t>
            </w:r>
          </w:p>
        </w:tc>
        <w:tc>
          <w:tcPr>
            <w:tcW w:w="1377"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3321.5</w:t>
            </w:r>
          </w:p>
        </w:tc>
        <w:tc>
          <w:tcPr>
            <w:tcW w:w="1560" w:type="dxa"/>
            <w:vAlign w:val="center"/>
          </w:tcPr>
          <w:p>
            <w:pPr>
              <w:pStyle w:val="33"/>
              <w:spacing w:line="400" w:lineRule="exact"/>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rPr>
              <w:t>1</w:t>
            </w:r>
            <w:r>
              <w:rPr>
                <w:rFonts w:hint="eastAsia" w:asciiTheme="minorEastAsia" w:hAnsiTheme="minorEastAsia" w:eastAsiaTheme="minorEastAsia" w:cstheme="minorEastAsia"/>
                <w:color w:val="auto"/>
                <w:sz w:val="21"/>
                <w:szCs w:val="21"/>
                <w:lang w:val="en-US"/>
              </w:rPr>
              <w:t>.2</w:t>
            </w:r>
          </w:p>
        </w:tc>
        <w:tc>
          <w:tcPr>
            <w:tcW w:w="1750"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0.40</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489" w:hRule="atLeast"/>
          <w:jc w:val="center"/>
        </w:trPr>
        <w:tc>
          <w:tcPr>
            <w:tcW w:w="817"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w:t>
            </w:r>
          </w:p>
        </w:tc>
        <w:tc>
          <w:tcPr>
            <w:tcW w:w="1418"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双东街道</w:t>
            </w:r>
          </w:p>
        </w:tc>
        <w:tc>
          <w:tcPr>
            <w:tcW w:w="1599"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500</w:t>
            </w:r>
          </w:p>
        </w:tc>
        <w:tc>
          <w:tcPr>
            <w:tcW w:w="1377"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1825</w:t>
            </w:r>
          </w:p>
        </w:tc>
        <w:tc>
          <w:tcPr>
            <w:tcW w:w="1560" w:type="dxa"/>
            <w:vAlign w:val="center"/>
          </w:tcPr>
          <w:p>
            <w:pPr>
              <w:pStyle w:val="33"/>
              <w:spacing w:line="400" w:lineRule="exact"/>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1.2</w:t>
            </w:r>
          </w:p>
        </w:tc>
        <w:tc>
          <w:tcPr>
            <w:tcW w:w="1750"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0.22</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488" w:hRule="atLeast"/>
          <w:jc w:val="center"/>
        </w:trPr>
        <w:tc>
          <w:tcPr>
            <w:tcW w:w="817"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3</w:t>
            </w:r>
          </w:p>
        </w:tc>
        <w:tc>
          <w:tcPr>
            <w:tcW w:w="1418"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生江镇</w:t>
            </w:r>
          </w:p>
        </w:tc>
        <w:tc>
          <w:tcPr>
            <w:tcW w:w="1599"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200</w:t>
            </w:r>
          </w:p>
        </w:tc>
        <w:tc>
          <w:tcPr>
            <w:tcW w:w="1377"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730</w:t>
            </w:r>
          </w:p>
        </w:tc>
        <w:tc>
          <w:tcPr>
            <w:tcW w:w="1560" w:type="dxa"/>
            <w:vAlign w:val="center"/>
          </w:tcPr>
          <w:p>
            <w:pPr>
              <w:pStyle w:val="33"/>
              <w:spacing w:line="400" w:lineRule="exact"/>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1.2</w:t>
            </w:r>
          </w:p>
        </w:tc>
        <w:tc>
          <w:tcPr>
            <w:tcW w:w="1750"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0.09</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488" w:hRule="atLeast"/>
          <w:jc w:val="center"/>
        </w:trPr>
        <w:tc>
          <w:tcPr>
            <w:tcW w:w="817" w:type="dxa"/>
            <w:vAlign w:val="center"/>
          </w:tcPr>
          <w:p>
            <w:pPr>
              <w:pStyle w:val="33"/>
              <w:spacing w:line="400" w:lineRule="exact"/>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4</w:t>
            </w:r>
          </w:p>
        </w:tc>
        <w:tc>
          <w:tcPr>
            <w:tcW w:w="1418"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苹塘镇</w:t>
            </w:r>
          </w:p>
        </w:tc>
        <w:tc>
          <w:tcPr>
            <w:tcW w:w="1599"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400</w:t>
            </w:r>
          </w:p>
        </w:tc>
        <w:tc>
          <w:tcPr>
            <w:tcW w:w="1377"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1460</w:t>
            </w:r>
          </w:p>
        </w:tc>
        <w:tc>
          <w:tcPr>
            <w:tcW w:w="1560"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w:t>
            </w:r>
            <w:r>
              <w:rPr>
                <w:rFonts w:hint="eastAsia" w:asciiTheme="minorEastAsia" w:hAnsiTheme="minorEastAsia" w:eastAsiaTheme="minorEastAsia" w:cstheme="minorEastAsia"/>
                <w:color w:val="auto"/>
                <w:sz w:val="21"/>
                <w:szCs w:val="21"/>
                <w:lang w:val="en-US"/>
              </w:rPr>
              <w:t>.2</w:t>
            </w:r>
          </w:p>
        </w:tc>
        <w:tc>
          <w:tcPr>
            <w:tcW w:w="1750"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0.18</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488" w:hRule="atLeast"/>
          <w:jc w:val="center"/>
        </w:trPr>
        <w:tc>
          <w:tcPr>
            <w:tcW w:w="817" w:type="dxa"/>
            <w:vAlign w:val="center"/>
          </w:tcPr>
          <w:p>
            <w:pPr>
              <w:pStyle w:val="33"/>
              <w:spacing w:line="400" w:lineRule="exact"/>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5</w:t>
            </w:r>
          </w:p>
        </w:tc>
        <w:tc>
          <w:tcPr>
            <w:tcW w:w="1418"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满塘镇</w:t>
            </w:r>
          </w:p>
        </w:tc>
        <w:tc>
          <w:tcPr>
            <w:tcW w:w="1599"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400</w:t>
            </w:r>
          </w:p>
        </w:tc>
        <w:tc>
          <w:tcPr>
            <w:tcW w:w="1377"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1460</w:t>
            </w:r>
          </w:p>
        </w:tc>
        <w:tc>
          <w:tcPr>
            <w:tcW w:w="1560"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w:t>
            </w:r>
            <w:r>
              <w:rPr>
                <w:rFonts w:hint="eastAsia" w:asciiTheme="minorEastAsia" w:hAnsiTheme="minorEastAsia" w:eastAsiaTheme="minorEastAsia" w:cstheme="minorEastAsia"/>
                <w:color w:val="auto"/>
                <w:sz w:val="21"/>
                <w:szCs w:val="21"/>
                <w:lang w:val="en-US"/>
              </w:rPr>
              <w:t>.2</w:t>
            </w:r>
          </w:p>
        </w:tc>
        <w:tc>
          <w:tcPr>
            <w:tcW w:w="1750"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0.18</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488" w:hRule="atLeast"/>
          <w:jc w:val="center"/>
        </w:trPr>
        <w:tc>
          <w:tcPr>
            <w:tcW w:w="817" w:type="dxa"/>
            <w:vAlign w:val="center"/>
          </w:tcPr>
          <w:p>
            <w:pPr>
              <w:pStyle w:val="33"/>
              <w:spacing w:line="400" w:lineRule="exact"/>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6</w:t>
            </w:r>
          </w:p>
        </w:tc>
        <w:tc>
          <w:tcPr>
            <w:tcW w:w="1418"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罗平镇</w:t>
            </w:r>
          </w:p>
        </w:tc>
        <w:tc>
          <w:tcPr>
            <w:tcW w:w="1599"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2200</w:t>
            </w:r>
          </w:p>
        </w:tc>
        <w:tc>
          <w:tcPr>
            <w:tcW w:w="1377"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8030</w:t>
            </w:r>
          </w:p>
        </w:tc>
        <w:tc>
          <w:tcPr>
            <w:tcW w:w="1560"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w:t>
            </w:r>
            <w:r>
              <w:rPr>
                <w:rFonts w:hint="eastAsia" w:asciiTheme="minorEastAsia" w:hAnsiTheme="minorEastAsia" w:eastAsiaTheme="minorEastAsia" w:cstheme="minorEastAsia"/>
                <w:color w:val="auto"/>
                <w:sz w:val="21"/>
                <w:szCs w:val="21"/>
                <w:lang w:val="en-US"/>
              </w:rPr>
              <w:t>.2</w:t>
            </w:r>
          </w:p>
        </w:tc>
        <w:tc>
          <w:tcPr>
            <w:tcW w:w="1750"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0.96</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488" w:hRule="atLeast"/>
          <w:jc w:val="center"/>
        </w:trPr>
        <w:tc>
          <w:tcPr>
            <w:tcW w:w="817" w:type="dxa"/>
            <w:vAlign w:val="center"/>
          </w:tcPr>
          <w:p>
            <w:pPr>
              <w:pStyle w:val="33"/>
              <w:spacing w:line="400" w:lineRule="exact"/>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7</w:t>
            </w:r>
          </w:p>
        </w:tc>
        <w:tc>
          <w:tcPr>
            <w:tcW w:w="1418"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罗镜镇</w:t>
            </w:r>
          </w:p>
        </w:tc>
        <w:tc>
          <w:tcPr>
            <w:tcW w:w="1599"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580</w:t>
            </w:r>
          </w:p>
        </w:tc>
        <w:tc>
          <w:tcPr>
            <w:tcW w:w="1377"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2117</w:t>
            </w:r>
          </w:p>
        </w:tc>
        <w:tc>
          <w:tcPr>
            <w:tcW w:w="1560"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w:t>
            </w:r>
            <w:r>
              <w:rPr>
                <w:rFonts w:hint="eastAsia" w:asciiTheme="minorEastAsia" w:hAnsiTheme="minorEastAsia" w:eastAsiaTheme="minorEastAsia" w:cstheme="minorEastAsia"/>
                <w:color w:val="auto"/>
                <w:sz w:val="21"/>
                <w:szCs w:val="21"/>
                <w:lang w:val="en-US"/>
              </w:rPr>
              <w:t>.2</w:t>
            </w:r>
          </w:p>
        </w:tc>
        <w:tc>
          <w:tcPr>
            <w:tcW w:w="1750"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0.25</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488" w:hRule="atLeast"/>
          <w:jc w:val="center"/>
        </w:trPr>
        <w:tc>
          <w:tcPr>
            <w:tcW w:w="817" w:type="dxa"/>
            <w:vAlign w:val="center"/>
          </w:tcPr>
          <w:p>
            <w:pPr>
              <w:pStyle w:val="33"/>
              <w:spacing w:line="400" w:lineRule="exact"/>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8</w:t>
            </w:r>
          </w:p>
        </w:tc>
        <w:tc>
          <w:tcPr>
            <w:tcW w:w="1418"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龙湾镇</w:t>
            </w:r>
          </w:p>
        </w:tc>
        <w:tc>
          <w:tcPr>
            <w:tcW w:w="1599"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230</w:t>
            </w:r>
          </w:p>
        </w:tc>
        <w:tc>
          <w:tcPr>
            <w:tcW w:w="1377"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839.5</w:t>
            </w:r>
          </w:p>
        </w:tc>
        <w:tc>
          <w:tcPr>
            <w:tcW w:w="1560"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w:t>
            </w:r>
            <w:r>
              <w:rPr>
                <w:rFonts w:hint="eastAsia" w:asciiTheme="minorEastAsia" w:hAnsiTheme="minorEastAsia" w:eastAsiaTheme="minorEastAsia" w:cstheme="minorEastAsia"/>
                <w:color w:val="auto"/>
                <w:sz w:val="21"/>
                <w:szCs w:val="21"/>
                <w:lang w:val="en-US"/>
              </w:rPr>
              <w:t>.2</w:t>
            </w:r>
          </w:p>
        </w:tc>
        <w:tc>
          <w:tcPr>
            <w:tcW w:w="1750"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0.10</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488" w:hRule="atLeast"/>
          <w:jc w:val="center"/>
        </w:trPr>
        <w:tc>
          <w:tcPr>
            <w:tcW w:w="817" w:type="dxa"/>
            <w:vAlign w:val="center"/>
          </w:tcPr>
          <w:p>
            <w:pPr>
              <w:pStyle w:val="33"/>
              <w:spacing w:line="400" w:lineRule="exact"/>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9</w:t>
            </w:r>
          </w:p>
        </w:tc>
        <w:tc>
          <w:tcPr>
            <w:tcW w:w="1418"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连州镇</w:t>
            </w:r>
          </w:p>
        </w:tc>
        <w:tc>
          <w:tcPr>
            <w:tcW w:w="1599"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470</w:t>
            </w:r>
          </w:p>
        </w:tc>
        <w:tc>
          <w:tcPr>
            <w:tcW w:w="1377"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1715.5</w:t>
            </w:r>
          </w:p>
        </w:tc>
        <w:tc>
          <w:tcPr>
            <w:tcW w:w="1560"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w:t>
            </w:r>
            <w:r>
              <w:rPr>
                <w:rFonts w:hint="eastAsia" w:asciiTheme="minorEastAsia" w:hAnsiTheme="minorEastAsia" w:eastAsiaTheme="minorEastAsia" w:cstheme="minorEastAsia"/>
                <w:color w:val="auto"/>
                <w:sz w:val="21"/>
                <w:szCs w:val="21"/>
                <w:lang w:val="en-US"/>
              </w:rPr>
              <w:t>.2</w:t>
            </w:r>
          </w:p>
        </w:tc>
        <w:tc>
          <w:tcPr>
            <w:tcW w:w="1750"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0.21</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488" w:hRule="atLeast"/>
          <w:jc w:val="center"/>
        </w:trPr>
        <w:tc>
          <w:tcPr>
            <w:tcW w:w="817" w:type="dxa"/>
            <w:vAlign w:val="center"/>
          </w:tcPr>
          <w:p>
            <w:pPr>
              <w:pStyle w:val="33"/>
              <w:spacing w:line="400" w:lineRule="exact"/>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10</w:t>
            </w:r>
          </w:p>
        </w:tc>
        <w:tc>
          <w:tcPr>
            <w:tcW w:w="1418"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黎少镇</w:t>
            </w:r>
          </w:p>
        </w:tc>
        <w:tc>
          <w:tcPr>
            <w:tcW w:w="1599"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260</w:t>
            </w:r>
          </w:p>
        </w:tc>
        <w:tc>
          <w:tcPr>
            <w:tcW w:w="1377"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949</w:t>
            </w:r>
          </w:p>
        </w:tc>
        <w:tc>
          <w:tcPr>
            <w:tcW w:w="1560"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w:t>
            </w:r>
            <w:r>
              <w:rPr>
                <w:rFonts w:hint="eastAsia" w:asciiTheme="minorEastAsia" w:hAnsiTheme="minorEastAsia" w:eastAsiaTheme="minorEastAsia" w:cstheme="minorEastAsia"/>
                <w:color w:val="auto"/>
                <w:sz w:val="21"/>
                <w:szCs w:val="21"/>
                <w:lang w:val="en-US"/>
              </w:rPr>
              <w:t>.2</w:t>
            </w:r>
          </w:p>
        </w:tc>
        <w:tc>
          <w:tcPr>
            <w:tcW w:w="1750"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0.11</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488" w:hRule="atLeast"/>
          <w:jc w:val="center"/>
        </w:trPr>
        <w:tc>
          <w:tcPr>
            <w:tcW w:w="817" w:type="dxa"/>
            <w:vAlign w:val="center"/>
          </w:tcPr>
          <w:p>
            <w:pPr>
              <w:pStyle w:val="33"/>
              <w:spacing w:line="400" w:lineRule="exact"/>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11</w:t>
            </w:r>
          </w:p>
        </w:tc>
        <w:tc>
          <w:tcPr>
            <w:tcW w:w="1418"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金鸡镇</w:t>
            </w:r>
          </w:p>
        </w:tc>
        <w:tc>
          <w:tcPr>
            <w:tcW w:w="1599"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140</w:t>
            </w:r>
          </w:p>
        </w:tc>
        <w:tc>
          <w:tcPr>
            <w:tcW w:w="1377"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511</w:t>
            </w:r>
          </w:p>
        </w:tc>
        <w:tc>
          <w:tcPr>
            <w:tcW w:w="1560"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w:t>
            </w:r>
            <w:r>
              <w:rPr>
                <w:rFonts w:hint="eastAsia" w:asciiTheme="minorEastAsia" w:hAnsiTheme="minorEastAsia" w:eastAsiaTheme="minorEastAsia" w:cstheme="minorEastAsia"/>
                <w:color w:val="auto"/>
                <w:sz w:val="21"/>
                <w:szCs w:val="21"/>
                <w:lang w:val="en-US"/>
              </w:rPr>
              <w:t>.2</w:t>
            </w:r>
          </w:p>
        </w:tc>
        <w:tc>
          <w:tcPr>
            <w:tcW w:w="1750"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0.06</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488" w:hRule="atLeast"/>
          <w:jc w:val="center"/>
        </w:trPr>
        <w:tc>
          <w:tcPr>
            <w:tcW w:w="817" w:type="dxa"/>
            <w:vAlign w:val="center"/>
          </w:tcPr>
          <w:p>
            <w:pPr>
              <w:pStyle w:val="33"/>
              <w:spacing w:line="400" w:lineRule="exact"/>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12</w:t>
            </w:r>
          </w:p>
        </w:tc>
        <w:tc>
          <w:tcPr>
            <w:tcW w:w="1418"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加益镇</w:t>
            </w:r>
          </w:p>
        </w:tc>
        <w:tc>
          <w:tcPr>
            <w:tcW w:w="1599"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90</w:t>
            </w:r>
          </w:p>
        </w:tc>
        <w:tc>
          <w:tcPr>
            <w:tcW w:w="1377"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328.5</w:t>
            </w:r>
          </w:p>
        </w:tc>
        <w:tc>
          <w:tcPr>
            <w:tcW w:w="1560"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w:t>
            </w:r>
            <w:r>
              <w:rPr>
                <w:rFonts w:hint="eastAsia" w:asciiTheme="minorEastAsia" w:hAnsiTheme="minorEastAsia" w:eastAsiaTheme="minorEastAsia" w:cstheme="minorEastAsia"/>
                <w:color w:val="auto"/>
                <w:sz w:val="21"/>
                <w:szCs w:val="21"/>
                <w:lang w:val="en-US"/>
              </w:rPr>
              <w:t>.2</w:t>
            </w:r>
          </w:p>
        </w:tc>
        <w:tc>
          <w:tcPr>
            <w:tcW w:w="1750"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0.04</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488" w:hRule="atLeast"/>
          <w:jc w:val="center"/>
        </w:trPr>
        <w:tc>
          <w:tcPr>
            <w:tcW w:w="817" w:type="dxa"/>
            <w:vAlign w:val="center"/>
          </w:tcPr>
          <w:p>
            <w:pPr>
              <w:pStyle w:val="33"/>
              <w:spacing w:line="400" w:lineRule="exact"/>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13</w:t>
            </w:r>
          </w:p>
        </w:tc>
        <w:tc>
          <w:tcPr>
            <w:tcW w:w="1418"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华石镇</w:t>
            </w:r>
          </w:p>
        </w:tc>
        <w:tc>
          <w:tcPr>
            <w:tcW w:w="1599"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360</w:t>
            </w:r>
          </w:p>
        </w:tc>
        <w:tc>
          <w:tcPr>
            <w:tcW w:w="1377"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1314</w:t>
            </w:r>
          </w:p>
        </w:tc>
        <w:tc>
          <w:tcPr>
            <w:tcW w:w="1560"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w:t>
            </w:r>
            <w:r>
              <w:rPr>
                <w:rFonts w:hint="eastAsia" w:asciiTheme="minorEastAsia" w:hAnsiTheme="minorEastAsia" w:eastAsiaTheme="minorEastAsia" w:cstheme="minorEastAsia"/>
                <w:color w:val="auto"/>
                <w:sz w:val="21"/>
                <w:szCs w:val="21"/>
                <w:lang w:val="en-US"/>
              </w:rPr>
              <w:t>.2</w:t>
            </w:r>
          </w:p>
        </w:tc>
        <w:tc>
          <w:tcPr>
            <w:tcW w:w="1750"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0.16</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488" w:hRule="atLeast"/>
          <w:jc w:val="center"/>
        </w:trPr>
        <w:tc>
          <w:tcPr>
            <w:tcW w:w="817" w:type="dxa"/>
            <w:vAlign w:val="center"/>
          </w:tcPr>
          <w:p>
            <w:pPr>
              <w:pStyle w:val="33"/>
              <w:spacing w:line="400" w:lineRule="exact"/>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14</w:t>
            </w:r>
          </w:p>
        </w:tc>
        <w:tc>
          <w:tcPr>
            <w:tcW w:w="1418"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附城街道</w:t>
            </w:r>
          </w:p>
        </w:tc>
        <w:tc>
          <w:tcPr>
            <w:tcW w:w="1599"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220</w:t>
            </w:r>
          </w:p>
        </w:tc>
        <w:tc>
          <w:tcPr>
            <w:tcW w:w="1377"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803</w:t>
            </w:r>
          </w:p>
        </w:tc>
        <w:tc>
          <w:tcPr>
            <w:tcW w:w="1560"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w:t>
            </w:r>
            <w:r>
              <w:rPr>
                <w:rFonts w:hint="eastAsia" w:asciiTheme="minorEastAsia" w:hAnsiTheme="minorEastAsia" w:eastAsiaTheme="minorEastAsia" w:cstheme="minorEastAsia"/>
                <w:color w:val="auto"/>
                <w:sz w:val="21"/>
                <w:szCs w:val="21"/>
                <w:lang w:val="en-US"/>
              </w:rPr>
              <w:t>.2</w:t>
            </w:r>
          </w:p>
        </w:tc>
        <w:tc>
          <w:tcPr>
            <w:tcW w:w="1750"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0.10</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488" w:hRule="atLeast"/>
          <w:jc w:val="center"/>
        </w:trPr>
        <w:tc>
          <w:tcPr>
            <w:tcW w:w="817" w:type="dxa"/>
            <w:vAlign w:val="center"/>
          </w:tcPr>
          <w:p>
            <w:pPr>
              <w:pStyle w:val="33"/>
              <w:spacing w:line="400" w:lineRule="exact"/>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15</w:t>
            </w:r>
          </w:p>
        </w:tc>
        <w:tc>
          <w:tcPr>
            <w:tcW w:w="1418"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船步镇</w:t>
            </w:r>
          </w:p>
        </w:tc>
        <w:tc>
          <w:tcPr>
            <w:tcW w:w="1599"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930</w:t>
            </w:r>
          </w:p>
        </w:tc>
        <w:tc>
          <w:tcPr>
            <w:tcW w:w="1377"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3394.5</w:t>
            </w:r>
          </w:p>
        </w:tc>
        <w:tc>
          <w:tcPr>
            <w:tcW w:w="1560"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w:t>
            </w:r>
            <w:r>
              <w:rPr>
                <w:rFonts w:hint="eastAsia" w:asciiTheme="minorEastAsia" w:hAnsiTheme="minorEastAsia" w:eastAsiaTheme="minorEastAsia" w:cstheme="minorEastAsia"/>
                <w:color w:val="auto"/>
                <w:sz w:val="21"/>
                <w:szCs w:val="21"/>
                <w:lang w:val="en-US"/>
              </w:rPr>
              <w:t>.2</w:t>
            </w:r>
          </w:p>
        </w:tc>
        <w:tc>
          <w:tcPr>
            <w:tcW w:w="1750"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0.41</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488" w:hRule="atLeast"/>
          <w:jc w:val="center"/>
        </w:trPr>
        <w:tc>
          <w:tcPr>
            <w:tcW w:w="817" w:type="dxa"/>
            <w:vAlign w:val="center"/>
          </w:tcPr>
          <w:p>
            <w:pPr>
              <w:pStyle w:val="33"/>
              <w:spacing w:line="400" w:lineRule="exact"/>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16</w:t>
            </w:r>
          </w:p>
        </w:tc>
        <w:tc>
          <w:tcPr>
            <w:tcW w:w="1418"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分界镇</w:t>
            </w:r>
          </w:p>
        </w:tc>
        <w:tc>
          <w:tcPr>
            <w:tcW w:w="1599"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390</w:t>
            </w:r>
          </w:p>
        </w:tc>
        <w:tc>
          <w:tcPr>
            <w:tcW w:w="1377"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1423.5</w:t>
            </w:r>
          </w:p>
        </w:tc>
        <w:tc>
          <w:tcPr>
            <w:tcW w:w="1560"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w:t>
            </w:r>
            <w:r>
              <w:rPr>
                <w:rFonts w:hint="eastAsia" w:asciiTheme="minorEastAsia" w:hAnsiTheme="minorEastAsia" w:eastAsiaTheme="minorEastAsia" w:cstheme="minorEastAsia"/>
                <w:color w:val="auto"/>
                <w:sz w:val="21"/>
                <w:szCs w:val="21"/>
                <w:lang w:val="en-US"/>
              </w:rPr>
              <w:t>.2</w:t>
            </w:r>
          </w:p>
        </w:tc>
        <w:tc>
          <w:tcPr>
            <w:tcW w:w="1750"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0.17</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488" w:hRule="atLeast"/>
          <w:jc w:val="center"/>
        </w:trPr>
        <w:tc>
          <w:tcPr>
            <w:tcW w:w="817" w:type="dxa"/>
            <w:vAlign w:val="center"/>
          </w:tcPr>
          <w:p>
            <w:pPr>
              <w:pStyle w:val="33"/>
              <w:spacing w:line="400" w:lineRule="exact"/>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17</w:t>
            </w:r>
          </w:p>
        </w:tc>
        <w:tc>
          <w:tcPr>
            <w:tcW w:w="1418"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素龙街道</w:t>
            </w:r>
          </w:p>
        </w:tc>
        <w:tc>
          <w:tcPr>
            <w:tcW w:w="1599"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1390</w:t>
            </w:r>
          </w:p>
        </w:tc>
        <w:tc>
          <w:tcPr>
            <w:tcW w:w="1377"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5073.5</w:t>
            </w:r>
          </w:p>
        </w:tc>
        <w:tc>
          <w:tcPr>
            <w:tcW w:w="1560"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w:t>
            </w:r>
            <w:r>
              <w:rPr>
                <w:rFonts w:hint="eastAsia" w:asciiTheme="minorEastAsia" w:hAnsiTheme="minorEastAsia" w:eastAsiaTheme="minorEastAsia" w:cstheme="minorEastAsia"/>
                <w:color w:val="auto"/>
                <w:sz w:val="21"/>
                <w:szCs w:val="21"/>
                <w:lang w:val="en-US"/>
              </w:rPr>
              <w:t>.2</w:t>
            </w:r>
          </w:p>
        </w:tc>
        <w:tc>
          <w:tcPr>
            <w:tcW w:w="1750"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0.61</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488" w:hRule="atLeast"/>
          <w:jc w:val="center"/>
        </w:trPr>
        <w:tc>
          <w:tcPr>
            <w:tcW w:w="817" w:type="dxa"/>
            <w:vAlign w:val="center"/>
          </w:tcPr>
          <w:p>
            <w:pPr>
              <w:pStyle w:val="33"/>
              <w:spacing w:line="400" w:lineRule="exact"/>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18</w:t>
            </w:r>
          </w:p>
        </w:tc>
        <w:tc>
          <w:tcPr>
            <w:tcW w:w="1418"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太平镇</w:t>
            </w:r>
          </w:p>
        </w:tc>
        <w:tc>
          <w:tcPr>
            <w:tcW w:w="1599"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850</w:t>
            </w:r>
          </w:p>
        </w:tc>
        <w:tc>
          <w:tcPr>
            <w:tcW w:w="1377"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3102.5</w:t>
            </w:r>
          </w:p>
        </w:tc>
        <w:tc>
          <w:tcPr>
            <w:tcW w:w="1560"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w:t>
            </w:r>
            <w:r>
              <w:rPr>
                <w:rFonts w:hint="eastAsia" w:asciiTheme="minorEastAsia" w:hAnsiTheme="minorEastAsia" w:eastAsiaTheme="minorEastAsia" w:cstheme="minorEastAsia"/>
                <w:color w:val="auto"/>
                <w:sz w:val="21"/>
                <w:szCs w:val="21"/>
                <w:lang w:val="en-US"/>
              </w:rPr>
              <w:t>.2</w:t>
            </w:r>
          </w:p>
        </w:tc>
        <w:tc>
          <w:tcPr>
            <w:tcW w:w="1750"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0.37</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488" w:hRule="atLeast"/>
          <w:jc w:val="center"/>
        </w:trPr>
        <w:tc>
          <w:tcPr>
            <w:tcW w:w="817" w:type="dxa"/>
            <w:vAlign w:val="center"/>
          </w:tcPr>
          <w:p>
            <w:pPr>
              <w:pStyle w:val="33"/>
              <w:spacing w:line="400" w:lineRule="exact"/>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19</w:t>
            </w:r>
          </w:p>
        </w:tc>
        <w:tc>
          <w:tcPr>
            <w:tcW w:w="1418"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榃滨镇</w:t>
            </w:r>
          </w:p>
        </w:tc>
        <w:tc>
          <w:tcPr>
            <w:tcW w:w="1599"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580</w:t>
            </w:r>
          </w:p>
        </w:tc>
        <w:tc>
          <w:tcPr>
            <w:tcW w:w="1377"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2117</w:t>
            </w:r>
          </w:p>
        </w:tc>
        <w:tc>
          <w:tcPr>
            <w:tcW w:w="1560"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w:t>
            </w:r>
            <w:r>
              <w:rPr>
                <w:rFonts w:hint="eastAsia" w:asciiTheme="minorEastAsia" w:hAnsiTheme="minorEastAsia" w:eastAsiaTheme="minorEastAsia" w:cstheme="minorEastAsia"/>
                <w:color w:val="auto"/>
                <w:sz w:val="21"/>
                <w:szCs w:val="21"/>
                <w:lang w:val="en-US"/>
              </w:rPr>
              <w:t>.2</w:t>
            </w:r>
          </w:p>
        </w:tc>
        <w:tc>
          <w:tcPr>
            <w:tcW w:w="1750"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0.25</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488" w:hRule="atLeast"/>
          <w:jc w:val="center"/>
        </w:trPr>
        <w:tc>
          <w:tcPr>
            <w:tcW w:w="817" w:type="dxa"/>
            <w:vAlign w:val="center"/>
          </w:tcPr>
          <w:p>
            <w:pPr>
              <w:pStyle w:val="33"/>
              <w:spacing w:line="400" w:lineRule="exact"/>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20</w:t>
            </w:r>
          </w:p>
        </w:tc>
        <w:tc>
          <w:tcPr>
            <w:tcW w:w="1418"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围底镇</w:t>
            </w:r>
          </w:p>
        </w:tc>
        <w:tc>
          <w:tcPr>
            <w:tcW w:w="1599"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1440</w:t>
            </w:r>
          </w:p>
        </w:tc>
        <w:tc>
          <w:tcPr>
            <w:tcW w:w="1377"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eastAsia="zh-CN"/>
              </w:rPr>
              <w:t>1494</w:t>
            </w:r>
            <w:r>
              <w:rPr>
                <w:rFonts w:hint="eastAsia" w:asciiTheme="minorEastAsia" w:hAnsiTheme="minorEastAsia" w:eastAsiaTheme="minorEastAsia" w:cstheme="minorEastAsia"/>
                <w:color w:val="auto"/>
                <w:sz w:val="21"/>
                <w:szCs w:val="21"/>
                <w:lang w:val="en-US"/>
              </w:rPr>
              <w:t>6</w:t>
            </w:r>
          </w:p>
        </w:tc>
        <w:tc>
          <w:tcPr>
            <w:tcW w:w="1560" w:type="dxa"/>
            <w:vAlign w:val="center"/>
          </w:tcPr>
          <w:p>
            <w:pPr>
              <w:pStyle w:val="33"/>
              <w:spacing w:line="4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w:t>
            </w:r>
            <w:r>
              <w:rPr>
                <w:rFonts w:hint="eastAsia" w:asciiTheme="minorEastAsia" w:hAnsiTheme="minorEastAsia" w:eastAsiaTheme="minorEastAsia" w:cstheme="minorEastAsia"/>
                <w:color w:val="auto"/>
                <w:sz w:val="21"/>
                <w:szCs w:val="21"/>
                <w:lang w:val="en-US"/>
              </w:rPr>
              <w:t>.2</w:t>
            </w:r>
          </w:p>
        </w:tc>
        <w:tc>
          <w:tcPr>
            <w:tcW w:w="1750" w:type="dxa"/>
            <w:vAlign w:val="center"/>
          </w:tcPr>
          <w:p>
            <w:pPr>
              <w:widowControl/>
              <w:spacing w:line="400" w:lineRule="exact"/>
              <w:jc w:val="center"/>
              <w:textAlignment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0.63</w:t>
            </w:r>
          </w:p>
        </w:tc>
      </w:tr>
      <w:tr>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489" w:hRule="atLeast"/>
          <w:jc w:val="center"/>
        </w:trPr>
        <w:tc>
          <w:tcPr>
            <w:tcW w:w="2235" w:type="dxa"/>
            <w:gridSpan w:val="2"/>
            <w:vAlign w:val="center"/>
          </w:tcPr>
          <w:p>
            <w:pPr>
              <w:pStyle w:val="33"/>
              <w:spacing w:line="4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合计</w:t>
            </w:r>
          </w:p>
        </w:tc>
        <w:tc>
          <w:tcPr>
            <w:tcW w:w="1599" w:type="dxa"/>
            <w:vAlign w:val="center"/>
          </w:tcPr>
          <w:p>
            <w:pPr>
              <w:pStyle w:val="33"/>
              <w:spacing w:line="400" w:lineRule="exact"/>
              <w:jc w:val="center"/>
              <w:rPr>
                <w:rFonts w:asciiTheme="minorEastAsia" w:hAnsiTheme="minorEastAsia" w:eastAsiaTheme="minorEastAsia" w:cstheme="minorEastAsia"/>
                <w:b/>
                <w:color w:val="auto"/>
                <w:sz w:val="21"/>
                <w:szCs w:val="21"/>
                <w:lang w:val="en-US"/>
              </w:rPr>
            </w:pPr>
            <w:r>
              <w:rPr>
                <w:rFonts w:hint="eastAsia" w:asciiTheme="minorEastAsia" w:hAnsiTheme="minorEastAsia" w:eastAsiaTheme="minorEastAsia" w:cstheme="minorEastAsia"/>
                <w:b/>
                <w:color w:val="auto"/>
                <w:sz w:val="21"/>
                <w:szCs w:val="21"/>
                <w:lang w:val="en-US"/>
              </w:rPr>
              <w:t>12540</w:t>
            </w:r>
          </w:p>
        </w:tc>
        <w:tc>
          <w:tcPr>
            <w:tcW w:w="1377" w:type="dxa"/>
            <w:vAlign w:val="center"/>
          </w:tcPr>
          <w:p>
            <w:pPr>
              <w:pStyle w:val="33"/>
              <w:spacing w:line="400" w:lineRule="exact"/>
              <w:jc w:val="center"/>
              <w:rPr>
                <w:rFonts w:asciiTheme="minorEastAsia" w:hAnsiTheme="minorEastAsia" w:eastAsiaTheme="minorEastAsia" w:cstheme="minorEastAsia"/>
                <w:b/>
                <w:color w:val="auto"/>
                <w:sz w:val="21"/>
                <w:szCs w:val="21"/>
                <w:lang w:val="en-US"/>
              </w:rPr>
            </w:pPr>
            <w:r>
              <w:rPr>
                <w:rFonts w:hint="eastAsia" w:asciiTheme="minorEastAsia" w:hAnsiTheme="minorEastAsia" w:eastAsiaTheme="minorEastAsia" w:cstheme="minorEastAsia"/>
                <w:b/>
                <w:color w:val="auto"/>
                <w:sz w:val="21"/>
                <w:szCs w:val="21"/>
                <w:lang w:val="en-US"/>
              </w:rPr>
              <w:t>45771</w:t>
            </w:r>
          </w:p>
        </w:tc>
        <w:tc>
          <w:tcPr>
            <w:tcW w:w="1560" w:type="dxa"/>
            <w:vAlign w:val="center"/>
          </w:tcPr>
          <w:p>
            <w:pPr>
              <w:pStyle w:val="33"/>
              <w:spacing w:line="4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w:t>
            </w:r>
          </w:p>
        </w:tc>
        <w:tc>
          <w:tcPr>
            <w:tcW w:w="1750" w:type="dxa"/>
            <w:vAlign w:val="center"/>
          </w:tcPr>
          <w:p>
            <w:pPr>
              <w:pStyle w:val="33"/>
              <w:spacing w:line="400" w:lineRule="exact"/>
              <w:jc w:val="center"/>
              <w:rPr>
                <w:rFonts w:asciiTheme="minorEastAsia" w:hAnsiTheme="minorEastAsia" w:eastAsiaTheme="minorEastAsia" w:cstheme="minorEastAsia"/>
                <w:b/>
                <w:color w:val="auto"/>
                <w:sz w:val="21"/>
                <w:szCs w:val="21"/>
                <w:lang w:val="en-US"/>
              </w:rPr>
            </w:pPr>
            <w:r>
              <w:rPr>
                <w:rFonts w:hint="eastAsia" w:asciiTheme="minorEastAsia" w:hAnsiTheme="minorEastAsia" w:eastAsiaTheme="minorEastAsia" w:cstheme="minorEastAsia"/>
                <w:b/>
                <w:color w:val="auto"/>
                <w:sz w:val="21"/>
                <w:szCs w:val="21"/>
                <w:lang w:val="en-US"/>
              </w:rPr>
              <w:t>5.49</w:t>
            </w:r>
          </w:p>
        </w:tc>
      </w:tr>
    </w:tbl>
    <w:p>
      <w:pPr>
        <w:pStyle w:val="32"/>
        <w:numPr>
          <w:ilvl w:val="2"/>
          <w:numId w:val="90"/>
        </w:numPr>
        <w:tabs>
          <w:tab w:val="left" w:pos="1659"/>
        </w:tabs>
        <w:spacing w:line="500" w:lineRule="exact"/>
        <w:jc w:val="both"/>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rPr>
        <w:t>污泥处理处置费</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农村污水处理设施每天产生含水率60%的脱水污泥合计1.6</w:t>
      </w:r>
      <w:r>
        <w:rPr>
          <w:rFonts w:hint="eastAsia" w:asciiTheme="minorEastAsia" w:hAnsiTheme="minorEastAsia" w:eastAsiaTheme="minorEastAsia" w:cstheme="minorEastAsia"/>
          <w:color w:val="auto"/>
          <w:spacing w:val="-3"/>
          <w:w w:val="99"/>
          <w:sz w:val="24"/>
          <w:szCs w:val="24"/>
        </w:rPr>
        <w:t>吨，</w:t>
      </w:r>
      <w:r>
        <w:rPr>
          <w:rFonts w:hint="eastAsia" w:asciiTheme="minorEastAsia" w:hAnsiTheme="minorEastAsia" w:eastAsiaTheme="minorEastAsia" w:cstheme="minorEastAsia"/>
          <w:color w:val="auto"/>
          <w:sz w:val="24"/>
          <w:szCs w:val="24"/>
        </w:rPr>
        <w:t>处置单价按400元/吨估算（含运输费），每年污泥处理处置费为</w:t>
      </w:r>
      <w:r>
        <w:rPr>
          <w:rFonts w:hint="eastAsia" w:asciiTheme="minorEastAsia" w:hAnsiTheme="minorEastAsia" w:eastAsiaTheme="minorEastAsia" w:cstheme="minorEastAsia"/>
          <w:color w:val="auto"/>
          <w:sz w:val="24"/>
          <w:szCs w:val="24"/>
          <w:lang w:val="en-US"/>
        </w:rPr>
        <w:t>5</w:t>
      </w:r>
      <w:r>
        <w:rPr>
          <w:rFonts w:hint="eastAsia" w:asciiTheme="minorEastAsia" w:hAnsiTheme="minorEastAsia" w:eastAsiaTheme="minorEastAsia" w:cstheme="minorEastAsia"/>
          <w:color w:val="auto"/>
          <w:sz w:val="24"/>
          <w:szCs w:val="24"/>
        </w:rPr>
        <w:t>×400×365÷10000=</w:t>
      </w:r>
      <w:r>
        <w:rPr>
          <w:rFonts w:hint="eastAsia" w:asciiTheme="minorEastAsia" w:hAnsiTheme="minorEastAsia" w:eastAsiaTheme="minorEastAsia" w:cstheme="minorEastAsia"/>
          <w:color w:val="auto"/>
          <w:sz w:val="24"/>
          <w:szCs w:val="24"/>
          <w:lang w:val="en-US"/>
        </w:rPr>
        <w:t>73.00</w:t>
      </w:r>
      <w:r>
        <w:rPr>
          <w:rFonts w:hint="eastAsia" w:asciiTheme="minorEastAsia" w:hAnsiTheme="minorEastAsia" w:eastAsiaTheme="minorEastAsia" w:cstheme="minorEastAsia"/>
          <w:color w:val="auto"/>
          <w:sz w:val="24"/>
          <w:szCs w:val="24"/>
        </w:rPr>
        <w:t>万元。</w:t>
      </w:r>
    </w:p>
    <w:p>
      <w:pPr>
        <w:pStyle w:val="32"/>
        <w:numPr>
          <w:ilvl w:val="2"/>
          <w:numId w:val="90"/>
        </w:numPr>
        <w:tabs>
          <w:tab w:val="left" w:pos="1659"/>
        </w:tabs>
        <w:spacing w:line="500" w:lineRule="exact"/>
        <w:jc w:val="both"/>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rPr>
        <w:t>外购原材料费：药剂费</w:t>
      </w:r>
    </w:p>
    <w:p>
      <w:pPr>
        <w:pStyle w:val="10"/>
        <w:spacing w:line="500" w:lineRule="exact"/>
        <w:ind w:firstLine="44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8"/>
          <w:sz w:val="24"/>
          <w:szCs w:val="24"/>
        </w:rPr>
        <w:t>每吨水投药量按</w:t>
      </w:r>
      <w:r>
        <w:rPr>
          <w:rFonts w:hint="eastAsia" w:asciiTheme="minorEastAsia" w:hAnsiTheme="minorEastAsia" w:eastAsiaTheme="minorEastAsia" w:cstheme="minorEastAsia"/>
          <w:color w:val="auto"/>
          <w:sz w:val="24"/>
          <w:szCs w:val="24"/>
        </w:rPr>
        <w:t>5.8g</w:t>
      </w:r>
      <w:r>
        <w:rPr>
          <w:rFonts w:hint="eastAsia" w:asciiTheme="minorEastAsia" w:hAnsiTheme="minorEastAsia" w:eastAsiaTheme="minorEastAsia" w:cstheme="minorEastAsia"/>
          <w:color w:val="auto"/>
          <w:spacing w:val="-6"/>
          <w:sz w:val="24"/>
          <w:szCs w:val="24"/>
        </w:rPr>
        <w:t>计算，药剂综合单价按</w:t>
      </w:r>
      <w:r>
        <w:rPr>
          <w:rFonts w:hint="eastAsia" w:asciiTheme="minorEastAsia" w:hAnsiTheme="minorEastAsia" w:eastAsiaTheme="minorEastAsia" w:cstheme="minorEastAsia"/>
          <w:color w:val="auto"/>
          <w:sz w:val="24"/>
          <w:szCs w:val="24"/>
        </w:rPr>
        <w:t>1万元/吨计算，每年药剂费为：</w:t>
      </w:r>
      <w:r>
        <w:rPr>
          <w:rFonts w:hint="eastAsia" w:asciiTheme="minorEastAsia" w:hAnsiTheme="minorEastAsia" w:eastAsiaTheme="minorEastAsia" w:cstheme="minorEastAsia"/>
          <w:color w:val="auto"/>
          <w:sz w:val="24"/>
          <w:szCs w:val="24"/>
          <w:lang w:val="en-US"/>
        </w:rPr>
        <w:t>12540</w:t>
      </w:r>
      <w:r>
        <w:rPr>
          <w:rFonts w:hint="eastAsia" w:asciiTheme="minorEastAsia" w:hAnsiTheme="minorEastAsia" w:eastAsiaTheme="minorEastAsia" w:cstheme="minorEastAsia"/>
          <w:color w:val="auto"/>
          <w:spacing w:val="-1"/>
          <w:sz w:val="24"/>
          <w:szCs w:val="24"/>
        </w:rPr>
        <w:t>×</w:t>
      </w:r>
      <w:r>
        <w:rPr>
          <w:rFonts w:hint="eastAsia" w:asciiTheme="minorEastAsia" w:hAnsiTheme="minorEastAsia" w:eastAsiaTheme="minorEastAsia" w:cstheme="minorEastAsia"/>
          <w:color w:val="auto"/>
          <w:sz w:val="24"/>
          <w:szCs w:val="24"/>
        </w:rPr>
        <w:t>5.8</w:t>
      </w:r>
      <w:r>
        <w:rPr>
          <w:rFonts w:hint="eastAsia" w:asciiTheme="minorEastAsia" w:hAnsiTheme="minorEastAsia" w:eastAsiaTheme="minorEastAsia" w:cstheme="minorEastAsia"/>
          <w:color w:val="auto"/>
          <w:spacing w:val="-1"/>
          <w:sz w:val="24"/>
          <w:szCs w:val="24"/>
        </w:rPr>
        <w:t>×</w:t>
      </w:r>
      <w:r>
        <w:rPr>
          <w:rFonts w:hint="eastAsia" w:asciiTheme="minorEastAsia" w:hAnsiTheme="minorEastAsia" w:eastAsiaTheme="minorEastAsia" w:cstheme="minorEastAsia"/>
          <w:color w:val="auto"/>
          <w:sz w:val="24"/>
          <w:szCs w:val="24"/>
        </w:rPr>
        <w:t>1</w:t>
      </w:r>
      <w:r>
        <w:rPr>
          <w:rFonts w:hint="eastAsia" w:asciiTheme="minorEastAsia" w:hAnsiTheme="minorEastAsia" w:eastAsiaTheme="minorEastAsia" w:cstheme="minorEastAsia"/>
          <w:color w:val="auto"/>
          <w:spacing w:val="-1"/>
          <w:sz w:val="24"/>
          <w:szCs w:val="24"/>
        </w:rPr>
        <w:t>×</w:t>
      </w:r>
      <w:r>
        <w:rPr>
          <w:rFonts w:hint="eastAsia" w:asciiTheme="minorEastAsia" w:hAnsiTheme="minorEastAsia" w:eastAsiaTheme="minorEastAsia" w:cstheme="minorEastAsia"/>
          <w:color w:val="auto"/>
          <w:sz w:val="24"/>
          <w:szCs w:val="24"/>
        </w:rPr>
        <w:t>365 ÷1000000</w:t>
      </w:r>
      <w:r>
        <w:rPr>
          <w:rFonts w:hint="eastAsia" w:asciiTheme="minorEastAsia" w:hAnsiTheme="minorEastAsia" w:eastAsiaTheme="minorEastAsia" w:cstheme="minorEastAsia"/>
          <w:color w:val="auto"/>
          <w:spacing w:val="10"/>
          <w:sz w:val="24"/>
          <w:szCs w:val="24"/>
        </w:rPr>
        <w:t>=</w:t>
      </w:r>
      <w:r>
        <w:rPr>
          <w:rFonts w:hint="eastAsia" w:asciiTheme="minorEastAsia" w:hAnsiTheme="minorEastAsia" w:eastAsiaTheme="minorEastAsia" w:cstheme="minorEastAsia"/>
          <w:color w:val="auto"/>
          <w:sz w:val="24"/>
          <w:szCs w:val="24"/>
          <w:lang w:val="en-US"/>
        </w:rPr>
        <w:t>26.55</w:t>
      </w:r>
      <w:r>
        <w:rPr>
          <w:rFonts w:hint="eastAsia" w:asciiTheme="minorEastAsia" w:hAnsiTheme="minorEastAsia" w:eastAsiaTheme="minorEastAsia" w:cstheme="minorEastAsia"/>
          <w:color w:val="auto"/>
          <w:sz w:val="24"/>
          <w:szCs w:val="24"/>
        </w:rPr>
        <w:t>万元。</w:t>
      </w:r>
    </w:p>
    <w:p>
      <w:pPr>
        <w:pStyle w:val="32"/>
        <w:numPr>
          <w:ilvl w:val="2"/>
          <w:numId w:val="90"/>
        </w:numPr>
        <w:tabs>
          <w:tab w:val="left" w:pos="1659"/>
        </w:tabs>
        <w:spacing w:line="500" w:lineRule="exact"/>
        <w:jc w:val="both"/>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rPr>
        <w:t>修理费</w:t>
      </w:r>
    </w:p>
    <w:p>
      <w:pPr>
        <w:pStyle w:val="10"/>
        <w:spacing w:line="500" w:lineRule="exact"/>
        <w:ind w:firstLine="49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4"/>
          <w:sz w:val="24"/>
          <w:szCs w:val="24"/>
        </w:rPr>
        <w:t>根据本行业分析统计资料，结合本工程实际情况，修理费按固定资产原值0.1%计</w:t>
      </w:r>
      <w:r>
        <w:rPr>
          <w:rFonts w:hint="eastAsia" w:asciiTheme="minorEastAsia" w:hAnsiTheme="minorEastAsia" w:eastAsiaTheme="minorEastAsia" w:cstheme="minorEastAsia"/>
          <w:color w:val="auto"/>
          <w:spacing w:val="6"/>
          <w:sz w:val="24"/>
          <w:szCs w:val="24"/>
        </w:rPr>
        <w:t>算。</w:t>
      </w:r>
      <w:r>
        <w:rPr>
          <w:rFonts w:hint="eastAsia" w:asciiTheme="minorEastAsia" w:hAnsiTheme="minorEastAsia" w:eastAsiaTheme="minorEastAsia" w:cstheme="minorEastAsia"/>
          <w:color w:val="auto"/>
          <w:spacing w:val="4"/>
          <w:sz w:val="24"/>
          <w:szCs w:val="24"/>
        </w:rPr>
        <w:t>农村污水处理设施的固定资产原值约为</w:t>
      </w:r>
      <w:r>
        <w:rPr>
          <w:rFonts w:hint="eastAsia" w:asciiTheme="minorEastAsia" w:hAnsiTheme="minorEastAsia" w:eastAsiaTheme="minorEastAsia" w:cstheme="minorEastAsia"/>
          <w:color w:val="auto"/>
          <w:spacing w:val="4"/>
          <w:sz w:val="24"/>
          <w:szCs w:val="24"/>
          <w:lang w:val="en-US"/>
        </w:rPr>
        <w:t>25115</w:t>
      </w:r>
      <w:r>
        <w:rPr>
          <w:rFonts w:hint="eastAsia" w:asciiTheme="minorEastAsia" w:hAnsiTheme="minorEastAsia" w:eastAsiaTheme="minorEastAsia" w:cstheme="minorEastAsia"/>
          <w:color w:val="auto"/>
          <w:sz w:val="24"/>
          <w:szCs w:val="24"/>
        </w:rPr>
        <w:t>万元，年修理费为：</w:t>
      </w:r>
      <w:r>
        <w:rPr>
          <w:rFonts w:hint="eastAsia" w:asciiTheme="minorEastAsia" w:hAnsiTheme="minorEastAsia" w:eastAsiaTheme="minorEastAsia" w:cstheme="minorEastAsia"/>
          <w:color w:val="auto"/>
          <w:sz w:val="24"/>
          <w:szCs w:val="24"/>
          <w:lang w:val="en-US"/>
        </w:rPr>
        <w:t>25115</w:t>
      </w:r>
      <w:r>
        <w:rPr>
          <w:rFonts w:hint="eastAsia" w:asciiTheme="minorEastAsia" w:hAnsiTheme="minorEastAsia" w:eastAsiaTheme="minorEastAsia" w:cstheme="minorEastAsia"/>
          <w:color w:val="auto"/>
          <w:sz w:val="24"/>
          <w:szCs w:val="24"/>
        </w:rPr>
        <w:t>×0.1</w:t>
      </w:r>
      <w:r>
        <w:rPr>
          <w:rFonts w:hint="eastAsia" w:asciiTheme="minorEastAsia" w:hAnsiTheme="minorEastAsia" w:eastAsiaTheme="minorEastAsia" w:cstheme="minorEastAsia"/>
          <w:color w:val="auto"/>
          <w:spacing w:val="7"/>
          <w:sz w:val="24"/>
          <w:szCs w:val="24"/>
        </w:rPr>
        <w:t>% =</w:t>
      </w:r>
      <w:r>
        <w:rPr>
          <w:rFonts w:hint="eastAsia" w:asciiTheme="minorEastAsia" w:hAnsiTheme="minorEastAsia" w:eastAsiaTheme="minorEastAsia" w:cstheme="minorEastAsia"/>
          <w:color w:val="auto"/>
          <w:sz w:val="24"/>
          <w:szCs w:val="24"/>
          <w:lang w:val="en-US"/>
        </w:rPr>
        <w:t>15.12</w:t>
      </w:r>
      <w:r>
        <w:rPr>
          <w:rFonts w:hint="eastAsia" w:asciiTheme="minorEastAsia" w:hAnsiTheme="minorEastAsia" w:eastAsiaTheme="minorEastAsia" w:cstheme="minorEastAsia"/>
          <w:color w:val="auto"/>
          <w:sz w:val="24"/>
          <w:szCs w:val="24"/>
        </w:rPr>
        <w:t>万元。</w:t>
      </w:r>
    </w:p>
    <w:p>
      <w:pPr>
        <w:pStyle w:val="32"/>
        <w:numPr>
          <w:ilvl w:val="2"/>
          <w:numId w:val="90"/>
        </w:numPr>
        <w:tabs>
          <w:tab w:val="left" w:pos="1659"/>
        </w:tabs>
        <w:spacing w:line="500" w:lineRule="exact"/>
        <w:jc w:val="both"/>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rPr>
        <w:t>管理及其他费用</w:t>
      </w:r>
    </w:p>
    <w:p>
      <w:pPr>
        <w:pStyle w:val="10"/>
        <w:spacing w:line="500" w:lineRule="exact"/>
        <w:ind w:firstLine="2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3"/>
          <w:sz w:val="24"/>
          <w:szCs w:val="24"/>
        </w:rPr>
        <w:t>按</w:t>
      </w:r>
      <w:r>
        <w:rPr>
          <w:rFonts w:hint="eastAsia" w:asciiTheme="minorEastAsia" w:hAnsiTheme="minorEastAsia" w:eastAsiaTheme="minorEastAsia" w:cstheme="minorEastAsia"/>
          <w:color w:val="auto"/>
          <w:spacing w:val="-24"/>
          <w:sz w:val="24"/>
          <w:szCs w:val="24"/>
        </w:rPr>
        <w:t>（1）~（6）</w:t>
      </w:r>
      <w:r>
        <w:rPr>
          <w:rFonts w:hint="eastAsia" w:asciiTheme="minorEastAsia" w:hAnsiTheme="minorEastAsia" w:eastAsiaTheme="minorEastAsia" w:cstheme="minorEastAsia"/>
          <w:color w:val="auto"/>
          <w:spacing w:val="-11"/>
          <w:sz w:val="24"/>
          <w:szCs w:val="24"/>
        </w:rPr>
        <w:t xml:space="preserve">的 </w:t>
      </w:r>
      <w:r>
        <w:rPr>
          <w:rFonts w:hint="eastAsia" w:asciiTheme="minorEastAsia" w:hAnsiTheme="minorEastAsia" w:eastAsiaTheme="minorEastAsia" w:cstheme="minorEastAsia"/>
          <w:color w:val="auto"/>
          <w:sz w:val="24"/>
          <w:szCs w:val="24"/>
        </w:rPr>
        <w:t>8%</w:t>
      </w:r>
      <w:r>
        <w:rPr>
          <w:rFonts w:hint="eastAsia" w:asciiTheme="minorEastAsia" w:hAnsiTheme="minorEastAsia" w:eastAsiaTheme="minorEastAsia" w:cstheme="minorEastAsia"/>
          <w:color w:val="auto"/>
          <w:spacing w:val="-13"/>
          <w:sz w:val="24"/>
          <w:szCs w:val="24"/>
        </w:rPr>
        <w:t xml:space="preserve">计算，则管理及其他费用为 </w:t>
      </w:r>
      <w:r>
        <w:rPr>
          <w:rFonts w:hint="eastAsia" w:asciiTheme="minorEastAsia" w:hAnsiTheme="minorEastAsia" w:eastAsiaTheme="minorEastAsia" w:cstheme="minorEastAsia"/>
          <w:color w:val="auto"/>
          <w:sz w:val="24"/>
          <w:szCs w:val="24"/>
          <w:lang w:val="en-US"/>
        </w:rPr>
        <w:t>97.93</w:t>
      </w:r>
      <w:r>
        <w:rPr>
          <w:rFonts w:hint="eastAsia" w:asciiTheme="minorEastAsia" w:hAnsiTheme="minorEastAsia" w:eastAsiaTheme="minorEastAsia" w:cstheme="minorEastAsia"/>
          <w:color w:val="auto"/>
          <w:sz w:val="24"/>
          <w:szCs w:val="24"/>
        </w:rPr>
        <w:t>万元。</w:t>
      </w:r>
    </w:p>
    <w:p>
      <w:pPr>
        <w:spacing w:line="500" w:lineRule="exact"/>
        <w:ind w:firstLine="422" w:firstLineChars="200"/>
        <w:jc w:val="center"/>
        <w:rPr>
          <w:rFonts w:ascii="Times New Roman" w:hAnsi="Times New Roman" w:eastAsia="宋体" w:cs="Times New Roman"/>
          <w:b/>
          <w:bCs/>
          <w:iCs/>
          <w:color w:val="auto"/>
          <w:sz w:val="21"/>
          <w:szCs w:val="20"/>
        </w:rPr>
      </w:pPr>
      <w:r>
        <w:rPr>
          <w:rFonts w:hint="eastAsia" w:ascii="Times New Roman" w:hAnsi="Times New Roman" w:eastAsia="宋体" w:cs="Times New Roman"/>
          <w:b/>
          <w:bCs/>
          <w:iCs/>
          <w:color w:val="auto"/>
          <w:sz w:val="21"/>
          <w:szCs w:val="20"/>
        </w:rPr>
        <w:t>表1</w:t>
      </w:r>
      <w:r>
        <w:rPr>
          <w:rFonts w:hint="eastAsia" w:ascii="Times New Roman" w:hAnsi="Times New Roman" w:eastAsia="宋体" w:cs="Times New Roman"/>
          <w:b/>
          <w:bCs/>
          <w:iCs/>
          <w:color w:val="auto"/>
          <w:sz w:val="21"/>
          <w:szCs w:val="20"/>
          <w:lang w:val="en-US" w:eastAsia="zh-CN"/>
        </w:rPr>
        <w:t>3</w:t>
      </w:r>
      <w:r>
        <w:rPr>
          <w:rFonts w:hint="eastAsia" w:ascii="Times New Roman" w:hAnsi="Times New Roman" w:eastAsia="宋体" w:cs="Times New Roman"/>
          <w:b/>
          <w:bCs/>
          <w:iCs/>
          <w:color w:val="auto"/>
          <w:sz w:val="21"/>
          <w:szCs w:val="20"/>
        </w:rPr>
        <w:t xml:space="preserve">.3-2 </w:t>
      </w:r>
      <w:r>
        <w:rPr>
          <w:rFonts w:hint="eastAsia" w:ascii="Times New Roman" w:hAnsi="Times New Roman" w:eastAsia="宋体" w:cs="Times New Roman"/>
          <w:b/>
          <w:bCs/>
          <w:iCs/>
          <w:color w:val="auto"/>
          <w:sz w:val="21"/>
          <w:szCs w:val="20"/>
          <w:lang w:val="en-US"/>
        </w:rPr>
        <w:t xml:space="preserve">  </w:t>
      </w:r>
      <w:r>
        <w:rPr>
          <w:rFonts w:hint="eastAsia" w:ascii="Times New Roman" w:hAnsi="Times New Roman" w:eastAsia="宋体" w:cs="Times New Roman"/>
          <w:b/>
          <w:bCs/>
          <w:iCs/>
          <w:color w:val="auto"/>
          <w:sz w:val="21"/>
          <w:szCs w:val="20"/>
        </w:rPr>
        <w:t>农村污水处理设施运营维护成本汇总</w:t>
      </w:r>
    </w:p>
    <w:tbl>
      <w:tblPr>
        <w:tblStyle w:val="27"/>
        <w:tblW w:w="8523" w:type="dxa"/>
        <w:tblInd w:w="167" w:type="dxa"/>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0" w:type="dxa"/>
          <w:bottom w:w="0" w:type="dxa"/>
          <w:right w:w="0" w:type="dxa"/>
        </w:tblCellMar>
      </w:tblPr>
      <w:tblGrid>
        <w:gridCol w:w="816"/>
        <w:gridCol w:w="2269"/>
        <w:gridCol w:w="1419"/>
        <w:gridCol w:w="4019"/>
      </w:tblGrid>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978" w:hRule="atLeast"/>
        </w:trPr>
        <w:tc>
          <w:tcPr>
            <w:tcW w:w="816" w:type="dxa"/>
            <w:vAlign w:val="center"/>
          </w:tcPr>
          <w:p>
            <w:pPr>
              <w:pStyle w:val="33"/>
              <w:spacing w:line="44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序号</w:t>
            </w:r>
          </w:p>
        </w:tc>
        <w:tc>
          <w:tcPr>
            <w:tcW w:w="2269" w:type="dxa"/>
            <w:vAlign w:val="center"/>
          </w:tcPr>
          <w:p>
            <w:pPr>
              <w:pStyle w:val="33"/>
              <w:spacing w:line="44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项目</w:t>
            </w:r>
          </w:p>
        </w:tc>
        <w:tc>
          <w:tcPr>
            <w:tcW w:w="1419" w:type="dxa"/>
            <w:vAlign w:val="center"/>
          </w:tcPr>
          <w:p>
            <w:pPr>
              <w:pStyle w:val="33"/>
              <w:spacing w:line="44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费用</w:t>
            </w:r>
          </w:p>
          <w:p>
            <w:pPr>
              <w:pStyle w:val="33"/>
              <w:spacing w:line="44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（万元/年）</w:t>
            </w:r>
          </w:p>
        </w:tc>
        <w:tc>
          <w:tcPr>
            <w:tcW w:w="4019" w:type="dxa"/>
            <w:vAlign w:val="center"/>
          </w:tcPr>
          <w:p>
            <w:pPr>
              <w:pStyle w:val="33"/>
              <w:spacing w:line="44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489" w:hRule="atLeast"/>
        </w:trPr>
        <w:tc>
          <w:tcPr>
            <w:tcW w:w="816" w:type="dxa"/>
            <w:vAlign w:val="center"/>
          </w:tcPr>
          <w:p>
            <w:pPr>
              <w:pStyle w:val="33"/>
              <w:spacing w:line="44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w:t>
            </w:r>
          </w:p>
        </w:tc>
        <w:tc>
          <w:tcPr>
            <w:tcW w:w="2269" w:type="dxa"/>
            <w:vAlign w:val="center"/>
          </w:tcPr>
          <w:p>
            <w:pPr>
              <w:pStyle w:val="33"/>
              <w:spacing w:line="44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电费</w:t>
            </w:r>
          </w:p>
        </w:tc>
        <w:tc>
          <w:tcPr>
            <w:tcW w:w="1419" w:type="dxa"/>
            <w:vAlign w:val="center"/>
          </w:tcPr>
          <w:p>
            <w:pPr>
              <w:pStyle w:val="33"/>
              <w:spacing w:line="440" w:lineRule="exact"/>
              <w:jc w:val="center"/>
              <w:rPr>
                <w:rFonts w:asciiTheme="minorEastAsia" w:hAnsiTheme="minorEastAsia" w:eastAsiaTheme="minorEastAsia" w:cstheme="minorEastAsia"/>
                <w:color w:val="auto"/>
                <w:sz w:val="21"/>
                <w:szCs w:val="21"/>
              </w:rPr>
            </w:pPr>
            <w:r>
              <w:rPr>
                <w:rFonts w:asciiTheme="minorEastAsia" w:hAnsiTheme="minorEastAsia" w:eastAsiaTheme="minorEastAsia" w:cstheme="minorEastAsia"/>
                <w:color w:val="auto"/>
                <w:sz w:val="21"/>
                <w:szCs w:val="21"/>
                <w:lang w:val="en-US"/>
              </w:rPr>
              <w:t>128.16</w:t>
            </w:r>
          </w:p>
        </w:tc>
        <w:tc>
          <w:tcPr>
            <w:tcW w:w="4019" w:type="dxa"/>
            <w:vAlign w:val="center"/>
          </w:tcPr>
          <w:p>
            <w:pPr>
              <w:pStyle w:val="33"/>
              <w:spacing w:line="440" w:lineRule="exact"/>
              <w:jc w:val="center"/>
              <w:rPr>
                <w:rFonts w:asciiTheme="minorEastAsia" w:hAnsiTheme="minorEastAsia" w:eastAsiaTheme="minorEastAsia" w:cstheme="minor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489" w:hRule="atLeast"/>
        </w:trPr>
        <w:tc>
          <w:tcPr>
            <w:tcW w:w="816" w:type="dxa"/>
            <w:vAlign w:val="center"/>
          </w:tcPr>
          <w:p>
            <w:pPr>
              <w:pStyle w:val="33"/>
              <w:spacing w:line="44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w:t>
            </w:r>
          </w:p>
        </w:tc>
        <w:tc>
          <w:tcPr>
            <w:tcW w:w="2269" w:type="dxa"/>
            <w:vAlign w:val="center"/>
          </w:tcPr>
          <w:p>
            <w:pPr>
              <w:pStyle w:val="33"/>
              <w:spacing w:line="44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工资及福利</w:t>
            </w:r>
          </w:p>
        </w:tc>
        <w:tc>
          <w:tcPr>
            <w:tcW w:w="1419" w:type="dxa"/>
            <w:vAlign w:val="center"/>
          </w:tcPr>
          <w:p>
            <w:pPr>
              <w:pStyle w:val="33"/>
              <w:spacing w:line="440" w:lineRule="exact"/>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120.00</w:t>
            </w:r>
          </w:p>
        </w:tc>
        <w:tc>
          <w:tcPr>
            <w:tcW w:w="4019" w:type="dxa"/>
            <w:vAlign w:val="center"/>
          </w:tcPr>
          <w:p>
            <w:pPr>
              <w:pStyle w:val="33"/>
              <w:spacing w:line="440" w:lineRule="exact"/>
              <w:jc w:val="center"/>
              <w:rPr>
                <w:rFonts w:asciiTheme="minorEastAsia" w:hAnsiTheme="minorEastAsia" w:eastAsiaTheme="minorEastAsia" w:cstheme="minor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489" w:hRule="atLeast"/>
        </w:trPr>
        <w:tc>
          <w:tcPr>
            <w:tcW w:w="816" w:type="dxa"/>
            <w:vAlign w:val="center"/>
          </w:tcPr>
          <w:p>
            <w:pPr>
              <w:pStyle w:val="33"/>
              <w:spacing w:line="44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3</w:t>
            </w:r>
          </w:p>
        </w:tc>
        <w:tc>
          <w:tcPr>
            <w:tcW w:w="2269" w:type="dxa"/>
            <w:vAlign w:val="center"/>
          </w:tcPr>
          <w:p>
            <w:pPr>
              <w:pStyle w:val="33"/>
              <w:spacing w:line="44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水费</w:t>
            </w:r>
          </w:p>
        </w:tc>
        <w:tc>
          <w:tcPr>
            <w:tcW w:w="1419" w:type="dxa"/>
            <w:vAlign w:val="center"/>
          </w:tcPr>
          <w:p>
            <w:pPr>
              <w:pStyle w:val="33"/>
              <w:spacing w:line="440" w:lineRule="exact"/>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5.49</w:t>
            </w:r>
          </w:p>
        </w:tc>
        <w:tc>
          <w:tcPr>
            <w:tcW w:w="4019" w:type="dxa"/>
            <w:vAlign w:val="center"/>
          </w:tcPr>
          <w:p>
            <w:pPr>
              <w:pStyle w:val="33"/>
              <w:spacing w:line="440" w:lineRule="exact"/>
              <w:jc w:val="center"/>
              <w:rPr>
                <w:rFonts w:asciiTheme="minorEastAsia" w:hAnsiTheme="minorEastAsia" w:eastAsiaTheme="minorEastAsia" w:cstheme="minor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488" w:hRule="atLeast"/>
        </w:trPr>
        <w:tc>
          <w:tcPr>
            <w:tcW w:w="816" w:type="dxa"/>
            <w:vAlign w:val="center"/>
          </w:tcPr>
          <w:p>
            <w:pPr>
              <w:pStyle w:val="33"/>
              <w:spacing w:line="44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4</w:t>
            </w:r>
          </w:p>
        </w:tc>
        <w:tc>
          <w:tcPr>
            <w:tcW w:w="2269" w:type="dxa"/>
            <w:vAlign w:val="center"/>
          </w:tcPr>
          <w:p>
            <w:pPr>
              <w:pStyle w:val="33"/>
              <w:spacing w:line="44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药剂费</w:t>
            </w:r>
          </w:p>
        </w:tc>
        <w:tc>
          <w:tcPr>
            <w:tcW w:w="1419" w:type="dxa"/>
            <w:vAlign w:val="center"/>
          </w:tcPr>
          <w:p>
            <w:pPr>
              <w:pStyle w:val="33"/>
              <w:spacing w:line="440" w:lineRule="exact"/>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26.55</w:t>
            </w:r>
          </w:p>
        </w:tc>
        <w:tc>
          <w:tcPr>
            <w:tcW w:w="4019" w:type="dxa"/>
            <w:vAlign w:val="center"/>
          </w:tcPr>
          <w:p>
            <w:pPr>
              <w:pStyle w:val="33"/>
              <w:spacing w:line="440" w:lineRule="exact"/>
              <w:jc w:val="center"/>
              <w:rPr>
                <w:rFonts w:asciiTheme="minorEastAsia" w:hAnsiTheme="minorEastAsia" w:eastAsiaTheme="minorEastAsia" w:cstheme="minor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489" w:hRule="atLeast"/>
        </w:trPr>
        <w:tc>
          <w:tcPr>
            <w:tcW w:w="816" w:type="dxa"/>
            <w:vAlign w:val="center"/>
          </w:tcPr>
          <w:p>
            <w:pPr>
              <w:pStyle w:val="33"/>
              <w:spacing w:line="44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5</w:t>
            </w:r>
          </w:p>
        </w:tc>
        <w:tc>
          <w:tcPr>
            <w:tcW w:w="2269" w:type="dxa"/>
            <w:vAlign w:val="center"/>
          </w:tcPr>
          <w:p>
            <w:pPr>
              <w:pStyle w:val="33"/>
              <w:spacing w:line="44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污泥处理处置费</w:t>
            </w:r>
          </w:p>
        </w:tc>
        <w:tc>
          <w:tcPr>
            <w:tcW w:w="1419" w:type="dxa"/>
            <w:vAlign w:val="center"/>
          </w:tcPr>
          <w:p>
            <w:pPr>
              <w:pStyle w:val="33"/>
              <w:spacing w:line="440" w:lineRule="exact"/>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73.00</w:t>
            </w:r>
          </w:p>
        </w:tc>
        <w:tc>
          <w:tcPr>
            <w:tcW w:w="4019" w:type="dxa"/>
            <w:vAlign w:val="center"/>
          </w:tcPr>
          <w:p>
            <w:pPr>
              <w:pStyle w:val="33"/>
              <w:spacing w:line="440" w:lineRule="exact"/>
              <w:jc w:val="center"/>
              <w:rPr>
                <w:rFonts w:asciiTheme="minorEastAsia" w:hAnsiTheme="minorEastAsia" w:eastAsiaTheme="minorEastAsia" w:cstheme="minor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489" w:hRule="atLeast"/>
        </w:trPr>
        <w:tc>
          <w:tcPr>
            <w:tcW w:w="816" w:type="dxa"/>
            <w:vAlign w:val="center"/>
          </w:tcPr>
          <w:p>
            <w:pPr>
              <w:pStyle w:val="33"/>
              <w:spacing w:line="44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6</w:t>
            </w:r>
          </w:p>
        </w:tc>
        <w:tc>
          <w:tcPr>
            <w:tcW w:w="2269" w:type="dxa"/>
            <w:vAlign w:val="center"/>
          </w:tcPr>
          <w:p>
            <w:pPr>
              <w:pStyle w:val="33"/>
              <w:spacing w:line="44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年修理费</w:t>
            </w:r>
          </w:p>
        </w:tc>
        <w:tc>
          <w:tcPr>
            <w:tcW w:w="1419" w:type="dxa"/>
            <w:vAlign w:val="center"/>
          </w:tcPr>
          <w:p>
            <w:pPr>
              <w:pStyle w:val="33"/>
              <w:spacing w:line="440" w:lineRule="exact"/>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15.12</w:t>
            </w:r>
          </w:p>
        </w:tc>
        <w:tc>
          <w:tcPr>
            <w:tcW w:w="4019" w:type="dxa"/>
            <w:vAlign w:val="center"/>
          </w:tcPr>
          <w:p>
            <w:pPr>
              <w:pStyle w:val="33"/>
              <w:spacing w:line="440" w:lineRule="exact"/>
              <w:jc w:val="center"/>
              <w:rPr>
                <w:rFonts w:asciiTheme="minorEastAsia" w:hAnsiTheme="minorEastAsia" w:eastAsiaTheme="minorEastAsia" w:cstheme="minor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489" w:hRule="atLeast"/>
        </w:trPr>
        <w:tc>
          <w:tcPr>
            <w:tcW w:w="816" w:type="dxa"/>
            <w:vAlign w:val="center"/>
          </w:tcPr>
          <w:p>
            <w:pPr>
              <w:pStyle w:val="33"/>
              <w:spacing w:line="44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7</w:t>
            </w:r>
          </w:p>
        </w:tc>
        <w:tc>
          <w:tcPr>
            <w:tcW w:w="2269" w:type="dxa"/>
            <w:vAlign w:val="center"/>
          </w:tcPr>
          <w:p>
            <w:pPr>
              <w:pStyle w:val="33"/>
              <w:spacing w:line="44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管理及其他费用</w:t>
            </w:r>
          </w:p>
        </w:tc>
        <w:tc>
          <w:tcPr>
            <w:tcW w:w="1419" w:type="dxa"/>
            <w:vAlign w:val="center"/>
          </w:tcPr>
          <w:p>
            <w:pPr>
              <w:pStyle w:val="33"/>
              <w:spacing w:line="440" w:lineRule="exact"/>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97.93</w:t>
            </w:r>
          </w:p>
        </w:tc>
        <w:tc>
          <w:tcPr>
            <w:tcW w:w="4019" w:type="dxa"/>
            <w:vAlign w:val="center"/>
          </w:tcPr>
          <w:p>
            <w:pPr>
              <w:pStyle w:val="33"/>
              <w:spacing w:line="44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按（1）~（6）及折旧费用的8%计算</w:t>
            </w:r>
          </w:p>
        </w:tc>
      </w:tr>
    </w:tbl>
    <w:p>
      <w:pPr>
        <w:pStyle w:val="10"/>
        <w:spacing w:line="500" w:lineRule="exact"/>
        <w:ind w:firstLine="482" w:firstLineChars="200"/>
        <w:jc w:val="both"/>
        <w:rPr>
          <w:rFonts w:asciiTheme="minorEastAsia" w:hAnsiTheme="minorEastAsia" w:eastAsiaTheme="minorEastAsia" w:cstheme="minorEastAsia"/>
          <w:b/>
          <w:color w:val="auto"/>
          <w:sz w:val="24"/>
          <w:szCs w:val="24"/>
        </w:rPr>
      </w:pPr>
    </w:p>
    <w:p>
      <w:pPr>
        <w:tabs>
          <w:tab w:val="left" w:pos="8863"/>
        </w:tabs>
        <w:spacing w:line="500" w:lineRule="exact"/>
        <w:ind w:firstLine="480" w:firstLineChars="200"/>
        <w:jc w:val="both"/>
        <w:rPr>
          <w:rFonts w:asciiTheme="minorEastAsia" w:hAnsiTheme="minorEastAsia" w:eastAsiaTheme="minorEastAsia" w:cstheme="minorEastAsia"/>
          <w:color w:val="auto"/>
          <w:sz w:val="24"/>
          <w:szCs w:val="24"/>
        </w:rPr>
        <w:sectPr>
          <w:type w:val="nextColumn"/>
          <w:pgSz w:w="11910" w:h="16840"/>
          <w:pgMar w:top="1418" w:right="1418" w:bottom="1418" w:left="1701" w:header="0" w:footer="346" w:gutter="0"/>
          <w:cols w:space="720" w:num="1"/>
        </w:sectPr>
      </w:pPr>
      <w:bookmarkStart w:id="187" w:name="_bookmark154"/>
      <w:bookmarkEnd w:id="187"/>
    </w:p>
    <w:p>
      <w:pPr>
        <w:pStyle w:val="2"/>
        <w:numPr>
          <w:ilvl w:val="0"/>
          <w:numId w:val="65"/>
        </w:numPr>
        <w:jc w:val="center"/>
        <w:rPr>
          <w:color w:val="auto"/>
        </w:rPr>
      </w:pPr>
      <w:bookmarkStart w:id="188" w:name="十四_、社会稳定风险分析"/>
      <w:bookmarkEnd w:id="188"/>
      <w:bookmarkStart w:id="189" w:name="_Toc6696"/>
      <w:bookmarkStart w:id="190" w:name="_Toc4886"/>
      <w:r>
        <w:rPr>
          <w:rFonts w:hint="eastAsia"/>
          <w:color w:val="auto"/>
        </w:rPr>
        <w:t>社会稳定风险分析</w:t>
      </w:r>
      <w:bookmarkEnd w:id="189"/>
      <w:bookmarkEnd w:id="190"/>
    </w:p>
    <w:p>
      <w:pPr>
        <w:pStyle w:val="32"/>
        <w:numPr>
          <w:ilvl w:val="0"/>
          <w:numId w:val="91"/>
        </w:numPr>
        <w:tabs>
          <w:tab w:val="left" w:pos="1016"/>
        </w:tabs>
        <w:spacing w:line="500" w:lineRule="exact"/>
        <w:jc w:val="both"/>
        <w:outlineLvl w:val="0"/>
        <w:rPr>
          <w:rFonts w:asciiTheme="minorEastAsia" w:hAnsiTheme="minorEastAsia" w:eastAsiaTheme="minorEastAsia" w:cstheme="minorEastAsia"/>
          <w:b/>
          <w:bCs/>
          <w:vanish/>
          <w:color w:val="auto"/>
          <w:sz w:val="24"/>
          <w:szCs w:val="24"/>
        </w:rPr>
      </w:pPr>
      <w:bookmarkStart w:id="191" w:name="14.1编制依据"/>
      <w:bookmarkEnd w:id="191"/>
      <w:bookmarkStart w:id="192" w:name="_Toc13002"/>
    </w:p>
    <w:p>
      <w:pPr>
        <w:pStyle w:val="32"/>
        <w:numPr>
          <w:ilvl w:val="0"/>
          <w:numId w:val="91"/>
        </w:numPr>
        <w:tabs>
          <w:tab w:val="left" w:pos="1016"/>
        </w:tabs>
        <w:spacing w:line="500" w:lineRule="exact"/>
        <w:jc w:val="both"/>
        <w:outlineLvl w:val="0"/>
        <w:rPr>
          <w:rFonts w:asciiTheme="minorEastAsia" w:hAnsiTheme="minorEastAsia" w:eastAsiaTheme="minorEastAsia" w:cstheme="minorEastAsia"/>
          <w:b/>
          <w:bCs/>
          <w:vanish/>
          <w:color w:val="auto"/>
          <w:sz w:val="24"/>
          <w:szCs w:val="24"/>
        </w:rPr>
      </w:pPr>
    </w:p>
    <w:p>
      <w:pPr>
        <w:pStyle w:val="2"/>
        <w:numPr>
          <w:ilvl w:val="0"/>
          <w:numId w:val="0"/>
        </w:numPr>
        <w:tabs>
          <w:tab w:val="left" w:pos="1016"/>
        </w:tabs>
        <w:spacing w:before="0" w:line="500" w:lineRule="exact"/>
        <w:ind w:leftChars="0"/>
        <w:jc w:val="both"/>
        <w:rPr>
          <w:rFonts w:asciiTheme="minorEastAsia" w:hAnsiTheme="minorEastAsia" w:eastAsiaTheme="minorEastAsia" w:cstheme="minorEastAsia"/>
          <w:color w:val="auto"/>
          <w:sz w:val="24"/>
          <w:szCs w:val="24"/>
        </w:rPr>
      </w:pPr>
      <w:bookmarkStart w:id="193" w:name="_Toc303"/>
      <w:r>
        <w:rPr>
          <w:rFonts w:hint="eastAsia" w:asciiTheme="minorEastAsia" w:hAnsiTheme="minorEastAsia" w:eastAsiaTheme="minorEastAsia" w:cstheme="minorEastAsia"/>
          <w:color w:val="auto"/>
          <w:sz w:val="24"/>
          <w:szCs w:val="24"/>
          <w:lang w:val="en-US" w:eastAsia="zh-CN"/>
        </w:rPr>
        <w:t>14.1</w:t>
      </w:r>
      <w:r>
        <w:rPr>
          <w:rFonts w:hint="eastAsia" w:asciiTheme="minorEastAsia" w:hAnsiTheme="minorEastAsia" w:eastAsiaTheme="minorEastAsia" w:cstheme="minorEastAsia"/>
          <w:color w:val="auto"/>
          <w:sz w:val="24"/>
          <w:szCs w:val="24"/>
        </w:rPr>
        <w:t>编制依据</w:t>
      </w:r>
      <w:bookmarkEnd w:id="192"/>
      <w:bookmarkEnd w:id="193"/>
    </w:p>
    <w:p>
      <w:pPr>
        <w:pStyle w:val="10"/>
        <w:numPr>
          <w:ilvl w:val="0"/>
          <w:numId w:val="92"/>
        </w:numPr>
        <w:spacing w:line="500" w:lineRule="exact"/>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中华人民共和国《风险管理原则与实施指南》GB/T 24353-2022（GBT-24353-</w:t>
      </w:r>
      <w:r>
        <w:rPr>
          <w:rFonts w:hint="eastAsia" w:asciiTheme="minorEastAsia" w:hAnsiTheme="minorEastAsia" w:eastAsiaTheme="minorEastAsia" w:cstheme="minorEastAsia"/>
          <w:color w:val="auto"/>
          <w:spacing w:val="-22"/>
          <w:sz w:val="24"/>
          <w:szCs w:val="24"/>
        </w:rPr>
        <w:t>2009）；</w:t>
      </w:r>
    </w:p>
    <w:p>
      <w:pPr>
        <w:pStyle w:val="10"/>
        <w:numPr>
          <w:ilvl w:val="0"/>
          <w:numId w:val="92"/>
        </w:numPr>
        <w:spacing w:line="500" w:lineRule="exact"/>
        <w:jc w:val="both"/>
        <w:rPr>
          <w:rFonts w:asciiTheme="minorEastAsia" w:hAnsiTheme="minorEastAsia" w:eastAsiaTheme="minorEastAsia" w:cstheme="minorEastAsia"/>
          <w:color w:val="auto"/>
          <w:spacing w:val="-15"/>
          <w:sz w:val="24"/>
          <w:szCs w:val="24"/>
        </w:rPr>
      </w:pPr>
      <w:bookmarkStart w:id="194" w:name="14.2风险调查"/>
      <w:bookmarkEnd w:id="194"/>
      <w:bookmarkStart w:id="195" w:name="_Toc21218"/>
      <w:r>
        <w:rPr>
          <w:rFonts w:hint="eastAsia" w:asciiTheme="minorEastAsia" w:hAnsiTheme="minorEastAsia" w:eastAsiaTheme="minorEastAsia" w:cstheme="minorEastAsia"/>
          <w:color w:val="auto"/>
          <w:spacing w:val="-15"/>
          <w:sz w:val="24"/>
          <w:szCs w:val="24"/>
        </w:rPr>
        <w:t>风险调《国家发展改革委重大固定资产投资项目社会稳定风险评估暂行办法》（发改投资〔2012〕2492号）；</w:t>
      </w:r>
    </w:p>
    <w:p>
      <w:pPr>
        <w:pStyle w:val="10"/>
        <w:numPr>
          <w:ilvl w:val="0"/>
          <w:numId w:val="92"/>
        </w:numPr>
        <w:spacing w:line="500" w:lineRule="exact"/>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《中共中央办公厅、国务院办公厅印发〈关于建立健全重大决策事项社会稳定风险评估机制的指导意见（试行）〉的通知》（发改办投资〔2013〕428号）；</w:t>
      </w:r>
    </w:p>
    <w:p>
      <w:pPr>
        <w:pStyle w:val="10"/>
        <w:numPr>
          <w:ilvl w:val="0"/>
          <w:numId w:val="92"/>
        </w:numPr>
        <w:spacing w:line="500" w:lineRule="exact"/>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广东省人民政府《关于建立广东省重大事项社会稳定风险评估工作机制</w:t>
      </w:r>
    </w:p>
    <w:p>
      <w:pPr>
        <w:pStyle w:val="10"/>
        <w:numPr>
          <w:ilvl w:val="0"/>
          <w:numId w:val="92"/>
        </w:numPr>
        <w:spacing w:line="500" w:lineRule="exact"/>
        <w:jc w:val="both"/>
        <w:rPr>
          <w:rFonts w:asciiTheme="minorEastAsia" w:hAnsiTheme="minorEastAsia" w:eastAsiaTheme="minorEastAsia" w:cstheme="minorEastAsia"/>
          <w:color w:val="auto"/>
          <w:spacing w:val="-15"/>
          <w:sz w:val="24"/>
          <w:szCs w:val="24"/>
        </w:rPr>
      </w:pPr>
      <w:r>
        <w:rPr>
          <w:rFonts w:hint="eastAsia" w:asciiTheme="minorEastAsia" w:hAnsiTheme="minorEastAsia" w:eastAsiaTheme="minorEastAsia" w:cstheme="minorEastAsia"/>
          <w:color w:val="auto"/>
          <w:spacing w:val="-15"/>
          <w:sz w:val="24"/>
          <w:szCs w:val="24"/>
        </w:rPr>
        <w:t>《广东省发展改革委重大项目社会稳定风险评估暂行办法》（粤发改重点〔2012〕1095号）。</w:t>
      </w:r>
    </w:p>
    <w:bookmarkEnd w:id="195"/>
    <w:p>
      <w:pPr>
        <w:pStyle w:val="2"/>
        <w:numPr>
          <w:ilvl w:val="0"/>
          <w:numId w:val="0"/>
        </w:numPr>
        <w:tabs>
          <w:tab w:val="left" w:pos="1016"/>
        </w:tabs>
        <w:spacing w:before="0" w:line="500" w:lineRule="exact"/>
        <w:ind w:leftChars="50"/>
        <w:jc w:val="both"/>
        <w:rPr>
          <w:rFonts w:asciiTheme="minorEastAsia" w:hAnsiTheme="minorEastAsia" w:eastAsiaTheme="minorEastAsia" w:cstheme="minorEastAsia"/>
          <w:color w:val="auto"/>
          <w:sz w:val="24"/>
          <w:szCs w:val="24"/>
        </w:rPr>
      </w:pPr>
      <w:bookmarkStart w:id="196" w:name="_Toc11446"/>
      <w:r>
        <w:rPr>
          <w:rFonts w:hint="eastAsia" w:asciiTheme="minorEastAsia" w:hAnsiTheme="minorEastAsia" w:eastAsiaTheme="minorEastAsia" w:cstheme="minorEastAsia"/>
          <w:color w:val="auto"/>
          <w:sz w:val="24"/>
          <w:szCs w:val="24"/>
          <w:lang w:val="en-US" w:eastAsia="zh-CN"/>
        </w:rPr>
        <w:t>14.2</w:t>
      </w:r>
      <w:r>
        <w:rPr>
          <w:rFonts w:hint="eastAsia" w:asciiTheme="minorEastAsia" w:hAnsiTheme="minorEastAsia" w:eastAsiaTheme="minorEastAsia" w:cstheme="minorEastAsia"/>
          <w:color w:val="auto"/>
          <w:sz w:val="24"/>
          <w:szCs w:val="24"/>
          <w:lang w:val="en-US"/>
        </w:rPr>
        <w:t>风险调查</w:t>
      </w:r>
      <w:bookmarkEnd w:id="196"/>
    </w:p>
    <w:p>
      <w:pPr>
        <w:pStyle w:val="32"/>
        <w:numPr>
          <w:ilvl w:val="0"/>
          <w:numId w:val="93"/>
        </w:numPr>
        <w:tabs>
          <w:tab w:val="left" w:pos="2007"/>
        </w:tabs>
        <w:spacing w:line="500" w:lineRule="exact"/>
        <w:jc w:val="both"/>
        <w:rPr>
          <w:rFonts w:asciiTheme="minorEastAsia" w:hAnsiTheme="minorEastAsia" w:eastAsiaTheme="minorEastAsia" w:cstheme="minorEastAsia"/>
          <w:b/>
          <w:vanish/>
          <w:color w:val="auto"/>
          <w:sz w:val="24"/>
          <w:szCs w:val="24"/>
        </w:rPr>
      </w:pPr>
    </w:p>
    <w:p>
      <w:pPr>
        <w:pStyle w:val="32"/>
        <w:numPr>
          <w:ilvl w:val="0"/>
          <w:numId w:val="93"/>
        </w:numPr>
        <w:tabs>
          <w:tab w:val="left" w:pos="2007"/>
        </w:tabs>
        <w:spacing w:line="500" w:lineRule="exact"/>
        <w:jc w:val="both"/>
        <w:rPr>
          <w:rFonts w:asciiTheme="minorEastAsia" w:hAnsiTheme="minorEastAsia" w:eastAsiaTheme="minorEastAsia" w:cstheme="minorEastAsia"/>
          <w:b/>
          <w:vanish/>
          <w:color w:val="auto"/>
          <w:sz w:val="24"/>
          <w:szCs w:val="24"/>
        </w:rPr>
      </w:pPr>
    </w:p>
    <w:p>
      <w:pPr>
        <w:pStyle w:val="32"/>
        <w:numPr>
          <w:ilvl w:val="1"/>
          <w:numId w:val="93"/>
        </w:numPr>
        <w:tabs>
          <w:tab w:val="left" w:pos="2007"/>
        </w:tabs>
        <w:spacing w:line="500" w:lineRule="exact"/>
        <w:jc w:val="both"/>
        <w:rPr>
          <w:rFonts w:asciiTheme="minorEastAsia" w:hAnsiTheme="minorEastAsia" w:eastAsiaTheme="minorEastAsia" w:cstheme="minorEastAsia"/>
          <w:b/>
          <w:vanish/>
          <w:color w:val="auto"/>
          <w:sz w:val="24"/>
          <w:szCs w:val="24"/>
        </w:rPr>
      </w:pPr>
    </w:p>
    <w:p>
      <w:pPr>
        <w:pStyle w:val="32"/>
        <w:numPr>
          <w:ilvl w:val="2"/>
          <w:numId w:val="0"/>
        </w:numPr>
        <w:tabs>
          <w:tab w:val="left" w:pos="2007"/>
        </w:tabs>
        <w:spacing w:line="500" w:lineRule="exact"/>
        <w:ind w:left="482" w:leftChars="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lang w:val="en-US" w:eastAsia="zh-CN"/>
        </w:rPr>
        <w:t>14.2.1</w:t>
      </w:r>
      <w:r>
        <w:rPr>
          <w:rFonts w:hint="eastAsia" w:asciiTheme="minorEastAsia" w:hAnsiTheme="minorEastAsia" w:eastAsiaTheme="minorEastAsia" w:cstheme="minorEastAsia"/>
          <w:b/>
          <w:color w:val="auto"/>
          <w:sz w:val="24"/>
          <w:szCs w:val="24"/>
        </w:rPr>
        <w:t>调查范围</w:t>
      </w:r>
    </w:p>
    <w:p>
      <w:pPr>
        <w:pStyle w:val="10"/>
        <w:spacing w:line="500" w:lineRule="exact"/>
        <w:ind w:firstLine="420" w:firstLineChars="200"/>
        <w:jc w:val="both"/>
        <w:rPr>
          <w:rFonts w:asciiTheme="minorEastAsia" w:hAnsiTheme="minorEastAsia" w:eastAsiaTheme="minorEastAsia" w:cstheme="minorEastAsia"/>
          <w:color w:val="auto"/>
          <w:spacing w:val="-10"/>
          <w:sz w:val="24"/>
          <w:szCs w:val="24"/>
        </w:rPr>
      </w:pPr>
      <w:r>
        <w:rPr>
          <w:rFonts w:hint="eastAsia" w:asciiTheme="minorEastAsia" w:hAnsiTheme="minorEastAsia" w:eastAsiaTheme="minorEastAsia" w:cstheme="minorEastAsia"/>
          <w:color w:val="auto"/>
          <w:spacing w:val="-15"/>
          <w:sz w:val="24"/>
          <w:szCs w:val="24"/>
        </w:rPr>
        <w:t>本项目建设地点位于罗定市，主要目的是解决现有农村生活</w:t>
      </w:r>
      <w:r>
        <w:rPr>
          <w:rFonts w:hint="eastAsia" w:asciiTheme="minorEastAsia" w:hAnsiTheme="minorEastAsia" w:eastAsiaTheme="minorEastAsia" w:cstheme="minorEastAsia"/>
          <w:color w:val="auto"/>
          <w:spacing w:val="-22"/>
          <w:sz w:val="24"/>
          <w:szCs w:val="24"/>
        </w:rPr>
        <w:t>污</w:t>
      </w:r>
      <w:r>
        <w:rPr>
          <w:rFonts w:hint="eastAsia" w:asciiTheme="minorEastAsia" w:hAnsiTheme="minorEastAsia" w:eastAsiaTheme="minorEastAsia" w:cstheme="minorEastAsia"/>
          <w:color w:val="auto"/>
          <w:spacing w:val="-25"/>
          <w:sz w:val="24"/>
          <w:szCs w:val="24"/>
        </w:rPr>
        <w:t>水</w:t>
      </w:r>
      <w:r>
        <w:rPr>
          <w:rFonts w:hint="eastAsia" w:asciiTheme="minorEastAsia" w:hAnsiTheme="minorEastAsia" w:eastAsiaTheme="minorEastAsia" w:cstheme="minorEastAsia"/>
          <w:color w:val="auto"/>
          <w:spacing w:val="-22"/>
          <w:sz w:val="24"/>
          <w:szCs w:val="24"/>
        </w:rPr>
        <w:t>无</w:t>
      </w:r>
      <w:r>
        <w:rPr>
          <w:rFonts w:hint="eastAsia" w:asciiTheme="minorEastAsia" w:hAnsiTheme="minorEastAsia" w:eastAsiaTheme="minorEastAsia" w:cstheme="minorEastAsia"/>
          <w:color w:val="auto"/>
          <w:spacing w:val="-25"/>
          <w:sz w:val="24"/>
          <w:szCs w:val="24"/>
        </w:rPr>
        <w:t>序</w:t>
      </w:r>
      <w:r>
        <w:rPr>
          <w:rFonts w:hint="eastAsia" w:asciiTheme="minorEastAsia" w:hAnsiTheme="minorEastAsia" w:eastAsiaTheme="minorEastAsia" w:cstheme="minorEastAsia"/>
          <w:color w:val="auto"/>
          <w:spacing w:val="-22"/>
          <w:sz w:val="24"/>
          <w:szCs w:val="24"/>
        </w:rPr>
        <w:t>排</w:t>
      </w:r>
      <w:r>
        <w:rPr>
          <w:rFonts w:hint="eastAsia" w:asciiTheme="minorEastAsia" w:hAnsiTheme="minorEastAsia" w:eastAsiaTheme="minorEastAsia" w:cstheme="minorEastAsia"/>
          <w:color w:val="auto"/>
          <w:spacing w:val="-25"/>
          <w:sz w:val="24"/>
          <w:szCs w:val="24"/>
        </w:rPr>
        <w:t>放</w:t>
      </w:r>
      <w:r>
        <w:rPr>
          <w:rFonts w:hint="eastAsia" w:asciiTheme="minorEastAsia" w:hAnsiTheme="minorEastAsia" w:eastAsiaTheme="minorEastAsia" w:cstheme="minorEastAsia"/>
          <w:color w:val="auto"/>
          <w:spacing w:val="-22"/>
          <w:sz w:val="24"/>
          <w:szCs w:val="24"/>
        </w:rPr>
        <w:t>、</w:t>
      </w:r>
      <w:r>
        <w:rPr>
          <w:rFonts w:hint="eastAsia" w:asciiTheme="minorEastAsia" w:hAnsiTheme="minorEastAsia" w:eastAsiaTheme="minorEastAsia" w:cstheme="minorEastAsia"/>
          <w:color w:val="auto"/>
          <w:spacing w:val="-25"/>
          <w:sz w:val="24"/>
          <w:szCs w:val="24"/>
        </w:rPr>
        <w:t>处</w:t>
      </w:r>
      <w:r>
        <w:rPr>
          <w:rFonts w:hint="eastAsia" w:asciiTheme="minorEastAsia" w:hAnsiTheme="minorEastAsia" w:eastAsiaTheme="minorEastAsia" w:cstheme="minorEastAsia"/>
          <w:color w:val="auto"/>
          <w:spacing w:val="-22"/>
          <w:sz w:val="24"/>
          <w:szCs w:val="24"/>
        </w:rPr>
        <w:t>理</w:t>
      </w:r>
      <w:r>
        <w:rPr>
          <w:rFonts w:hint="eastAsia" w:asciiTheme="minorEastAsia" w:hAnsiTheme="minorEastAsia" w:eastAsiaTheme="minorEastAsia" w:cstheme="minorEastAsia"/>
          <w:color w:val="auto"/>
          <w:spacing w:val="-25"/>
          <w:sz w:val="24"/>
          <w:szCs w:val="24"/>
        </w:rPr>
        <w:t>能</w:t>
      </w:r>
      <w:r>
        <w:rPr>
          <w:rFonts w:hint="eastAsia" w:asciiTheme="minorEastAsia" w:hAnsiTheme="minorEastAsia" w:eastAsiaTheme="minorEastAsia" w:cstheme="minorEastAsia"/>
          <w:color w:val="auto"/>
          <w:spacing w:val="-22"/>
          <w:sz w:val="24"/>
          <w:szCs w:val="24"/>
        </w:rPr>
        <w:t>力</w:t>
      </w:r>
      <w:r>
        <w:rPr>
          <w:rFonts w:hint="eastAsia" w:asciiTheme="minorEastAsia" w:hAnsiTheme="minorEastAsia" w:eastAsiaTheme="minorEastAsia" w:cstheme="minorEastAsia"/>
          <w:color w:val="auto"/>
          <w:spacing w:val="-25"/>
          <w:sz w:val="24"/>
          <w:szCs w:val="24"/>
        </w:rPr>
        <w:t>不</w:t>
      </w:r>
      <w:r>
        <w:rPr>
          <w:rFonts w:hint="eastAsia" w:asciiTheme="minorEastAsia" w:hAnsiTheme="minorEastAsia" w:eastAsiaTheme="minorEastAsia" w:cstheme="minorEastAsia"/>
          <w:color w:val="auto"/>
          <w:spacing w:val="-22"/>
          <w:sz w:val="24"/>
          <w:szCs w:val="24"/>
        </w:rPr>
        <w:t>足</w:t>
      </w:r>
      <w:r>
        <w:rPr>
          <w:rFonts w:hint="eastAsia" w:asciiTheme="minorEastAsia" w:hAnsiTheme="minorEastAsia" w:eastAsiaTheme="minorEastAsia" w:cstheme="minorEastAsia"/>
          <w:color w:val="auto"/>
          <w:spacing w:val="-25"/>
          <w:sz w:val="24"/>
          <w:szCs w:val="24"/>
        </w:rPr>
        <w:t>的</w:t>
      </w:r>
      <w:r>
        <w:rPr>
          <w:rFonts w:hint="eastAsia" w:asciiTheme="minorEastAsia" w:hAnsiTheme="minorEastAsia" w:eastAsiaTheme="minorEastAsia" w:cstheme="minorEastAsia"/>
          <w:color w:val="auto"/>
          <w:spacing w:val="-22"/>
          <w:sz w:val="24"/>
          <w:szCs w:val="24"/>
        </w:rPr>
        <w:t>局</w:t>
      </w:r>
      <w:r>
        <w:rPr>
          <w:rFonts w:hint="eastAsia" w:asciiTheme="minorEastAsia" w:hAnsiTheme="minorEastAsia" w:eastAsiaTheme="minorEastAsia" w:cstheme="minorEastAsia"/>
          <w:color w:val="auto"/>
          <w:spacing w:val="-25"/>
          <w:sz w:val="24"/>
          <w:szCs w:val="24"/>
        </w:rPr>
        <w:t>面</w:t>
      </w:r>
      <w:r>
        <w:rPr>
          <w:rFonts w:hint="eastAsia" w:asciiTheme="minorEastAsia" w:hAnsiTheme="minorEastAsia" w:eastAsiaTheme="minorEastAsia" w:cstheme="minorEastAsia"/>
          <w:color w:val="auto"/>
          <w:spacing w:val="-22"/>
          <w:sz w:val="24"/>
          <w:szCs w:val="24"/>
        </w:rPr>
        <w:t>，</w:t>
      </w:r>
      <w:r>
        <w:rPr>
          <w:rFonts w:hint="eastAsia" w:asciiTheme="minorEastAsia" w:hAnsiTheme="minorEastAsia" w:eastAsiaTheme="minorEastAsia" w:cstheme="minorEastAsia"/>
          <w:color w:val="auto"/>
          <w:spacing w:val="-25"/>
          <w:sz w:val="24"/>
          <w:szCs w:val="24"/>
        </w:rPr>
        <w:t>有</w:t>
      </w:r>
      <w:r>
        <w:rPr>
          <w:rFonts w:hint="eastAsia" w:asciiTheme="minorEastAsia" w:hAnsiTheme="minorEastAsia" w:eastAsiaTheme="minorEastAsia" w:cstheme="minorEastAsia"/>
          <w:color w:val="auto"/>
          <w:spacing w:val="-22"/>
          <w:sz w:val="24"/>
          <w:szCs w:val="24"/>
        </w:rPr>
        <w:t>效改</w:t>
      </w:r>
      <w:r>
        <w:rPr>
          <w:rFonts w:hint="eastAsia" w:asciiTheme="minorEastAsia" w:hAnsiTheme="minorEastAsia" w:eastAsiaTheme="minorEastAsia" w:cstheme="minorEastAsia"/>
          <w:color w:val="auto"/>
          <w:spacing w:val="-25"/>
          <w:sz w:val="24"/>
          <w:szCs w:val="24"/>
        </w:rPr>
        <w:t>善</w:t>
      </w:r>
      <w:r>
        <w:rPr>
          <w:rFonts w:hint="eastAsia" w:asciiTheme="minorEastAsia" w:hAnsiTheme="minorEastAsia" w:eastAsiaTheme="minorEastAsia" w:cstheme="minorEastAsia"/>
          <w:color w:val="auto"/>
          <w:spacing w:val="-22"/>
          <w:sz w:val="24"/>
          <w:szCs w:val="24"/>
        </w:rPr>
        <w:t>整</w:t>
      </w:r>
      <w:r>
        <w:rPr>
          <w:rFonts w:hint="eastAsia" w:asciiTheme="minorEastAsia" w:hAnsiTheme="minorEastAsia" w:eastAsiaTheme="minorEastAsia" w:cstheme="minorEastAsia"/>
          <w:color w:val="auto"/>
          <w:spacing w:val="-25"/>
          <w:sz w:val="24"/>
          <w:szCs w:val="24"/>
        </w:rPr>
        <w:t>个</w:t>
      </w:r>
      <w:r>
        <w:rPr>
          <w:rFonts w:hint="eastAsia" w:asciiTheme="minorEastAsia" w:hAnsiTheme="minorEastAsia" w:eastAsiaTheme="minorEastAsia" w:cstheme="minorEastAsia"/>
          <w:color w:val="auto"/>
          <w:spacing w:val="-22"/>
          <w:sz w:val="24"/>
          <w:szCs w:val="24"/>
        </w:rPr>
        <w:t>区</w:t>
      </w:r>
      <w:r>
        <w:rPr>
          <w:rFonts w:hint="eastAsia" w:asciiTheme="minorEastAsia" w:hAnsiTheme="minorEastAsia" w:eastAsiaTheme="minorEastAsia" w:cstheme="minorEastAsia"/>
          <w:color w:val="auto"/>
          <w:spacing w:val="-25"/>
          <w:sz w:val="24"/>
          <w:szCs w:val="24"/>
        </w:rPr>
        <w:t>域</w:t>
      </w:r>
      <w:r>
        <w:rPr>
          <w:rFonts w:hint="eastAsia" w:asciiTheme="minorEastAsia" w:hAnsiTheme="minorEastAsia" w:eastAsiaTheme="minorEastAsia" w:cstheme="minorEastAsia"/>
          <w:color w:val="auto"/>
          <w:spacing w:val="-22"/>
          <w:sz w:val="24"/>
          <w:szCs w:val="24"/>
        </w:rPr>
        <w:t>的</w:t>
      </w:r>
      <w:r>
        <w:rPr>
          <w:rFonts w:hint="eastAsia" w:asciiTheme="minorEastAsia" w:hAnsiTheme="minorEastAsia" w:eastAsiaTheme="minorEastAsia" w:cstheme="minorEastAsia"/>
          <w:color w:val="auto"/>
          <w:spacing w:val="-25"/>
          <w:sz w:val="24"/>
          <w:szCs w:val="24"/>
        </w:rPr>
        <w:t>水</w:t>
      </w:r>
      <w:r>
        <w:rPr>
          <w:rFonts w:hint="eastAsia" w:asciiTheme="minorEastAsia" w:hAnsiTheme="minorEastAsia" w:eastAsiaTheme="minorEastAsia" w:cstheme="minorEastAsia"/>
          <w:color w:val="auto"/>
          <w:sz w:val="24"/>
          <w:szCs w:val="24"/>
        </w:rPr>
        <w:t>环</w:t>
      </w:r>
      <w:r>
        <w:rPr>
          <w:rFonts w:hint="eastAsia" w:asciiTheme="minorEastAsia" w:hAnsiTheme="minorEastAsia" w:eastAsiaTheme="minorEastAsia" w:cstheme="minorEastAsia"/>
          <w:color w:val="auto"/>
          <w:spacing w:val="-13"/>
          <w:sz w:val="24"/>
          <w:szCs w:val="24"/>
        </w:rPr>
        <w:t>境</w:t>
      </w:r>
      <w:r>
        <w:rPr>
          <w:rFonts w:hint="eastAsia" w:asciiTheme="minorEastAsia" w:hAnsiTheme="minorEastAsia" w:eastAsiaTheme="minorEastAsia" w:cstheme="minorEastAsia"/>
          <w:color w:val="auto"/>
          <w:spacing w:val="-16"/>
          <w:sz w:val="24"/>
          <w:szCs w:val="24"/>
        </w:rPr>
        <w:t>，</w:t>
      </w:r>
      <w:r>
        <w:rPr>
          <w:rFonts w:hint="eastAsia" w:asciiTheme="minorEastAsia" w:hAnsiTheme="minorEastAsia" w:eastAsiaTheme="minorEastAsia" w:cstheme="minorEastAsia"/>
          <w:color w:val="auto"/>
          <w:spacing w:val="-13"/>
          <w:sz w:val="24"/>
          <w:szCs w:val="24"/>
        </w:rPr>
        <w:t>满</w:t>
      </w:r>
      <w:r>
        <w:rPr>
          <w:rFonts w:hint="eastAsia" w:asciiTheme="minorEastAsia" w:hAnsiTheme="minorEastAsia" w:eastAsiaTheme="minorEastAsia" w:cstheme="minorEastAsia"/>
          <w:color w:val="auto"/>
          <w:spacing w:val="-15"/>
          <w:sz w:val="24"/>
          <w:szCs w:val="24"/>
        </w:rPr>
        <w:t>足</w:t>
      </w:r>
      <w:r>
        <w:rPr>
          <w:rFonts w:hint="eastAsia" w:asciiTheme="minorEastAsia" w:hAnsiTheme="minorEastAsia" w:eastAsiaTheme="minorEastAsia" w:cstheme="minorEastAsia"/>
          <w:color w:val="auto"/>
          <w:spacing w:val="-13"/>
          <w:sz w:val="24"/>
          <w:szCs w:val="24"/>
        </w:rPr>
        <w:t>罗定</w:t>
      </w:r>
      <w:r>
        <w:rPr>
          <w:rFonts w:hint="eastAsia" w:asciiTheme="minorEastAsia" w:hAnsiTheme="minorEastAsia" w:eastAsiaTheme="minorEastAsia" w:cstheme="minorEastAsia"/>
          <w:color w:val="auto"/>
          <w:spacing w:val="-15"/>
          <w:sz w:val="24"/>
          <w:szCs w:val="24"/>
        </w:rPr>
        <w:t>市</w:t>
      </w:r>
      <w:r>
        <w:rPr>
          <w:rFonts w:hint="eastAsia" w:asciiTheme="minorEastAsia" w:hAnsiTheme="minorEastAsia" w:eastAsiaTheme="minorEastAsia" w:cstheme="minorEastAsia"/>
          <w:color w:val="auto"/>
          <w:spacing w:val="-13"/>
          <w:sz w:val="24"/>
          <w:szCs w:val="24"/>
        </w:rPr>
        <w:t>社会</w:t>
      </w:r>
      <w:r>
        <w:rPr>
          <w:rFonts w:hint="eastAsia" w:asciiTheme="minorEastAsia" w:hAnsiTheme="minorEastAsia" w:eastAsiaTheme="minorEastAsia" w:cstheme="minorEastAsia"/>
          <w:color w:val="auto"/>
          <w:spacing w:val="-15"/>
          <w:sz w:val="24"/>
          <w:szCs w:val="24"/>
        </w:rPr>
        <w:t>经</w:t>
      </w:r>
      <w:r>
        <w:rPr>
          <w:rFonts w:hint="eastAsia" w:asciiTheme="minorEastAsia" w:hAnsiTheme="minorEastAsia" w:eastAsiaTheme="minorEastAsia" w:cstheme="minorEastAsia"/>
          <w:color w:val="auto"/>
          <w:spacing w:val="-13"/>
          <w:sz w:val="24"/>
          <w:szCs w:val="24"/>
        </w:rPr>
        <w:t>济可</w:t>
      </w:r>
      <w:r>
        <w:rPr>
          <w:rFonts w:hint="eastAsia" w:asciiTheme="minorEastAsia" w:hAnsiTheme="minorEastAsia" w:eastAsiaTheme="minorEastAsia" w:cstheme="minorEastAsia"/>
          <w:color w:val="auto"/>
          <w:spacing w:val="-15"/>
          <w:sz w:val="24"/>
          <w:szCs w:val="24"/>
        </w:rPr>
        <w:t>持</w:t>
      </w:r>
      <w:r>
        <w:rPr>
          <w:rFonts w:hint="eastAsia" w:asciiTheme="minorEastAsia" w:hAnsiTheme="minorEastAsia" w:eastAsiaTheme="minorEastAsia" w:cstheme="minorEastAsia"/>
          <w:color w:val="auto"/>
          <w:spacing w:val="-13"/>
          <w:sz w:val="24"/>
          <w:szCs w:val="24"/>
        </w:rPr>
        <w:t>续发</w:t>
      </w:r>
      <w:r>
        <w:rPr>
          <w:rFonts w:hint="eastAsia" w:asciiTheme="minorEastAsia" w:hAnsiTheme="minorEastAsia" w:eastAsiaTheme="minorEastAsia" w:cstheme="minorEastAsia"/>
          <w:color w:val="auto"/>
          <w:spacing w:val="-15"/>
          <w:sz w:val="24"/>
          <w:szCs w:val="24"/>
        </w:rPr>
        <w:t>展</w:t>
      </w:r>
      <w:r>
        <w:rPr>
          <w:rFonts w:hint="eastAsia" w:asciiTheme="minorEastAsia" w:hAnsiTheme="minorEastAsia" w:eastAsiaTheme="minorEastAsia" w:cstheme="minorEastAsia"/>
          <w:color w:val="auto"/>
          <w:spacing w:val="-13"/>
          <w:sz w:val="24"/>
          <w:szCs w:val="24"/>
        </w:rPr>
        <w:t>的需</w:t>
      </w:r>
      <w:r>
        <w:rPr>
          <w:rFonts w:hint="eastAsia" w:asciiTheme="minorEastAsia" w:hAnsiTheme="minorEastAsia" w:eastAsiaTheme="minorEastAsia" w:cstheme="minorEastAsia"/>
          <w:color w:val="auto"/>
          <w:spacing w:val="-15"/>
          <w:sz w:val="24"/>
          <w:szCs w:val="24"/>
        </w:rPr>
        <w:t>求</w:t>
      </w:r>
      <w:r>
        <w:rPr>
          <w:rFonts w:hint="eastAsia" w:asciiTheme="minorEastAsia" w:hAnsiTheme="minorEastAsia" w:eastAsiaTheme="minorEastAsia" w:cstheme="minorEastAsia"/>
          <w:color w:val="auto"/>
          <w:spacing w:val="-13"/>
          <w:sz w:val="24"/>
          <w:szCs w:val="24"/>
        </w:rPr>
        <w:t>，具</w:t>
      </w:r>
      <w:r>
        <w:rPr>
          <w:rFonts w:hint="eastAsia" w:asciiTheme="minorEastAsia" w:hAnsiTheme="minorEastAsia" w:eastAsiaTheme="minorEastAsia" w:cstheme="minorEastAsia"/>
          <w:color w:val="auto"/>
          <w:spacing w:val="-15"/>
          <w:sz w:val="24"/>
          <w:szCs w:val="24"/>
        </w:rPr>
        <w:t>有</w:t>
      </w:r>
      <w:r>
        <w:rPr>
          <w:rFonts w:hint="eastAsia" w:asciiTheme="minorEastAsia" w:hAnsiTheme="minorEastAsia" w:eastAsiaTheme="minorEastAsia" w:cstheme="minorEastAsia"/>
          <w:color w:val="auto"/>
          <w:spacing w:val="-13"/>
          <w:sz w:val="24"/>
          <w:szCs w:val="24"/>
        </w:rPr>
        <w:t>良好</w:t>
      </w:r>
      <w:r>
        <w:rPr>
          <w:rFonts w:hint="eastAsia" w:asciiTheme="minorEastAsia" w:hAnsiTheme="minorEastAsia" w:eastAsiaTheme="minorEastAsia" w:cstheme="minorEastAsia"/>
          <w:color w:val="auto"/>
          <w:spacing w:val="-15"/>
          <w:sz w:val="24"/>
          <w:szCs w:val="24"/>
        </w:rPr>
        <w:t>的</w:t>
      </w:r>
      <w:r>
        <w:rPr>
          <w:rFonts w:hint="eastAsia" w:asciiTheme="minorEastAsia" w:hAnsiTheme="minorEastAsia" w:eastAsiaTheme="minorEastAsia" w:cstheme="minorEastAsia"/>
          <w:color w:val="auto"/>
          <w:spacing w:val="-13"/>
          <w:sz w:val="24"/>
          <w:szCs w:val="24"/>
        </w:rPr>
        <w:t>社会</w:t>
      </w:r>
      <w:r>
        <w:rPr>
          <w:rFonts w:hint="eastAsia" w:asciiTheme="minorEastAsia" w:hAnsiTheme="minorEastAsia" w:eastAsiaTheme="minorEastAsia" w:cstheme="minorEastAsia"/>
          <w:color w:val="auto"/>
          <w:spacing w:val="-15"/>
          <w:sz w:val="24"/>
          <w:szCs w:val="24"/>
        </w:rPr>
        <w:t>效益</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pacing w:val="-15"/>
          <w:sz w:val="24"/>
          <w:szCs w:val="24"/>
        </w:rPr>
        <w:t>调查范围包括项目区所在的行政区域，即罗定市，以及项目具体</w:t>
      </w:r>
      <w:r>
        <w:rPr>
          <w:rFonts w:hint="eastAsia" w:asciiTheme="minorEastAsia" w:hAnsiTheme="minorEastAsia" w:eastAsiaTheme="minorEastAsia" w:cstheme="minorEastAsia"/>
          <w:color w:val="auto"/>
          <w:spacing w:val="-10"/>
          <w:sz w:val="24"/>
          <w:szCs w:val="24"/>
        </w:rPr>
        <w:t>所在地各镇自然村。</w:t>
      </w:r>
    </w:p>
    <w:p>
      <w:pPr>
        <w:pStyle w:val="32"/>
        <w:numPr>
          <w:ilvl w:val="2"/>
          <w:numId w:val="0"/>
        </w:numPr>
        <w:tabs>
          <w:tab w:val="left" w:pos="2007"/>
        </w:tabs>
        <w:spacing w:line="500" w:lineRule="exact"/>
        <w:ind w:leftChars="200"/>
        <w:jc w:val="both"/>
        <w:rPr>
          <w:rFonts w:asciiTheme="minorEastAsia" w:hAnsiTheme="minorEastAsia" w:eastAsiaTheme="minorEastAsia" w:cstheme="minorEastAsia"/>
          <w:b/>
          <w:color w:val="auto"/>
          <w:sz w:val="24"/>
          <w:szCs w:val="24"/>
        </w:rPr>
      </w:pPr>
      <w:r>
        <w:rPr>
          <w:rFonts w:hint="eastAsia" w:asciiTheme="minorEastAsia" w:hAnsiTheme="minorEastAsia" w:eastAsiaTheme="minorEastAsia" w:cstheme="minorEastAsia"/>
          <w:b/>
          <w:color w:val="auto"/>
          <w:sz w:val="24"/>
          <w:szCs w:val="24"/>
          <w:lang w:val="en-US" w:eastAsia="zh-CN"/>
        </w:rPr>
        <w:t>14.2.2</w:t>
      </w:r>
      <w:r>
        <w:rPr>
          <w:rFonts w:hint="eastAsia" w:asciiTheme="minorEastAsia" w:hAnsiTheme="minorEastAsia" w:eastAsiaTheme="minorEastAsia" w:cstheme="minorEastAsia"/>
          <w:b/>
          <w:color w:val="auto"/>
          <w:sz w:val="24"/>
          <w:szCs w:val="24"/>
        </w:rPr>
        <w:t>调查内容</w:t>
      </w:r>
    </w:p>
    <w:p>
      <w:pPr>
        <w:pStyle w:val="10"/>
        <w:spacing w:line="500" w:lineRule="exact"/>
        <w:ind w:firstLine="508" w:firstLineChars="200"/>
        <w:jc w:val="both"/>
        <w:rPr>
          <w:rFonts w:asciiTheme="minorEastAsia" w:hAnsiTheme="minorEastAsia" w:eastAsiaTheme="minorEastAsia" w:cstheme="minorEastAsia"/>
          <w:color w:val="auto"/>
          <w:spacing w:val="7"/>
          <w:sz w:val="24"/>
          <w:szCs w:val="24"/>
        </w:rPr>
      </w:pPr>
      <w:r>
        <w:rPr>
          <w:rFonts w:hint="eastAsia" w:asciiTheme="minorEastAsia" w:hAnsiTheme="minorEastAsia" w:eastAsiaTheme="minorEastAsia" w:cstheme="minorEastAsia"/>
          <w:color w:val="auto"/>
          <w:spacing w:val="7"/>
          <w:sz w:val="24"/>
          <w:szCs w:val="24"/>
        </w:rPr>
        <w:t>本分析的调查内容包括项目工程规划、自然环境状况、社会境状况、利益相关者的意见和诉求、基层态度、媒体舆论导向和同类项目风险状况等。</w:t>
      </w:r>
    </w:p>
    <w:p>
      <w:pPr>
        <w:pStyle w:val="2"/>
        <w:numPr>
          <w:ilvl w:val="0"/>
          <w:numId w:val="0"/>
        </w:numPr>
        <w:tabs>
          <w:tab w:val="left" w:pos="1016"/>
        </w:tabs>
        <w:spacing w:before="0" w:line="500" w:lineRule="exact"/>
        <w:ind w:leftChars="0"/>
        <w:jc w:val="both"/>
        <w:rPr>
          <w:rFonts w:asciiTheme="minorEastAsia" w:hAnsiTheme="minorEastAsia" w:eastAsiaTheme="minorEastAsia" w:cstheme="minorEastAsia"/>
          <w:color w:val="auto"/>
          <w:sz w:val="24"/>
          <w:szCs w:val="24"/>
        </w:rPr>
      </w:pPr>
      <w:bookmarkStart w:id="197" w:name="14.3风险评价"/>
      <w:bookmarkEnd w:id="197"/>
      <w:bookmarkStart w:id="198" w:name="_Toc7602"/>
      <w:bookmarkStart w:id="199" w:name="_Toc12734"/>
      <w:r>
        <w:rPr>
          <w:rFonts w:hint="eastAsia" w:asciiTheme="minorEastAsia" w:hAnsiTheme="minorEastAsia" w:eastAsiaTheme="minorEastAsia" w:cstheme="minorEastAsia"/>
          <w:color w:val="auto"/>
          <w:sz w:val="24"/>
          <w:szCs w:val="24"/>
          <w:lang w:val="en-US" w:eastAsia="zh-CN"/>
        </w:rPr>
        <w:t>14.3</w:t>
      </w:r>
      <w:r>
        <w:rPr>
          <w:rFonts w:hint="eastAsia" w:asciiTheme="minorEastAsia" w:hAnsiTheme="minorEastAsia" w:eastAsiaTheme="minorEastAsia" w:cstheme="minorEastAsia"/>
          <w:color w:val="auto"/>
          <w:sz w:val="24"/>
          <w:szCs w:val="24"/>
        </w:rPr>
        <w:t>风险评价</w:t>
      </w:r>
      <w:bookmarkEnd w:id="198"/>
      <w:bookmarkEnd w:id="199"/>
    </w:p>
    <w:p>
      <w:pPr>
        <w:pStyle w:val="10"/>
        <w:spacing w:line="500" w:lineRule="exact"/>
        <w:ind w:firstLine="420" w:firstLineChars="200"/>
        <w:jc w:val="both"/>
        <w:rPr>
          <w:rFonts w:asciiTheme="minorEastAsia" w:hAnsiTheme="minorEastAsia" w:eastAsiaTheme="minorEastAsia" w:cstheme="minorEastAsia"/>
          <w:color w:val="auto"/>
          <w:spacing w:val="-7"/>
          <w:sz w:val="24"/>
          <w:szCs w:val="24"/>
        </w:rPr>
      </w:pPr>
      <w:r>
        <w:rPr>
          <w:rFonts w:hint="eastAsia" w:asciiTheme="minorEastAsia" w:hAnsiTheme="minorEastAsia" w:eastAsiaTheme="minorEastAsia" w:cstheme="minorEastAsia"/>
          <w:color w:val="auto"/>
          <w:spacing w:val="-15"/>
          <w:sz w:val="24"/>
          <w:szCs w:val="24"/>
        </w:rPr>
        <w:t>本项目的风险因素主要包括政策规划和审批程序、建设征地方案、技术和经济方案、生态环境影响、项目建设管理、当地经济影</w:t>
      </w:r>
      <w:r>
        <w:rPr>
          <w:rFonts w:hint="eastAsia" w:asciiTheme="minorEastAsia" w:hAnsiTheme="minorEastAsia" w:eastAsiaTheme="minorEastAsia" w:cstheme="minorEastAsia"/>
          <w:color w:val="auto"/>
          <w:spacing w:val="-17"/>
          <w:sz w:val="24"/>
          <w:szCs w:val="24"/>
        </w:rPr>
        <w:t>响、质 量安全、社会治安、媒体舆论及其他不可预见性问题等。除社会治安风险程度较大外，其他风险因素的风险程度均较小。各项</w:t>
      </w:r>
      <w:r>
        <w:rPr>
          <w:rFonts w:hint="eastAsia" w:asciiTheme="minorEastAsia" w:hAnsiTheme="minorEastAsia" w:eastAsiaTheme="minorEastAsia" w:cstheme="minorEastAsia"/>
          <w:color w:val="auto"/>
          <w:spacing w:val="-15"/>
          <w:sz w:val="24"/>
          <w:szCs w:val="24"/>
        </w:rPr>
        <w:t>风险的发生机率均较小。项目实施过程中出现群体性事件的可能性</w:t>
      </w:r>
      <w:r>
        <w:rPr>
          <w:rFonts w:hint="eastAsia" w:asciiTheme="minorEastAsia" w:hAnsiTheme="minorEastAsia" w:eastAsiaTheme="minorEastAsia" w:cstheme="minorEastAsia"/>
          <w:color w:val="auto"/>
          <w:spacing w:val="-13"/>
          <w:sz w:val="24"/>
          <w:szCs w:val="24"/>
        </w:rPr>
        <w:t>不大，但不排除发生个体矛盾冲突的可能。本项目的社会风险评价</w:t>
      </w:r>
      <w:r>
        <w:rPr>
          <w:rFonts w:hint="eastAsia" w:asciiTheme="minorEastAsia" w:hAnsiTheme="minorEastAsia" w:eastAsiaTheme="minorEastAsia" w:cstheme="minorEastAsia"/>
          <w:color w:val="auto"/>
          <w:spacing w:val="-7"/>
          <w:sz w:val="24"/>
          <w:szCs w:val="24"/>
        </w:rPr>
        <w:t>详见下表。</w:t>
      </w:r>
    </w:p>
    <w:p>
      <w:pPr>
        <w:pStyle w:val="11"/>
        <w:rPr>
          <w:color w:val="auto"/>
          <w:lang w:val="zh-CN" w:bidi="zh-CN"/>
        </w:rPr>
      </w:pPr>
    </w:p>
    <w:p>
      <w:pPr>
        <w:spacing w:line="500" w:lineRule="exact"/>
        <w:ind w:firstLine="422" w:firstLineChars="200"/>
        <w:jc w:val="center"/>
        <w:rPr>
          <w:rFonts w:ascii="Times New Roman" w:hAnsi="Times New Roman" w:eastAsia="宋体" w:cs="Times New Roman"/>
          <w:b/>
          <w:bCs/>
          <w:iCs/>
          <w:color w:val="auto"/>
          <w:sz w:val="21"/>
          <w:szCs w:val="20"/>
        </w:rPr>
      </w:pPr>
      <w:r>
        <w:rPr>
          <w:rFonts w:hint="eastAsia" w:ascii="Times New Roman" w:hAnsi="Times New Roman" w:eastAsia="宋体" w:cs="Times New Roman"/>
          <w:b/>
          <w:bCs/>
          <w:iCs/>
          <w:color w:val="auto"/>
          <w:sz w:val="21"/>
          <w:szCs w:val="20"/>
        </w:rPr>
        <w:t>表1</w:t>
      </w:r>
      <w:r>
        <w:rPr>
          <w:rFonts w:hint="eastAsia" w:ascii="Times New Roman" w:hAnsi="Times New Roman" w:eastAsia="宋体" w:cs="Times New Roman"/>
          <w:b/>
          <w:bCs/>
          <w:iCs/>
          <w:color w:val="auto"/>
          <w:sz w:val="21"/>
          <w:szCs w:val="20"/>
          <w:lang w:val="en-US" w:eastAsia="zh-CN"/>
        </w:rPr>
        <w:t>4</w:t>
      </w:r>
      <w:r>
        <w:rPr>
          <w:rFonts w:hint="eastAsia" w:ascii="Times New Roman" w:hAnsi="Times New Roman" w:eastAsia="宋体" w:cs="Times New Roman"/>
          <w:b/>
          <w:bCs/>
          <w:iCs/>
          <w:color w:val="auto"/>
          <w:sz w:val="21"/>
          <w:szCs w:val="20"/>
        </w:rPr>
        <w:t>.3-1 项目社会风险评价表</w:t>
      </w:r>
    </w:p>
    <w:tbl>
      <w:tblPr>
        <w:tblStyle w:val="27"/>
        <w:tblW w:w="8303"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602"/>
        <w:gridCol w:w="1402"/>
        <w:gridCol w:w="1555"/>
        <w:gridCol w:w="1356"/>
        <w:gridCol w:w="1241"/>
        <w:gridCol w:w="114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4" w:hRule="atLeast"/>
          <w:jc w:val="center"/>
        </w:trPr>
        <w:tc>
          <w:tcPr>
            <w:tcW w:w="1602" w:type="dxa"/>
            <w:tcBorders>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风险源</w:t>
            </w:r>
          </w:p>
        </w:tc>
        <w:tc>
          <w:tcPr>
            <w:tcW w:w="1402" w:type="dxa"/>
            <w:tcBorders>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源项识别</w:t>
            </w:r>
          </w:p>
        </w:tc>
        <w:tc>
          <w:tcPr>
            <w:tcW w:w="1555" w:type="dxa"/>
            <w:tcBorders>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后果分析</w:t>
            </w:r>
          </w:p>
        </w:tc>
        <w:tc>
          <w:tcPr>
            <w:tcW w:w="1356" w:type="dxa"/>
            <w:tcBorders>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风险概率</w:t>
            </w:r>
          </w:p>
        </w:tc>
        <w:tc>
          <w:tcPr>
            <w:tcW w:w="1241" w:type="dxa"/>
            <w:tcBorders>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影响程度</w:t>
            </w:r>
          </w:p>
        </w:tc>
        <w:tc>
          <w:tcPr>
            <w:tcW w:w="1147" w:type="dxa"/>
            <w:tcBorders>
              <w:left w:val="single" w:color="000000" w:sz="4" w:space="0"/>
              <w:bottom w:val="single" w:color="000000" w:sz="4" w:space="0"/>
            </w:tcBorders>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风险程度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3" w:hRule="atLeast"/>
          <w:jc w:val="center"/>
        </w:trPr>
        <w:tc>
          <w:tcPr>
            <w:tcW w:w="1602" w:type="dxa"/>
            <w:tcBorders>
              <w:top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建设征地方案</w:t>
            </w:r>
          </w:p>
        </w:tc>
        <w:tc>
          <w:tcPr>
            <w:tcW w:w="1402"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补偿标准、费用</w:t>
            </w:r>
          </w:p>
        </w:tc>
        <w:tc>
          <w:tcPr>
            <w:tcW w:w="1555"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个人或群体事件</w:t>
            </w:r>
          </w:p>
        </w:tc>
        <w:tc>
          <w:tcPr>
            <w:tcW w:w="1356"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低</w:t>
            </w:r>
          </w:p>
        </w:tc>
        <w:tc>
          <w:tcPr>
            <w:tcW w:w="1241"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中</w:t>
            </w:r>
          </w:p>
        </w:tc>
        <w:tc>
          <w:tcPr>
            <w:tcW w:w="1147" w:type="dxa"/>
            <w:tcBorders>
              <w:top w:val="single" w:color="000000" w:sz="4" w:space="0"/>
              <w:left w:val="single" w:color="000000" w:sz="4" w:space="0"/>
              <w:bottom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低</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51" w:hRule="atLeast"/>
          <w:jc w:val="center"/>
        </w:trPr>
        <w:tc>
          <w:tcPr>
            <w:tcW w:w="1602" w:type="dxa"/>
            <w:tcBorders>
              <w:top w:val="single" w:color="000000" w:sz="4" w:space="0"/>
              <w:bottom w:val="single" w:color="000000" w:sz="6"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生态环境影响</w:t>
            </w:r>
          </w:p>
        </w:tc>
        <w:tc>
          <w:tcPr>
            <w:tcW w:w="1402" w:type="dxa"/>
            <w:tcBorders>
              <w:top w:val="single" w:color="000000" w:sz="4" w:space="0"/>
              <w:left w:val="single" w:color="000000" w:sz="4" w:space="0"/>
              <w:bottom w:val="single" w:color="000000" w:sz="6"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污水、臭气、噪声</w:t>
            </w:r>
          </w:p>
        </w:tc>
        <w:tc>
          <w:tcPr>
            <w:tcW w:w="1555" w:type="dxa"/>
            <w:tcBorders>
              <w:top w:val="single" w:color="000000" w:sz="4" w:space="0"/>
              <w:left w:val="single" w:color="000000" w:sz="4" w:space="0"/>
              <w:bottom w:val="single" w:color="000000" w:sz="6"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水环境、大气</w:t>
            </w:r>
          </w:p>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环境、噪声环境受污染</w:t>
            </w:r>
          </w:p>
        </w:tc>
        <w:tc>
          <w:tcPr>
            <w:tcW w:w="1356" w:type="dxa"/>
            <w:tcBorders>
              <w:top w:val="single" w:color="000000" w:sz="4" w:space="0"/>
              <w:left w:val="single" w:color="000000" w:sz="4" w:space="0"/>
              <w:bottom w:val="single" w:color="000000" w:sz="6"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低</w:t>
            </w:r>
          </w:p>
        </w:tc>
        <w:tc>
          <w:tcPr>
            <w:tcW w:w="1241" w:type="dxa"/>
            <w:tcBorders>
              <w:top w:val="single" w:color="000000" w:sz="4" w:space="0"/>
              <w:left w:val="single" w:color="000000" w:sz="4" w:space="0"/>
              <w:bottom w:val="single" w:color="000000" w:sz="6"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低</w:t>
            </w:r>
          </w:p>
        </w:tc>
        <w:tc>
          <w:tcPr>
            <w:tcW w:w="1147" w:type="dxa"/>
            <w:tcBorders>
              <w:top w:val="single" w:color="000000" w:sz="4" w:space="0"/>
              <w:left w:val="single" w:color="000000" w:sz="4" w:space="0"/>
              <w:bottom w:val="single" w:color="000000" w:sz="6"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低</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54" w:hRule="atLeast"/>
          <w:jc w:val="center"/>
        </w:trPr>
        <w:tc>
          <w:tcPr>
            <w:tcW w:w="1602" w:type="dxa"/>
            <w:tcBorders>
              <w:top w:val="single" w:color="000000" w:sz="6"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项目建设管理</w:t>
            </w:r>
          </w:p>
        </w:tc>
        <w:tc>
          <w:tcPr>
            <w:tcW w:w="1402" w:type="dxa"/>
            <w:tcBorders>
              <w:top w:val="single" w:color="000000" w:sz="6"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人为因素</w:t>
            </w:r>
          </w:p>
        </w:tc>
        <w:tc>
          <w:tcPr>
            <w:tcW w:w="1555" w:type="dxa"/>
            <w:tcBorders>
              <w:top w:val="single" w:color="000000" w:sz="6"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pacing w:val="24"/>
                <w:sz w:val="21"/>
                <w:szCs w:val="21"/>
              </w:rPr>
              <w:t>工程建设受</w:t>
            </w:r>
          </w:p>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pacing w:val="-30"/>
                <w:sz w:val="21"/>
                <w:szCs w:val="21"/>
              </w:rPr>
              <w:t>阻 、 人 员 伤</w:t>
            </w:r>
            <w:r>
              <w:rPr>
                <w:rFonts w:hint="eastAsia" w:asciiTheme="minorEastAsia" w:hAnsiTheme="minorEastAsia" w:eastAsiaTheme="minorEastAsia" w:cstheme="minorEastAsia"/>
                <w:color w:val="auto"/>
                <w:spacing w:val="-4"/>
                <w:sz w:val="21"/>
                <w:szCs w:val="21"/>
              </w:rPr>
              <w:t>亡、财产损失</w:t>
            </w:r>
          </w:p>
        </w:tc>
        <w:tc>
          <w:tcPr>
            <w:tcW w:w="1356" w:type="dxa"/>
            <w:tcBorders>
              <w:top w:val="single" w:color="000000" w:sz="6"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低</w:t>
            </w:r>
          </w:p>
        </w:tc>
        <w:tc>
          <w:tcPr>
            <w:tcW w:w="1241" w:type="dxa"/>
            <w:tcBorders>
              <w:top w:val="single" w:color="000000" w:sz="6"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低</w:t>
            </w:r>
          </w:p>
        </w:tc>
        <w:tc>
          <w:tcPr>
            <w:tcW w:w="1147" w:type="dxa"/>
            <w:tcBorders>
              <w:top w:val="single" w:color="000000" w:sz="6" w:space="0"/>
              <w:left w:val="single" w:color="000000" w:sz="4" w:space="0"/>
              <w:bottom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低</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2" w:hRule="atLeast"/>
          <w:jc w:val="center"/>
        </w:trPr>
        <w:tc>
          <w:tcPr>
            <w:tcW w:w="1602" w:type="dxa"/>
            <w:tcBorders>
              <w:top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工程运行管理</w:t>
            </w:r>
          </w:p>
        </w:tc>
        <w:tc>
          <w:tcPr>
            <w:tcW w:w="1402"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人为因素</w:t>
            </w:r>
          </w:p>
        </w:tc>
        <w:tc>
          <w:tcPr>
            <w:tcW w:w="1555"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工程产生安全事故</w:t>
            </w:r>
          </w:p>
        </w:tc>
        <w:tc>
          <w:tcPr>
            <w:tcW w:w="1356"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低</w:t>
            </w:r>
          </w:p>
        </w:tc>
        <w:tc>
          <w:tcPr>
            <w:tcW w:w="1241"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低</w:t>
            </w:r>
          </w:p>
        </w:tc>
        <w:tc>
          <w:tcPr>
            <w:tcW w:w="1147" w:type="dxa"/>
            <w:tcBorders>
              <w:top w:val="single" w:color="000000" w:sz="4" w:space="0"/>
              <w:left w:val="single" w:color="000000" w:sz="4" w:space="0"/>
              <w:bottom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低</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52" w:hRule="atLeast"/>
          <w:jc w:val="center"/>
        </w:trPr>
        <w:tc>
          <w:tcPr>
            <w:tcW w:w="1602" w:type="dxa"/>
            <w:tcBorders>
              <w:top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质量安全</w:t>
            </w:r>
          </w:p>
        </w:tc>
        <w:tc>
          <w:tcPr>
            <w:tcW w:w="1402"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人为因素和自然因素</w:t>
            </w:r>
          </w:p>
        </w:tc>
        <w:tc>
          <w:tcPr>
            <w:tcW w:w="1555"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工程安全、人员伤亡、财产</w:t>
            </w:r>
          </w:p>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损失</w:t>
            </w:r>
          </w:p>
        </w:tc>
        <w:tc>
          <w:tcPr>
            <w:tcW w:w="1356"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低</w:t>
            </w:r>
          </w:p>
        </w:tc>
        <w:tc>
          <w:tcPr>
            <w:tcW w:w="1241" w:type="dxa"/>
            <w:tcBorders>
              <w:top w:val="single" w:color="000000" w:sz="4" w:space="0"/>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中</w:t>
            </w:r>
          </w:p>
        </w:tc>
        <w:tc>
          <w:tcPr>
            <w:tcW w:w="1147" w:type="dxa"/>
            <w:tcBorders>
              <w:top w:val="single" w:color="000000" w:sz="4" w:space="0"/>
              <w:left w:val="single" w:color="000000" w:sz="4" w:space="0"/>
              <w:bottom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低</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3" w:hRule="atLeast"/>
          <w:jc w:val="center"/>
        </w:trPr>
        <w:tc>
          <w:tcPr>
            <w:tcW w:w="1602" w:type="dxa"/>
            <w:tcBorders>
              <w:top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社会治安</w:t>
            </w:r>
          </w:p>
        </w:tc>
        <w:tc>
          <w:tcPr>
            <w:tcW w:w="1402" w:type="dxa"/>
            <w:tcBorders>
              <w:top w:val="single" w:color="000000" w:sz="4" w:space="0"/>
              <w:left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人为因素</w:t>
            </w:r>
          </w:p>
        </w:tc>
        <w:tc>
          <w:tcPr>
            <w:tcW w:w="1555" w:type="dxa"/>
            <w:tcBorders>
              <w:top w:val="single" w:color="000000" w:sz="4" w:space="0"/>
              <w:left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个体或群体事件</w:t>
            </w:r>
          </w:p>
        </w:tc>
        <w:tc>
          <w:tcPr>
            <w:tcW w:w="1356" w:type="dxa"/>
            <w:tcBorders>
              <w:top w:val="single" w:color="000000" w:sz="4" w:space="0"/>
              <w:left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低</w:t>
            </w:r>
          </w:p>
        </w:tc>
        <w:tc>
          <w:tcPr>
            <w:tcW w:w="1241" w:type="dxa"/>
            <w:tcBorders>
              <w:top w:val="single" w:color="000000" w:sz="4" w:space="0"/>
              <w:left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低</w:t>
            </w:r>
          </w:p>
        </w:tc>
        <w:tc>
          <w:tcPr>
            <w:tcW w:w="1147" w:type="dxa"/>
            <w:tcBorders>
              <w:top w:val="single" w:color="000000" w:sz="4" w:space="0"/>
              <w:lef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低</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8" w:hRule="atLeast"/>
          <w:jc w:val="center"/>
        </w:trPr>
        <w:tc>
          <w:tcPr>
            <w:tcW w:w="1602" w:type="dxa"/>
            <w:tcBorders>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风险源</w:t>
            </w:r>
          </w:p>
        </w:tc>
        <w:tc>
          <w:tcPr>
            <w:tcW w:w="1402" w:type="dxa"/>
            <w:tcBorders>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源项识别</w:t>
            </w:r>
          </w:p>
        </w:tc>
        <w:tc>
          <w:tcPr>
            <w:tcW w:w="1555" w:type="dxa"/>
            <w:tcBorders>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后果分析</w:t>
            </w:r>
          </w:p>
        </w:tc>
        <w:tc>
          <w:tcPr>
            <w:tcW w:w="1356" w:type="dxa"/>
            <w:tcBorders>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风险概率</w:t>
            </w:r>
          </w:p>
        </w:tc>
        <w:tc>
          <w:tcPr>
            <w:tcW w:w="1241" w:type="dxa"/>
            <w:tcBorders>
              <w:left w:val="single" w:color="000000" w:sz="4" w:space="0"/>
              <w:bottom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影响程度</w:t>
            </w:r>
          </w:p>
        </w:tc>
        <w:tc>
          <w:tcPr>
            <w:tcW w:w="1147" w:type="dxa"/>
            <w:tcBorders>
              <w:left w:val="single" w:color="000000" w:sz="4" w:space="0"/>
              <w:bottom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风险程度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54" w:hRule="atLeast"/>
          <w:jc w:val="center"/>
        </w:trPr>
        <w:tc>
          <w:tcPr>
            <w:tcW w:w="1602" w:type="dxa"/>
            <w:tcBorders>
              <w:top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媒体舆论</w:t>
            </w:r>
          </w:p>
        </w:tc>
        <w:tc>
          <w:tcPr>
            <w:tcW w:w="1402" w:type="dxa"/>
            <w:tcBorders>
              <w:top w:val="single" w:color="000000" w:sz="4" w:space="0"/>
              <w:left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人为因素</w:t>
            </w:r>
          </w:p>
        </w:tc>
        <w:tc>
          <w:tcPr>
            <w:tcW w:w="1555" w:type="dxa"/>
            <w:tcBorders>
              <w:top w:val="single" w:color="000000" w:sz="4" w:space="0"/>
              <w:left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失实报道评</w:t>
            </w:r>
          </w:p>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pacing w:val="-6"/>
                <w:sz w:val="21"/>
                <w:szCs w:val="21"/>
              </w:rPr>
              <w:t>价，导致个体</w:t>
            </w:r>
            <w:r>
              <w:rPr>
                <w:rFonts w:hint="eastAsia" w:asciiTheme="minorEastAsia" w:hAnsiTheme="minorEastAsia" w:eastAsiaTheme="minorEastAsia" w:cstheme="minorEastAsia"/>
                <w:color w:val="auto"/>
                <w:sz w:val="21"/>
                <w:szCs w:val="21"/>
              </w:rPr>
              <w:t>或群体事件</w:t>
            </w:r>
          </w:p>
        </w:tc>
        <w:tc>
          <w:tcPr>
            <w:tcW w:w="1356" w:type="dxa"/>
            <w:tcBorders>
              <w:top w:val="single" w:color="000000" w:sz="4" w:space="0"/>
              <w:left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低</w:t>
            </w:r>
          </w:p>
        </w:tc>
        <w:tc>
          <w:tcPr>
            <w:tcW w:w="1241" w:type="dxa"/>
            <w:tcBorders>
              <w:top w:val="single" w:color="000000" w:sz="4" w:space="0"/>
              <w:left w:val="single" w:color="000000" w:sz="4" w:space="0"/>
              <w:righ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低</w:t>
            </w:r>
          </w:p>
        </w:tc>
        <w:tc>
          <w:tcPr>
            <w:tcW w:w="1147" w:type="dxa"/>
            <w:tcBorders>
              <w:top w:val="single" w:color="000000" w:sz="4" w:space="0"/>
              <w:left w:val="single" w:color="000000" w:sz="4" w:space="0"/>
            </w:tcBorders>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低</w:t>
            </w:r>
          </w:p>
        </w:tc>
      </w:tr>
    </w:tbl>
    <w:p>
      <w:pPr>
        <w:pStyle w:val="2"/>
        <w:numPr>
          <w:ilvl w:val="0"/>
          <w:numId w:val="0"/>
        </w:numPr>
        <w:tabs>
          <w:tab w:val="left" w:pos="1016"/>
        </w:tabs>
        <w:spacing w:before="240" w:beforeLines="100" w:line="500" w:lineRule="exact"/>
        <w:ind w:leftChars="0"/>
        <w:jc w:val="both"/>
        <w:rPr>
          <w:rFonts w:asciiTheme="minorEastAsia" w:hAnsiTheme="minorEastAsia" w:eastAsiaTheme="minorEastAsia" w:cstheme="minorEastAsia"/>
          <w:color w:val="auto"/>
          <w:sz w:val="24"/>
          <w:szCs w:val="24"/>
        </w:rPr>
      </w:pPr>
      <w:bookmarkStart w:id="200" w:name="14.4风险防范与化解措施"/>
      <w:bookmarkEnd w:id="200"/>
      <w:bookmarkStart w:id="201" w:name="_Toc487"/>
      <w:bookmarkStart w:id="202" w:name="_Toc20350"/>
      <w:r>
        <w:rPr>
          <w:rFonts w:hint="eastAsia" w:asciiTheme="minorEastAsia" w:hAnsiTheme="minorEastAsia" w:eastAsiaTheme="minorEastAsia" w:cstheme="minorEastAsia"/>
          <w:color w:val="auto"/>
          <w:sz w:val="24"/>
          <w:szCs w:val="24"/>
          <w:lang w:val="en-US" w:eastAsia="zh-CN"/>
        </w:rPr>
        <w:t>14.4</w:t>
      </w:r>
      <w:r>
        <w:rPr>
          <w:rFonts w:hint="eastAsia" w:asciiTheme="minorEastAsia" w:hAnsiTheme="minorEastAsia" w:eastAsiaTheme="minorEastAsia" w:cstheme="minorEastAsia"/>
          <w:color w:val="auto"/>
          <w:sz w:val="24"/>
          <w:szCs w:val="24"/>
        </w:rPr>
        <w:t>风险防范与化解措施</w:t>
      </w:r>
      <w:bookmarkEnd w:id="201"/>
      <w:bookmarkEnd w:id="202"/>
    </w:p>
    <w:p>
      <w:pPr>
        <w:pStyle w:val="10"/>
        <w:spacing w:line="500" w:lineRule="exact"/>
        <w:ind w:firstLine="44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8"/>
          <w:sz w:val="24"/>
          <w:szCs w:val="24"/>
        </w:rPr>
        <w:t>项目建设子项多、规模大、社会稳定牵涉点多面广，在建设过程中，要坚持社会稳定问题全过程管理，及时发现问题，采取措施。为保护人民群众利益，规范项目建设、确保项目顺利实施及运营，需对可能出现的社会稳定风险源进行有效的防范化解， 对可能存在的问题制定相关的措施，维护社会稳定。同时为确保对可能发生的社会稳定问题尤其是较大群众事件能及时、高效、</w:t>
      </w:r>
      <w:r>
        <w:rPr>
          <w:rFonts w:hint="eastAsia" w:asciiTheme="minorEastAsia" w:hAnsiTheme="minorEastAsia" w:eastAsiaTheme="minorEastAsia" w:cstheme="minorEastAsia"/>
          <w:color w:val="auto"/>
          <w:spacing w:val="-15"/>
          <w:sz w:val="24"/>
          <w:szCs w:val="24"/>
        </w:rPr>
        <w:t>有序地开展工作，提高应急反应能力和处理突发事件的水平。</w:t>
      </w:r>
    </w:p>
    <w:p>
      <w:pPr>
        <w:pStyle w:val="10"/>
        <w:spacing w:line="500" w:lineRule="exact"/>
        <w:ind w:firstLine="44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8"/>
          <w:sz w:val="24"/>
          <w:szCs w:val="24"/>
        </w:rPr>
        <w:t>为了从源头上防范、化解拟建项目实施可能引发的风险，根</w:t>
      </w:r>
      <w:r>
        <w:rPr>
          <w:rFonts w:hint="eastAsia" w:asciiTheme="minorEastAsia" w:hAnsiTheme="minorEastAsia" w:eastAsiaTheme="minorEastAsia" w:cstheme="minorEastAsia"/>
          <w:color w:val="auto"/>
          <w:spacing w:val="-1"/>
          <w:sz w:val="24"/>
          <w:szCs w:val="24"/>
        </w:rPr>
        <w:t>据拟建项目的特点，制定化解社会稳定风险防范措施，维护社</w:t>
      </w:r>
      <w:r>
        <w:rPr>
          <w:rFonts w:hint="eastAsia" w:asciiTheme="minorEastAsia" w:hAnsiTheme="minorEastAsia" w:eastAsiaTheme="minorEastAsia" w:cstheme="minorEastAsia"/>
          <w:color w:val="auto"/>
          <w:spacing w:val="-3"/>
          <w:sz w:val="24"/>
          <w:szCs w:val="24"/>
        </w:rPr>
        <w:t>会稳定。</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(1）建设征地方案问题风险化解措施</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①征地补偿、青苗补偿等补偿程序应公开化、程序化；</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②对村民存在的疑问及时耐心解释和引导工作；</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③保持村居民反映和申诉渠道的畅通。</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(2）生态环境问题风险化解措施</w:t>
      </w:r>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对于农村污水收集和处理设施的建设项目，工程建设期间对周围生态环境有一定的不利影响，但这些不利影响是短暂的和临</w:t>
      </w:r>
      <w:r>
        <w:rPr>
          <w:rFonts w:hint="eastAsia" w:asciiTheme="minorEastAsia" w:hAnsiTheme="minorEastAsia" w:eastAsiaTheme="minorEastAsia" w:cstheme="minorEastAsia"/>
          <w:color w:val="auto"/>
          <w:spacing w:val="-13"/>
          <w:sz w:val="24"/>
          <w:szCs w:val="24"/>
        </w:rPr>
        <w:t>时的，在采取一定防护措施后是可得到减少和改善的。施工期间，</w:t>
      </w:r>
      <w:r>
        <w:rPr>
          <w:rFonts w:hint="eastAsia" w:asciiTheme="minorEastAsia" w:hAnsiTheme="minorEastAsia" w:eastAsiaTheme="minorEastAsia" w:cstheme="minorEastAsia"/>
          <w:color w:val="auto"/>
          <w:spacing w:val="-16"/>
          <w:sz w:val="24"/>
          <w:szCs w:val="24"/>
        </w:rPr>
        <w:t>加强施工管理，做到文明施工，对施工场地加以围避，做好降尘</w:t>
      </w:r>
      <w:r>
        <w:rPr>
          <w:rFonts w:hint="eastAsia" w:asciiTheme="minorEastAsia" w:hAnsiTheme="minorEastAsia" w:eastAsiaTheme="minorEastAsia" w:cstheme="minorEastAsia"/>
          <w:color w:val="auto"/>
          <w:spacing w:val="-17"/>
          <w:sz w:val="24"/>
          <w:szCs w:val="24"/>
        </w:rPr>
        <w:t>措施，防止造成大气污染；各工段施工中均应建设施工废水临时</w:t>
      </w:r>
      <w:r>
        <w:rPr>
          <w:rFonts w:hint="eastAsia" w:asciiTheme="minorEastAsia" w:hAnsiTheme="minorEastAsia" w:eastAsiaTheme="minorEastAsia" w:cstheme="minorEastAsia"/>
          <w:color w:val="auto"/>
          <w:sz w:val="24"/>
          <w:szCs w:val="24"/>
        </w:rPr>
        <w:t>沉淀池，禁止未经过处理的施工废水及施工人员生活废水</w:t>
      </w:r>
      <w:r>
        <w:rPr>
          <w:rFonts w:hint="eastAsia" w:asciiTheme="minorEastAsia" w:hAnsiTheme="minorEastAsia" w:eastAsiaTheme="minorEastAsia" w:cstheme="minorEastAsia"/>
          <w:color w:val="auto"/>
          <w:spacing w:val="-17"/>
          <w:sz w:val="24"/>
          <w:szCs w:val="24"/>
        </w:rPr>
        <w:t xml:space="preserve">进入河道和下水道，防止造成水环境污染；尽量做到挖填平衡， </w:t>
      </w:r>
      <w:r>
        <w:rPr>
          <w:rFonts w:hint="eastAsia" w:asciiTheme="minorEastAsia" w:hAnsiTheme="minorEastAsia" w:eastAsiaTheme="minorEastAsia" w:cstheme="minorEastAsia"/>
          <w:color w:val="auto"/>
          <w:spacing w:val="-25"/>
          <w:sz w:val="24"/>
          <w:szCs w:val="24"/>
        </w:rPr>
        <w:t>避免水土流失的影响；尽量采用低噪声机械，避免夜间施工，保证</w:t>
      </w:r>
      <w:r>
        <w:rPr>
          <w:rFonts w:hint="eastAsia" w:asciiTheme="minorEastAsia" w:hAnsiTheme="minorEastAsia" w:eastAsiaTheme="minorEastAsia" w:cstheme="minorEastAsia"/>
          <w:color w:val="auto"/>
          <w:spacing w:val="-27"/>
          <w:sz w:val="24"/>
          <w:szCs w:val="24"/>
        </w:rPr>
        <w:t>周围居民声环境质量；同时应控制施工时间， 尽量避开雨季和汛期</w:t>
      </w:r>
      <w:r>
        <w:rPr>
          <w:rFonts w:hint="eastAsia" w:asciiTheme="minorEastAsia" w:hAnsiTheme="minorEastAsia" w:eastAsiaTheme="minorEastAsia" w:cstheme="minorEastAsia"/>
          <w:color w:val="auto"/>
          <w:spacing w:val="-5"/>
          <w:sz w:val="24"/>
          <w:szCs w:val="24"/>
        </w:rPr>
        <w:t>等。</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项目运营期对生态环境的影响主要体现在污水、噪声、污</w:t>
      </w:r>
      <w:r>
        <w:rPr>
          <w:rFonts w:hint="eastAsia" w:asciiTheme="minorEastAsia" w:hAnsiTheme="minorEastAsia" w:eastAsiaTheme="minorEastAsia" w:cstheme="minorEastAsia"/>
          <w:color w:val="auto"/>
          <w:spacing w:val="-8"/>
          <w:sz w:val="24"/>
          <w:szCs w:val="24"/>
        </w:rPr>
        <w:t>泥、臭气等方面。对于采用人工湿地工艺的设施，通过采用潜流式设计，减少臭气的散发。污水处理过程中产生的污泥可经浓缩</w:t>
      </w:r>
      <w:r>
        <w:rPr>
          <w:rFonts w:hint="eastAsia" w:asciiTheme="minorEastAsia" w:hAnsiTheme="minorEastAsia" w:eastAsiaTheme="minorEastAsia" w:cstheme="minorEastAsia"/>
          <w:color w:val="auto"/>
          <w:spacing w:val="-15"/>
          <w:sz w:val="24"/>
          <w:szCs w:val="24"/>
        </w:rPr>
        <w:t>脱水后外运填埋或资源化利用，对环境影响较小。</w:t>
      </w:r>
    </w:p>
    <w:p>
      <w:pPr>
        <w:pStyle w:val="32"/>
        <w:numPr>
          <w:ilvl w:val="0"/>
          <w:numId w:val="94"/>
        </w:numPr>
        <w:tabs>
          <w:tab w:val="left" w:pos="1659"/>
        </w:tabs>
        <w:spacing w:line="500" w:lineRule="exact"/>
        <w:ind w:left="0" w:firstLine="44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8"/>
          <w:sz w:val="24"/>
          <w:szCs w:val="24"/>
        </w:rPr>
        <w:t>建设管理问题风险化解或防范措施</w:t>
      </w:r>
    </w:p>
    <w:p>
      <w:pPr>
        <w:pStyle w:val="10"/>
        <w:spacing w:line="500" w:lineRule="exact"/>
        <w:ind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①</w:t>
      </w:r>
      <w:r>
        <w:rPr>
          <w:rFonts w:hint="eastAsia" w:asciiTheme="minorEastAsia" w:hAnsiTheme="minorEastAsia" w:eastAsiaTheme="minorEastAsia" w:cstheme="minorEastAsia"/>
          <w:color w:val="auto"/>
          <w:spacing w:val="-15"/>
          <w:sz w:val="24"/>
          <w:szCs w:val="24"/>
        </w:rPr>
        <w:t>资金专款专用，施工期间建立健全的施工管理制度，并严</w:t>
      </w:r>
      <w:r>
        <w:rPr>
          <w:rFonts w:hint="eastAsia" w:asciiTheme="minorEastAsia" w:hAnsiTheme="minorEastAsia" w:eastAsiaTheme="minorEastAsia" w:cstheme="minorEastAsia"/>
          <w:color w:val="auto"/>
          <w:spacing w:val="-10"/>
          <w:sz w:val="24"/>
          <w:szCs w:val="24"/>
        </w:rPr>
        <w:t>格执行监理制度，设有专门的项目管理机构负责项目的建设运</w:t>
      </w:r>
      <w:r>
        <w:rPr>
          <w:rFonts w:hint="eastAsia" w:asciiTheme="minorEastAsia" w:hAnsiTheme="minorEastAsia" w:eastAsiaTheme="minorEastAsia" w:cstheme="minorEastAsia"/>
          <w:color w:val="auto"/>
          <w:spacing w:val="-4"/>
          <w:sz w:val="24"/>
          <w:szCs w:val="24"/>
        </w:rPr>
        <w:t>营管理；</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②主动了解村民的思想动态和诉述需求；</w:t>
      </w:r>
    </w:p>
    <w:p>
      <w:pPr>
        <w:pStyle w:val="10"/>
        <w:spacing w:line="500" w:lineRule="exact"/>
        <w:ind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③</w:t>
      </w:r>
      <w:r>
        <w:rPr>
          <w:rFonts w:hint="eastAsia" w:asciiTheme="minorEastAsia" w:hAnsiTheme="minorEastAsia" w:eastAsiaTheme="minorEastAsia" w:cstheme="minorEastAsia"/>
          <w:color w:val="auto"/>
          <w:spacing w:val="-15"/>
          <w:sz w:val="24"/>
          <w:szCs w:val="24"/>
        </w:rPr>
        <w:t>及时解决和处理相关利益方的诉述，对不能及时解决的应</w:t>
      </w:r>
      <w:r>
        <w:rPr>
          <w:rFonts w:hint="eastAsia" w:asciiTheme="minorEastAsia" w:hAnsiTheme="minorEastAsia" w:eastAsiaTheme="minorEastAsia" w:cstheme="minorEastAsia"/>
          <w:color w:val="auto"/>
          <w:spacing w:val="-9"/>
          <w:sz w:val="24"/>
          <w:szCs w:val="24"/>
        </w:rPr>
        <w:t>协调有关部门解决；</w:t>
      </w:r>
    </w:p>
    <w:p>
      <w:pPr>
        <w:pStyle w:val="10"/>
        <w:spacing w:line="500" w:lineRule="exact"/>
        <w:ind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④</w:t>
      </w:r>
      <w:r>
        <w:rPr>
          <w:rFonts w:hint="eastAsia" w:asciiTheme="minorEastAsia" w:hAnsiTheme="minorEastAsia" w:eastAsiaTheme="minorEastAsia" w:cstheme="minorEastAsia"/>
          <w:color w:val="auto"/>
          <w:spacing w:val="-15"/>
          <w:sz w:val="24"/>
          <w:szCs w:val="24"/>
        </w:rPr>
        <w:t>保持利益相关方诉求渠道的畅通，并及时与当地政府部门</w:t>
      </w:r>
      <w:r>
        <w:rPr>
          <w:rFonts w:hint="eastAsia" w:asciiTheme="minorEastAsia" w:hAnsiTheme="minorEastAsia" w:eastAsiaTheme="minorEastAsia" w:cstheme="minorEastAsia"/>
          <w:color w:val="auto"/>
          <w:spacing w:val="-10"/>
          <w:sz w:val="24"/>
          <w:szCs w:val="24"/>
        </w:rPr>
        <w:t>密切配合，解决有关问题。</w:t>
      </w:r>
    </w:p>
    <w:p>
      <w:pPr>
        <w:pStyle w:val="32"/>
        <w:numPr>
          <w:ilvl w:val="0"/>
          <w:numId w:val="94"/>
        </w:numPr>
        <w:tabs>
          <w:tab w:val="left" w:pos="1659"/>
        </w:tabs>
        <w:spacing w:line="500" w:lineRule="exact"/>
        <w:ind w:left="0" w:firstLine="44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8"/>
          <w:sz w:val="24"/>
          <w:szCs w:val="24"/>
        </w:rPr>
        <w:t>安全管理风险防范措施</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①</w:t>
      </w:r>
      <w:r>
        <w:rPr>
          <w:rFonts w:hint="eastAsia" w:asciiTheme="minorEastAsia" w:hAnsiTheme="minorEastAsia" w:eastAsiaTheme="minorEastAsia" w:cstheme="minorEastAsia"/>
          <w:color w:val="auto"/>
          <w:spacing w:val="-10"/>
          <w:sz w:val="24"/>
          <w:szCs w:val="24"/>
        </w:rPr>
        <w:t>加强安全管理单位自身的建设。加强管理人员的安全生产</w:t>
      </w:r>
      <w:r>
        <w:rPr>
          <w:rFonts w:hint="eastAsia" w:asciiTheme="minorEastAsia" w:hAnsiTheme="minorEastAsia" w:eastAsiaTheme="minorEastAsia" w:cstheme="minorEastAsia"/>
          <w:color w:val="auto"/>
          <w:spacing w:val="-8"/>
          <w:sz w:val="24"/>
          <w:szCs w:val="24"/>
        </w:rPr>
        <w:t>教育工作，牢固树立管理人员的安全责任防范意识，提高法制观念和合同管理意识。编写安全监理手册，指导安全管理工作。补</w:t>
      </w:r>
      <w:r>
        <w:rPr>
          <w:rFonts w:hint="eastAsia" w:asciiTheme="minorEastAsia" w:hAnsiTheme="minorEastAsia" w:eastAsiaTheme="minorEastAsia" w:cstheme="minorEastAsia"/>
          <w:color w:val="auto"/>
          <w:spacing w:val="-15"/>
          <w:sz w:val="24"/>
          <w:szCs w:val="24"/>
        </w:rPr>
        <w:t>充和充实管理人员在安全管理方面职业道德和纪律的规定；</w:t>
      </w:r>
    </w:p>
    <w:p>
      <w:pPr>
        <w:pStyle w:val="10"/>
        <w:spacing w:line="500" w:lineRule="exact"/>
        <w:ind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②</w:t>
      </w:r>
      <w:r>
        <w:rPr>
          <w:rFonts w:hint="eastAsia" w:asciiTheme="minorEastAsia" w:hAnsiTheme="minorEastAsia" w:eastAsiaTheme="minorEastAsia" w:cstheme="minorEastAsia"/>
          <w:color w:val="auto"/>
          <w:spacing w:val="-10"/>
          <w:sz w:val="24"/>
          <w:szCs w:val="24"/>
        </w:rPr>
        <w:t>在进行安全管理业务及履行安全管理职责中，学会并善于</w:t>
      </w:r>
      <w:r>
        <w:rPr>
          <w:rFonts w:hint="eastAsia" w:asciiTheme="minorEastAsia" w:hAnsiTheme="minorEastAsia" w:eastAsiaTheme="minorEastAsia" w:cstheme="minorEastAsia"/>
          <w:color w:val="auto"/>
          <w:spacing w:val="-8"/>
          <w:sz w:val="24"/>
          <w:szCs w:val="24"/>
        </w:rPr>
        <w:t>防范风险；施工过程中，应完善相应施工安全措施，制定的工期</w:t>
      </w:r>
      <w:r>
        <w:rPr>
          <w:rFonts w:hint="eastAsia" w:asciiTheme="minorEastAsia" w:hAnsiTheme="minorEastAsia" w:eastAsiaTheme="minorEastAsia" w:cstheme="minorEastAsia"/>
          <w:color w:val="auto"/>
          <w:spacing w:val="-12"/>
          <w:sz w:val="24"/>
          <w:szCs w:val="24"/>
        </w:rPr>
        <w:t>应合理并具有实施可行性；</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③认真履行安全管理职责，在安全管理工作中，要认真贯彻</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《安全条例》，做到安全管理工作内容、职责到位；</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④</w:t>
      </w:r>
      <w:r>
        <w:rPr>
          <w:rFonts w:hint="eastAsia" w:asciiTheme="minorEastAsia" w:hAnsiTheme="minorEastAsia" w:eastAsiaTheme="minorEastAsia" w:cstheme="minorEastAsia"/>
          <w:color w:val="auto"/>
          <w:spacing w:val="-10"/>
          <w:sz w:val="24"/>
          <w:szCs w:val="24"/>
        </w:rPr>
        <w:t>重视安全管理资料的收集、整理和保存，安全管理资料必</w:t>
      </w:r>
      <w:r>
        <w:rPr>
          <w:rFonts w:hint="eastAsia" w:asciiTheme="minorEastAsia" w:hAnsiTheme="minorEastAsia" w:eastAsiaTheme="minorEastAsia" w:cstheme="minorEastAsia"/>
          <w:color w:val="auto"/>
          <w:spacing w:val="-8"/>
          <w:sz w:val="24"/>
          <w:szCs w:val="24"/>
        </w:rPr>
        <w:t>须真实、完整。安全管理资料应包括日记、月报、责任书、合同</w:t>
      </w:r>
      <w:r>
        <w:rPr>
          <w:rFonts w:hint="eastAsia" w:asciiTheme="minorEastAsia" w:hAnsiTheme="minorEastAsia" w:eastAsiaTheme="minorEastAsia" w:cstheme="minorEastAsia"/>
          <w:color w:val="auto"/>
          <w:spacing w:val="-13"/>
          <w:sz w:val="24"/>
          <w:szCs w:val="24"/>
        </w:rPr>
        <w:t>书、会议纪要、音像资料及事故处理资料；</w:t>
      </w:r>
    </w:p>
    <w:p>
      <w:pPr>
        <w:pStyle w:val="10"/>
        <w:spacing w:line="500" w:lineRule="exact"/>
        <w:ind w:firstLine="42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3"/>
          <w:sz w:val="24"/>
          <w:szCs w:val="24"/>
        </w:rPr>
        <w:t>⑤重视建设工程安全管理工作面对严峻的安全管理风险，还</w:t>
      </w:r>
      <w:r>
        <w:rPr>
          <w:rFonts w:hint="eastAsia" w:asciiTheme="minorEastAsia" w:hAnsiTheme="minorEastAsia" w:eastAsiaTheme="minorEastAsia" w:cstheme="minorEastAsia"/>
          <w:color w:val="auto"/>
          <w:spacing w:val="-15"/>
          <w:sz w:val="24"/>
          <w:szCs w:val="24"/>
        </w:rPr>
        <w:t>应采取转移风险的措施，提倡保险制度。</w:t>
      </w:r>
    </w:p>
    <w:p>
      <w:pPr>
        <w:pStyle w:val="32"/>
        <w:numPr>
          <w:ilvl w:val="0"/>
          <w:numId w:val="94"/>
        </w:numPr>
        <w:tabs>
          <w:tab w:val="left" w:pos="1659"/>
        </w:tabs>
        <w:spacing w:line="500" w:lineRule="exact"/>
        <w:ind w:left="0" w:firstLine="44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8"/>
          <w:sz w:val="24"/>
          <w:szCs w:val="24"/>
        </w:rPr>
        <w:t>社会治安问题风险化解措施</w:t>
      </w:r>
    </w:p>
    <w:p>
      <w:pPr>
        <w:pStyle w:val="10"/>
        <w:spacing w:line="500" w:lineRule="exact"/>
        <w:ind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①</w:t>
      </w:r>
      <w:r>
        <w:rPr>
          <w:rFonts w:hint="eastAsia" w:asciiTheme="minorEastAsia" w:hAnsiTheme="minorEastAsia" w:eastAsiaTheme="minorEastAsia" w:cstheme="minorEastAsia"/>
          <w:color w:val="auto"/>
          <w:spacing w:val="-15"/>
          <w:sz w:val="24"/>
          <w:szCs w:val="24"/>
        </w:rPr>
        <w:t>当地维稳、信访等政府有关部门要认真做好信访和矛盾纠</w:t>
      </w:r>
      <w:r>
        <w:rPr>
          <w:rFonts w:hint="eastAsia" w:asciiTheme="minorEastAsia" w:hAnsiTheme="minorEastAsia" w:eastAsiaTheme="minorEastAsia" w:cstheme="minorEastAsia"/>
          <w:color w:val="auto"/>
          <w:spacing w:val="-22"/>
          <w:sz w:val="24"/>
          <w:szCs w:val="24"/>
        </w:rPr>
        <w:t>纷排查工作，密切关注极少数村民可能因对项目不满意引发的上访、</w:t>
      </w:r>
      <w:r>
        <w:rPr>
          <w:rFonts w:hint="eastAsia" w:asciiTheme="minorEastAsia" w:hAnsiTheme="minorEastAsia" w:eastAsiaTheme="minorEastAsia" w:cstheme="minorEastAsia"/>
          <w:color w:val="auto"/>
          <w:spacing w:val="-20"/>
          <w:sz w:val="24"/>
          <w:szCs w:val="24"/>
        </w:rPr>
        <w:t>闹访、煽动群众、示威等动向，第一时间采取教育、说服、化解</w:t>
      </w:r>
      <w:r>
        <w:rPr>
          <w:rFonts w:hint="eastAsia" w:asciiTheme="minorEastAsia" w:hAnsiTheme="minorEastAsia" w:eastAsiaTheme="minorEastAsia" w:cstheme="minorEastAsia"/>
          <w:color w:val="auto"/>
          <w:sz w:val="24"/>
          <w:szCs w:val="24"/>
        </w:rPr>
        <w:t>等措施，将问题消除在萌芽状态；</w:t>
      </w:r>
    </w:p>
    <w:p>
      <w:pPr>
        <w:pStyle w:val="10"/>
        <w:spacing w:line="500" w:lineRule="exact"/>
        <w:ind w:firstLine="46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3"/>
          <w:sz w:val="24"/>
          <w:szCs w:val="24"/>
        </w:rPr>
        <w:t>②</w:t>
      </w:r>
      <w:r>
        <w:rPr>
          <w:rFonts w:hint="eastAsia" w:asciiTheme="minorEastAsia" w:hAnsiTheme="minorEastAsia" w:eastAsiaTheme="minorEastAsia" w:cstheme="minorEastAsia"/>
          <w:color w:val="auto"/>
          <w:spacing w:val="-10"/>
          <w:sz w:val="24"/>
          <w:szCs w:val="24"/>
        </w:rPr>
        <w:t>定期召开工程项目治安环境分析会议，分析总结项目建设</w:t>
      </w:r>
      <w:r>
        <w:rPr>
          <w:rFonts w:hint="eastAsia" w:asciiTheme="minorEastAsia" w:hAnsiTheme="minorEastAsia" w:eastAsiaTheme="minorEastAsia" w:cstheme="minorEastAsia"/>
          <w:color w:val="auto"/>
          <w:spacing w:val="-8"/>
          <w:sz w:val="24"/>
          <w:szCs w:val="24"/>
        </w:rPr>
        <w:t>过程中的治安问题，进一步强化措施、落实责任，为该项目建设</w:t>
      </w:r>
      <w:r>
        <w:rPr>
          <w:rFonts w:hint="eastAsia" w:asciiTheme="minorEastAsia" w:hAnsiTheme="minorEastAsia" w:eastAsiaTheme="minorEastAsia" w:cstheme="minorEastAsia"/>
          <w:color w:val="auto"/>
          <w:spacing w:val="-10"/>
          <w:sz w:val="24"/>
          <w:szCs w:val="24"/>
        </w:rPr>
        <w:t>营造良好的治安环境；</w:t>
      </w:r>
    </w:p>
    <w:p>
      <w:pPr>
        <w:pStyle w:val="10"/>
        <w:spacing w:line="500" w:lineRule="exact"/>
        <w:ind w:firstLine="516"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9"/>
          <w:sz w:val="24"/>
          <w:szCs w:val="24"/>
        </w:rPr>
        <w:t>③</w:t>
      </w:r>
      <w:r>
        <w:rPr>
          <w:rFonts w:hint="eastAsia" w:asciiTheme="minorEastAsia" w:hAnsiTheme="minorEastAsia" w:eastAsiaTheme="minorEastAsia" w:cstheme="minorEastAsia"/>
          <w:color w:val="auto"/>
          <w:sz w:val="24"/>
          <w:szCs w:val="24"/>
        </w:rPr>
        <w:t>施工单位应紧密联系和依靠政府有关部门和相关居民组</w:t>
      </w:r>
      <w:r>
        <w:rPr>
          <w:rFonts w:hint="eastAsia" w:asciiTheme="minorEastAsia" w:hAnsiTheme="minorEastAsia" w:eastAsiaTheme="minorEastAsia" w:cstheme="minorEastAsia"/>
          <w:color w:val="auto"/>
          <w:spacing w:val="-8"/>
          <w:sz w:val="24"/>
          <w:szCs w:val="24"/>
        </w:rPr>
        <w:t>织，采取以预防为主的治安防范措施，加强对施工人员法制教育</w:t>
      </w:r>
      <w:r>
        <w:rPr>
          <w:rFonts w:hint="eastAsia" w:asciiTheme="minorEastAsia" w:hAnsiTheme="minorEastAsia" w:eastAsiaTheme="minorEastAsia" w:cstheme="minorEastAsia"/>
          <w:color w:val="auto"/>
          <w:spacing w:val="-13"/>
          <w:sz w:val="24"/>
          <w:szCs w:val="24"/>
        </w:rPr>
        <w:t>和管理工作，充分尊重当地群众的生活习惯；</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④施工单位及时兑现人员工资，若出现拖欠问题，项目单位</w:t>
      </w:r>
      <w:r>
        <w:rPr>
          <w:rFonts w:hint="eastAsia" w:asciiTheme="minorEastAsia" w:hAnsiTheme="minorEastAsia" w:eastAsiaTheme="minorEastAsia" w:cstheme="minorEastAsia"/>
          <w:color w:val="auto"/>
          <w:spacing w:val="-17"/>
          <w:sz w:val="24"/>
          <w:szCs w:val="24"/>
        </w:rPr>
        <w:t>在劳动部门的配合下，有权代扣施工单位的工程结算款用于发放施</w:t>
      </w:r>
      <w:r>
        <w:rPr>
          <w:rFonts w:hint="eastAsia" w:asciiTheme="minorEastAsia" w:hAnsiTheme="minorEastAsia" w:eastAsiaTheme="minorEastAsia" w:cstheme="minorEastAsia"/>
          <w:color w:val="auto"/>
          <w:spacing w:val="-10"/>
          <w:sz w:val="24"/>
          <w:szCs w:val="24"/>
        </w:rPr>
        <w:t>工人员尤其是民工工资。</w:t>
      </w:r>
    </w:p>
    <w:p>
      <w:pPr>
        <w:pStyle w:val="32"/>
        <w:numPr>
          <w:ilvl w:val="0"/>
          <w:numId w:val="94"/>
        </w:numPr>
        <w:tabs>
          <w:tab w:val="left" w:pos="1659"/>
        </w:tabs>
        <w:spacing w:line="500" w:lineRule="exact"/>
        <w:ind w:left="0" w:firstLine="44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8"/>
          <w:sz w:val="24"/>
          <w:szCs w:val="24"/>
        </w:rPr>
        <w:t>社会群体性事件风险化解措施</w:t>
      </w:r>
    </w:p>
    <w:p>
      <w:pPr>
        <w:pStyle w:val="10"/>
        <w:spacing w:line="500" w:lineRule="exact"/>
        <w:ind w:firstLine="412"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7"/>
          <w:sz w:val="24"/>
          <w:szCs w:val="24"/>
        </w:rPr>
        <w:t>①加强群众宣传，积极引导群众了解建设农村生活污水处理</w:t>
      </w:r>
      <w:r>
        <w:rPr>
          <w:rFonts w:hint="eastAsia" w:asciiTheme="minorEastAsia" w:hAnsiTheme="minorEastAsia" w:eastAsiaTheme="minorEastAsia" w:cstheme="minorEastAsia"/>
          <w:color w:val="auto"/>
          <w:spacing w:val="-13"/>
          <w:sz w:val="24"/>
          <w:szCs w:val="24"/>
        </w:rPr>
        <w:t>设施的意义，稳定群众情绪以达到良好的效果；</w:t>
      </w:r>
    </w:p>
    <w:p>
      <w:pPr>
        <w:pStyle w:val="10"/>
        <w:spacing w:line="500" w:lineRule="exact"/>
        <w:ind w:firstLine="42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3"/>
          <w:sz w:val="24"/>
          <w:szCs w:val="24"/>
        </w:rPr>
        <w:t>②在项目运作过程中，加强对农村污水处理设施的环境风险排查，加强常规的环境监测，及时发现环境风险并排除突发性环境污染事故的</w:t>
      </w:r>
      <w:r>
        <w:rPr>
          <w:rFonts w:hint="eastAsia" w:asciiTheme="minorEastAsia" w:hAnsiTheme="minorEastAsia" w:eastAsiaTheme="minorEastAsia" w:cstheme="minorEastAsia"/>
          <w:color w:val="auto"/>
          <w:sz w:val="24"/>
          <w:szCs w:val="24"/>
        </w:rPr>
        <w:t>发生，降低发生社会群众性事件的风险。</w:t>
      </w:r>
    </w:p>
    <w:p>
      <w:pPr>
        <w:pStyle w:val="2"/>
        <w:numPr>
          <w:ilvl w:val="0"/>
          <w:numId w:val="0"/>
        </w:numPr>
        <w:tabs>
          <w:tab w:val="left" w:pos="1016"/>
        </w:tabs>
        <w:spacing w:before="0" w:line="500" w:lineRule="exact"/>
        <w:ind w:leftChars="0"/>
        <w:jc w:val="both"/>
        <w:rPr>
          <w:rFonts w:asciiTheme="minorEastAsia" w:hAnsiTheme="minorEastAsia" w:eastAsiaTheme="minorEastAsia" w:cstheme="minorEastAsia"/>
          <w:color w:val="auto"/>
          <w:sz w:val="24"/>
          <w:szCs w:val="24"/>
        </w:rPr>
      </w:pPr>
      <w:bookmarkStart w:id="203" w:name="14.5风险分析结论"/>
      <w:bookmarkEnd w:id="203"/>
      <w:bookmarkStart w:id="204" w:name="_Toc25764"/>
      <w:bookmarkStart w:id="205" w:name="_Toc30088"/>
      <w:r>
        <w:rPr>
          <w:rFonts w:hint="eastAsia" w:asciiTheme="minorEastAsia" w:hAnsiTheme="minorEastAsia" w:eastAsiaTheme="minorEastAsia" w:cstheme="minorEastAsia"/>
          <w:color w:val="auto"/>
          <w:sz w:val="24"/>
          <w:szCs w:val="24"/>
          <w:lang w:val="en-US" w:eastAsia="zh-CN"/>
        </w:rPr>
        <w:t>14.5</w:t>
      </w:r>
      <w:r>
        <w:rPr>
          <w:rFonts w:hint="eastAsia" w:asciiTheme="minorEastAsia" w:hAnsiTheme="minorEastAsia" w:eastAsiaTheme="minorEastAsia" w:cstheme="minorEastAsia"/>
          <w:color w:val="auto"/>
          <w:sz w:val="24"/>
          <w:szCs w:val="24"/>
        </w:rPr>
        <w:t>风险分析结论</w:t>
      </w:r>
      <w:bookmarkEnd w:id="204"/>
      <w:bookmarkEnd w:id="205"/>
    </w:p>
    <w:p>
      <w:pPr>
        <w:pStyle w:val="10"/>
        <w:spacing w:line="500" w:lineRule="exact"/>
        <w:ind w:firstLine="46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5"/>
          <w:sz w:val="24"/>
          <w:szCs w:val="24"/>
        </w:rPr>
        <w:t>通过上述对</w:t>
      </w:r>
      <w:r>
        <w:rPr>
          <w:rFonts w:hint="eastAsia" w:asciiTheme="minorEastAsia" w:hAnsiTheme="minorEastAsia" w:eastAsiaTheme="minorEastAsia" w:cstheme="minorEastAsia"/>
          <w:color w:val="auto"/>
          <w:spacing w:val="-5"/>
          <w:sz w:val="24"/>
          <w:szCs w:val="24"/>
          <w:lang w:eastAsia="zh-CN"/>
        </w:rPr>
        <w:t>罗定市农村生活污水治理建设项目可行性研究报告（修编）</w:t>
      </w:r>
      <w:r>
        <w:rPr>
          <w:rFonts w:hint="eastAsia" w:asciiTheme="minorEastAsia" w:hAnsiTheme="minorEastAsia" w:eastAsiaTheme="minorEastAsia" w:cstheme="minorEastAsia"/>
          <w:color w:val="auto"/>
          <w:spacing w:val="-17"/>
          <w:sz w:val="24"/>
          <w:szCs w:val="24"/>
        </w:rPr>
        <w:t>的社会稳定风险分析，本报告提出的各项风险防范与化解措施能够一定程度的降低各项风险发生的机率及影响程度，说明风险防范与化解措施具有可行性和有效性。落实风险防范与化解措施后，本项目的预测风险程度低，意味着项目实施过程中出现群体性事件的可行性不大， 但不排除会发生个体矛盾冲突的可能。综上所述，本项目的社会稳定风险等级为低风险。相关预测分析和化解措施满足维护社会稳定的要求，因此本工程建设可行。</w:t>
      </w:r>
    </w:p>
    <w:p>
      <w:pPr>
        <w:spacing w:line="500" w:lineRule="exact"/>
        <w:ind w:firstLine="480" w:firstLineChars="200"/>
        <w:jc w:val="both"/>
        <w:rPr>
          <w:rFonts w:asciiTheme="minorEastAsia" w:hAnsiTheme="minorEastAsia" w:eastAsiaTheme="minorEastAsia" w:cstheme="minorEastAsia"/>
          <w:color w:val="auto"/>
          <w:sz w:val="24"/>
          <w:szCs w:val="24"/>
        </w:rPr>
        <w:sectPr>
          <w:footerReference r:id="rId16" w:type="default"/>
          <w:type w:val="nextColumn"/>
          <w:pgSz w:w="11910" w:h="16840"/>
          <w:pgMar w:top="1418" w:right="1418" w:bottom="1418" w:left="1701" w:header="0" w:footer="512" w:gutter="0"/>
          <w:cols w:space="720" w:num="1"/>
        </w:sectPr>
      </w:pPr>
    </w:p>
    <w:p>
      <w:pPr>
        <w:pStyle w:val="2"/>
        <w:numPr>
          <w:ilvl w:val="0"/>
          <w:numId w:val="65"/>
        </w:numPr>
        <w:jc w:val="center"/>
        <w:rPr>
          <w:color w:val="auto"/>
        </w:rPr>
      </w:pPr>
      <w:bookmarkStart w:id="206" w:name="十五_、国民经济影响与社会效益评价"/>
      <w:bookmarkEnd w:id="206"/>
      <w:bookmarkStart w:id="207" w:name="_Toc12120"/>
      <w:bookmarkStart w:id="208" w:name="_Toc15152"/>
      <w:r>
        <w:rPr>
          <w:rFonts w:hint="eastAsia"/>
          <w:color w:val="auto"/>
        </w:rPr>
        <w:t>国民经济影响与社会效益评价</w:t>
      </w:r>
      <w:bookmarkEnd w:id="207"/>
      <w:bookmarkEnd w:id="208"/>
    </w:p>
    <w:p>
      <w:pPr>
        <w:pStyle w:val="32"/>
        <w:numPr>
          <w:ilvl w:val="0"/>
          <w:numId w:val="95"/>
        </w:numPr>
        <w:tabs>
          <w:tab w:val="left" w:pos="1016"/>
        </w:tabs>
        <w:spacing w:line="500" w:lineRule="exact"/>
        <w:jc w:val="both"/>
        <w:outlineLvl w:val="0"/>
        <w:rPr>
          <w:rFonts w:asciiTheme="minorEastAsia" w:hAnsiTheme="minorEastAsia" w:eastAsiaTheme="minorEastAsia" w:cstheme="minorEastAsia"/>
          <w:b/>
          <w:bCs/>
          <w:vanish/>
          <w:color w:val="auto"/>
          <w:sz w:val="24"/>
          <w:szCs w:val="24"/>
        </w:rPr>
      </w:pPr>
    </w:p>
    <w:p>
      <w:pPr>
        <w:pStyle w:val="32"/>
        <w:numPr>
          <w:ilvl w:val="0"/>
          <w:numId w:val="95"/>
        </w:numPr>
        <w:tabs>
          <w:tab w:val="left" w:pos="1016"/>
        </w:tabs>
        <w:spacing w:line="500" w:lineRule="exact"/>
        <w:jc w:val="both"/>
        <w:outlineLvl w:val="0"/>
        <w:rPr>
          <w:rFonts w:asciiTheme="minorEastAsia" w:hAnsiTheme="minorEastAsia" w:eastAsiaTheme="minorEastAsia" w:cstheme="minorEastAsia"/>
          <w:b/>
          <w:bCs/>
          <w:vanish/>
          <w:color w:val="auto"/>
          <w:sz w:val="24"/>
          <w:szCs w:val="24"/>
        </w:rPr>
      </w:pPr>
    </w:p>
    <w:p>
      <w:pPr>
        <w:pStyle w:val="2"/>
        <w:numPr>
          <w:ilvl w:val="0"/>
          <w:numId w:val="0"/>
        </w:numPr>
        <w:tabs>
          <w:tab w:val="left" w:pos="1016"/>
        </w:tabs>
        <w:spacing w:before="0" w:line="500" w:lineRule="exact"/>
        <w:ind w:leftChars="0"/>
        <w:jc w:val="both"/>
        <w:rPr>
          <w:rFonts w:asciiTheme="minorEastAsia" w:hAnsiTheme="minorEastAsia" w:eastAsiaTheme="minorEastAsia" w:cstheme="minorEastAsia"/>
          <w:color w:val="auto"/>
          <w:sz w:val="24"/>
          <w:szCs w:val="24"/>
        </w:rPr>
      </w:pPr>
      <w:bookmarkStart w:id="209" w:name="_Toc4613"/>
      <w:r>
        <w:rPr>
          <w:rFonts w:hint="eastAsia" w:asciiTheme="minorEastAsia" w:hAnsiTheme="minorEastAsia" w:eastAsiaTheme="minorEastAsia" w:cstheme="minorEastAsia"/>
          <w:color w:val="auto"/>
          <w:sz w:val="24"/>
          <w:szCs w:val="24"/>
          <w:lang w:val="en-US" w:eastAsia="zh-CN"/>
        </w:rPr>
        <w:t>15.1</w:t>
      </w:r>
      <w:r>
        <w:rPr>
          <w:rFonts w:hint="eastAsia" w:asciiTheme="minorEastAsia" w:hAnsiTheme="minorEastAsia" w:eastAsiaTheme="minorEastAsia" w:cstheme="minorEastAsia"/>
          <w:color w:val="auto"/>
          <w:sz w:val="24"/>
          <w:szCs w:val="24"/>
        </w:rPr>
        <w:t>评价依据和期限</w:t>
      </w:r>
      <w:bookmarkEnd w:id="209"/>
    </w:p>
    <w:p>
      <w:pPr>
        <w:pStyle w:val="32"/>
        <w:numPr>
          <w:ilvl w:val="0"/>
          <w:numId w:val="96"/>
        </w:numPr>
        <w:tabs>
          <w:tab w:val="left" w:pos="1460"/>
        </w:tabs>
        <w:spacing w:line="500" w:lineRule="exact"/>
        <w:jc w:val="both"/>
        <w:rPr>
          <w:rFonts w:ascii="黑体" w:hAnsi="黑体" w:eastAsia="黑体" w:cs="黑体"/>
          <w:b/>
          <w:bCs/>
          <w:vanish/>
          <w:color w:val="auto"/>
          <w:spacing w:val="-11"/>
          <w:sz w:val="28"/>
          <w:szCs w:val="28"/>
          <w:lang w:val="en-US"/>
        </w:rPr>
      </w:pPr>
    </w:p>
    <w:p>
      <w:pPr>
        <w:pStyle w:val="32"/>
        <w:numPr>
          <w:ilvl w:val="0"/>
          <w:numId w:val="96"/>
        </w:numPr>
        <w:tabs>
          <w:tab w:val="left" w:pos="1460"/>
        </w:tabs>
        <w:spacing w:line="500" w:lineRule="exact"/>
        <w:jc w:val="both"/>
        <w:rPr>
          <w:rFonts w:ascii="黑体" w:hAnsi="黑体" w:eastAsia="黑体" w:cs="黑体"/>
          <w:b/>
          <w:bCs/>
          <w:vanish/>
          <w:color w:val="auto"/>
          <w:spacing w:val="-11"/>
          <w:sz w:val="28"/>
          <w:szCs w:val="28"/>
          <w:lang w:val="en-US"/>
        </w:rPr>
      </w:pPr>
    </w:p>
    <w:p>
      <w:pPr>
        <w:pStyle w:val="32"/>
        <w:numPr>
          <w:ilvl w:val="0"/>
          <w:numId w:val="96"/>
        </w:numPr>
        <w:tabs>
          <w:tab w:val="left" w:pos="1460"/>
        </w:tabs>
        <w:spacing w:line="500" w:lineRule="exact"/>
        <w:jc w:val="both"/>
        <w:rPr>
          <w:rFonts w:ascii="黑体" w:hAnsi="黑体" w:eastAsia="黑体" w:cs="黑体"/>
          <w:b/>
          <w:bCs/>
          <w:vanish/>
          <w:color w:val="auto"/>
          <w:spacing w:val="-11"/>
          <w:sz w:val="28"/>
          <w:szCs w:val="28"/>
          <w:lang w:val="en-US"/>
        </w:rPr>
      </w:pPr>
    </w:p>
    <w:p>
      <w:pPr>
        <w:pStyle w:val="32"/>
        <w:numPr>
          <w:ilvl w:val="1"/>
          <w:numId w:val="96"/>
        </w:numPr>
        <w:tabs>
          <w:tab w:val="left" w:pos="1460"/>
        </w:tabs>
        <w:spacing w:line="500" w:lineRule="exact"/>
        <w:jc w:val="both"/>
        <w:rPr>
          <w:rFonts w:ascii="黑体" w:hAnsi="黑体" w:eastAsia="黑体" w:cs="黑体"/>
          <w:b/>
          <w:bCs/>
          <w:vanish/>
          <w:color w:val="auto"/>
          <w:spacing w:val="-11"/>
          <w:sz w:val="28"/>
          <w:szCs w:val="28"/>
          <w:lang w:val="en-US"/>
        </w:rPr>
      </w:pPr>
    </w:p>
    <w:p>
      <w:pPr>
        <w:pStyle w:val="32"/>
        <w:numPr>
          <w:ilvl w:val="2"/>
          <w:numId w:val="0"/>
        </w:numPr>
        <w:tabs>
          <w:tab w:val="left" w:pos="1460"/>
        </w:tabs>
        <w:spacing w:line="500" w:lineRule="exact"/>
        <w:ind w:left="547" w:leftChars="0"/>
        <w:jc w:val="both"/>
        <w:rPr>
          <w:rFonts w:asciiTheme="minorEastAsia" w:hAnsiTheme="minorEastAsia" w:eastAsiaTheme="minorEastAsia" w:cstheme="minorEastAsia"/>
          <w:b/>
          <w:bCs/>
          <w:color w:val="auto"/>
          <w:spacing w:val="-11"/>
          <w:sz w:val="24"/>
          <w:szCs w:val="24"/>
        </w:rPr>
      </w:pPr>
      <w:r>
        <w:rPr>
          <w:rFonts w:hint="eastAsia" w:asciiTheme="minorEastAsia" w:hAnsiTheme="minorEastAsia" w:eastAsiaTheme="minorEastAsia" w:cstheme="minorEastAsia"/>
          <w:b/>
          <w:bCs/>
          <w:color w:val="auto"/>
          <w:spacing w:val="-11"/>
          <w:sz w:val="24"/>
          <w:szCs w:val="24"/>
          <w:lang w:val="en-US" w:eastAsia="zh-CN"/>
        </w:rPr>
        <w:t>15.1.1</w:t>
      </w:r>
      <w:r>
        <w:rPr>
          <w:rFonts w:hint="eastAsia" w:asciiTheme="minorEastAsia" w:hAnsiTheme="minorEastAsia" w:eastAsiaTheme="minorEastAsia" w:cstheme="minorEastAsia"/>
          <w:b/>
          <w:bCs/>
          <w:color w:val="auto"/>
          <w:spacing w:val="-11"/>
          <w:sz w:val="24"/>
          <w:szCs w:val="24"/>
        </w:rPr>
        <w:t>评价依据</w:t>
      </w:r>
    </w:p>
    <w:p>
      <w:pPr>
        <w:pStyle w:val="10"/>
        <w:spacing w:line="500" w:lineRule="exact"/>
        <w:ind w:firstLine="448" w:firstLineChars="200"/>
        <w:jc w:val="both"/>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lang w:eastAsia="zh-CN"/>
        </w:rPr>
        <w:t>罗定市农村生活污水治理建设项目可行性研究报告（修编）</w:t>
      </w:r>
      <w:r>
        <w:rPr>
          <w:rFonts w:hint="eastAsia" w:asciiTheme="minorEastAsia" w:hAnsiTheme="minorEastAsia" w:eastAsiaTheme="minorEastAsia" w:cstheme="minorEastAsia"/>
          <w:color w:val="auto"/>
          <w:spacing w:val="-8"/>
          <w:sz w:val="24"/>
          <w:szCs w:val="24"/>
        </w:rPr>
        <w:t>工程经济评价按照《水利建设项目经济评价规范》（SL72-2013）、《建设项目经济评价方法与参数》（第三版）、《水利水电工程可行性研究报告编制规程》（SL/T 618-2021）等国家和行业技术规程、规范要求进行。</w:t>
      </w:r>
    </w:p>
    <w:p>
      <w:pPr>
        <w:pStyle w:val="32"/>
        <w:numPr>
          <w:ilvl w:val="2"/>
          <w:numId w:val="0"/>
        </w:numPr>
        <w:tabs>
          <w:tab w:val="left" w:pos="1460"/>
        </w:tabs>
        <w:spacing w:line="500" w:lineRule="exact"/>
        <w:ind w:left="547" w:leftChars="0"/>
        <w:jc w:val="both"/>
        <w:rPr>
          <w:rFonts w:asciiTheme="minorEastAsia" w:hAnsiTheme="minorEastAsia" w:eastAsiaTheme="minorEastAsia" w:cstheme="minorEastAsia"/>
          <w:b/>
          <w:bCs/>
          <w:color w:val="auto"/>
          <w:spacing w:val="-11"/>
          <w:sz w:val="24"/>
          <w:szCs w:val="24"/>
        </w:rPr>
      </w:pPr>
      <w:r>
        <w:rPr>
          <w:rFonts w:hint="eastAsia" w:asciiTheme="minorEastAsia" w:hAnsiTheme="minorEastAsia" w:eastAsiaTheme="minorEastAsia" w:cstheme="minorEastAsia"/>
          <w:b/>
          <w:bCs/>
          <w:color w:val="auto"/>
          <w:spacing w:val="-11"/>
          <w:sz w:val="24"/>
          <w:szCs w:val="24"/>
          <w:lang w:val="en-US" w:eastAsia="zh-CN"/>
        </w:rPr>
        <w:t>15.1.2</w:t>
      </w:r>
      <w:r>
        <w:rPr>
          <w:rFonts w:hint="eastAsia" w:asciiTheme="minorEastAsia" w:hAnsiTheme="minorEastAsia" w:eastAsiaTheme="minorEastAsia" w:cstheme="minorEastAsia"/>
          <w:b/>
          <w:bCs/>
          <w:color w:val="auto"/>
          <w:spacing w:val="-11"/>
          <w:sz w:val="24"/>
          <w:szCs w:val="24"/>
        </w:rPr>
        <w:t>评价期限</w:t>
      </w:r>
    </w:p>
    <w:p>
      <w:pPr>
        <w:pStyle w:val="10"/>
        <w:spacing w:line="500" w:lineRule="exact"/>
        <w:ind w:firstLine="44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8"/>
          <w:sz w:val="24"/>
          <w:szCs w:val="24"/>
        </w:rPr>
        <w:t>本项目202</w:t>
      </w:r>
      <w:r>
        <w:rPr>
          <w:rFonts w:hint="eastAsia" w:asciiTheme="minorEastAsia" w:hAnsiTheme="minorEastAsia" w:eastAsiaTheme="minorEastAsia" w:cstheme="minorEastAsia"/>
          <w:color w:val="auto"/>
          <w:spacing w:val="-8"/>
          <w:sz w:val="24"/>
          <w:szCs w:val="24"/>
          <w:lang w:val="en-US" w:eastAsia="zh-CN"/>
        </w:rPr>
        <w:t>4</w:t>
      </w:r>
      <w:r>
        <w:rPr>
          <w:rFonts w:hint="eastAsia" w:asciiTheme="minorEastAsia" w:hAnsiTheme="minorEastAsia" w:eastAsiaTheme="minorEastAsia" w:cstheme="minorEastAsia"/>
          <w:color w:val="auto"/>
          <w:spacing w:val="-8"/>
          <w:sz w:val="24"/>
          <w:szCs w:val="24"/>
        </w:rPr>
        <w:t>年</w:t>
      </w:r>
      <w:r>
        <w:rPr>
          <w:rFonts w:hint="eastAsia" w:asciiTheme="minorEastAsia" w:hAnsiTheme="minorEastAsia" w:eastAsiaTheme="minorEastAsia" w:cstheme="minorEastAsia"/>
          <w:color w:val="auto"/>
          <w:spacing w:val="-8"/>
          <w:sz w:val="24"/>
          <w:szCs w:val="24"/>
          <w:lang w:val="en-US" w:eastAsia="zh-CN"/>
        </w:rPr>
        <w:t>启动</w:t>
      </w:r>
      <w:r>
        <w:rPr>
          <w:rFonts w:hint="eastAsia" w:asciiTheme="minorEastAsia" w:hAnsiTheme="minorEastAsia" w:eastAsiaTheme="minorEastAsia" w:cstheme="minorEastAsia"/>
          <w:color w:val="auto"/>
          <w:spacing w:val="-8"/>
          <w:sz w:val="24"/>
          <w:szCs w:val="24"/>
        </w:rPr>
        <w:t>，202</w:t>
      </w:r>
      <w:r>
        <w:rPr>
          <w:rFonts w:hint="eastAsia" w:asciiTheme="minorEastAsia" w:hAnsiTheme="minorEastAsia" w:eastAsiaTheme="minorEastAsia" w:cstheme="minorEastAsia"/>
          <w:color w:val="auto"/>
          <w:spacing w:val="-8"/>
          <w:sz w:val="24"/>
          <w:szCs w:val="24"/>
          <w:lang w:val="en-US" w:eastAsia="zh-CN"/>
        </w:rPr>
        <w:t>5</w:t>
      </w:r>
      <w:r>
        <w:rPr>
          <w:rFonts w:hint="eastAsia" w:asciiTheme="minorEastAsia" w:hAnsiTheme="minorEastAsia" w:eastAsiaTheme="minorEastAsia" w:cstheme="minorEastAsia"/>
          <w:color w:val="auto"/>
          <w:spacing w:val="-8"/>
          <w:sz w:val="24"/>
          <w:szCs w:val="24"/>
        </w:rPr>
        <w:t>年</w:t>
      </w:r>
      <w:r>
        <w:rPr>
          <w:rFonts w:hint="eastAsia" w:asciiTheme="minorEastAsia" w:hAnsiTheme="minorEastAsia" w:eastAsiaTheme="minorEastAsia" w:cstheme="minorEastAsia"/>
          <w:color w:val="auto"/>
          <w:spacing w:val="-8"/>
          <w:sz w:val="24"/>
          <w:szCs w:val="24"/>
          <w:lang w:val="en-US" w:eastAsia="zh-CN"/>
        </w:rPr>
        <w:t>6月</w:t>
      </w:r>
      <w:r>
        <w:rPr>
          <w:rFonts w:hint="eastAsia" w:asciiTheme="minorEastAsia" w:hAnsiTheme="minorEastAsia" w:eastAsiaTheme="minorEastAsia" w:cstheme="minorEastAsia"/>
          <w:color w:val="auto"/>
          <w:spacing w:val="-8"/>
          <w:sz w:val="24"/>
          <w:szCs w:val="24"/>
        </w:rPr>
        <w:t>建成，工期为</w:t>
      </w:r>
      <w:r>
        <w:rPr>
          <w:rFonts w:hint="eastAsia" w:asciiTheme="minorEastAsia" w:hAnsiTheme="minorEastAsia" w:eastAsiaTheme="minorEastAsia" w:cstheme="minorEastAsia"/>
          <w:color w:val="auto"/>
          <w:spacing w:val="-8"/>
          <w:sz w:val="24"/>
          <w:szCs w:val="24"/>
          <w:lang w:val="en-US" w:eastAsia="zh-CN"/>
        </w:rPr>
        <w:t>18个月</w:t>
      </w:r>
      <w:r>
        <w:rPr>
          <w:rFonts w:hint="eastAsia" w:asciiTheme="minorEastAsia" w:hAnsiTheme="minorEastAsia" w:eastAsiaTheme="minorEastAsia" w:cstheme="minorEastAsia"/>
          <w:color w:val="auto"/>
          <w:spacing w:val="-8"/>
          <w:sz w:val="24"/>
          <w:szCs w:val="24"/>
        </w:rPr>
        <w:t>。运行期按30年考虑（不含建设期）。资金时间价值计算的基准年选在计算期第1年，并以第1年年初作为折现计算的基准点，即2023年初。投入的费用和产出的效益均按年末发生和结算。本项目国民经济评价社会折现率取</w:t>
      </w:r>
      <w:r>
        <w:rPr>
          <w:rFonts w:hint="eastAsia" w:asciiTheme="minorEastAsia" w:hAnsiTheme="minorEastAsia" w:eastAsiaTheme="minorEastAsia" w:cstheme="minorEastAsia"/>
          <w:color w:val="auto"/>
          <w:spacing w:val="-8"/>
          <w:sz w:val="24"/>
          <w:szCs w:val="24"/>
          <w:lang w:val="en-US"/>
        </w:rPr>
        <w:t>8</w:t>
      </w:r>
      <w:r>
        <w:rPr>
          <w:rFonts w:hint="eastAsia" w:asciiTheme="minorEastAsia" w:hAnsiTheme="minorEastAsia" w:eastAsiaTheme="minorEastAsia" w:cstheme="minorEastAsia"/>
          <w:color w:val="auto"/>
          <w:spacing w:val="-8"/>
          <w:sz w:val="24"/>
          <w:szCs w:val="24"/>
        </w:rPr>
        <w:t>%。</w:t>
      </w:r>
    </w:p>
    <w:p>
      <w:pPr>
        <w:pStyle w:val="2"/>
        <w:numPr>
          <w:ilvl w:val="0"/>
          <w:numId w:val="0"/>
        </w:numPr>
        <w:tabs>
          <w:tab w:val="left" w:pos="1016"/>
        </w:tabs>
        <w:spacing w:before="0" w:line="500" w:lineRule="exact"/>
        <w:ind w:leftChars="0"/>
        <w:jc w:val="both"/>
        <w:rPr>
          <w:rFonts w:asciiTheme="minorEastAsia" w:hAnsiTheme="minorEastAsia" w:eastAsiaTheme="minorEastAsia" w:cstheme="minorEastAsia"/>
          <w:color w:val="auto"/>
          <w:sz w:val="24"/>
          <w:szCs w:val="24"/>
        </w:rPr>
      </w:pPr>
      <w:bookmarkStart w:id="210" w:name="15.1国民经济分析"/>
      <w:bookmarkEnd w:id="210"/>
      <w:bookmarkStart w:id="211" w:name="_Toc26822"/>
      <w:r>
        <w:rPr>
          <w:rFonts w:hint="eastAsia" w:asciiTheme="minorEastAsia" w:hAnsiTheme="minorEastAsia" w:eastAsiaTheme="minorEastAsia" w:cstheme="minorEastAsia"/>
          <w:color w:val="auto"/>
          <w:sz w:val="24"/>
          <w:szCs w:val="24"/>
          <w:lang w:val="en-US" w:eastAsia="zh-CN"/>
        </w:rPr>
        <w:t>15.2</w:t>
      </w:r>
      <w:r>
        <w:rPr>
          <w:rFonts w:hint="eastAsia" w:asciiTheme="minorEastAsia" w:hAnsiTheme="minorEastAsia" w:eastAsiaTheme="minorEastAsia" w:cstheme="minorEastAsia"/>
          <w:color w:val="auto"/>
          <w:sz w:val="24"/>
          <w:szCs w:val="24"/>
        </w:rPr>
        <w:t>项目成本</w:t>
      </w:r>
      <w:bookmarkEnd w:id="211"/>
    </w:p>
    <w:p>
      <w:pPr>
        <w:pStyle w:val="32"/>
        <w:numPr>
          <w:ilvl w:val="0"/>
          <w:numId w:val="0"/>
        </w:numPr>
        <w:tabs>
          <w:tab w:val="left" w:pos="1460"/>
        </w:tabs>
        <w:spacing w:line="500" w:lineRule="exact"/>
        <w:ind w:left="464"/>
        <w:jc w:val="both"/>
        <w:rPr>
          <w:rFonts w:asciiTheme="minorEastAsia" w:hAnsiTheme="minorEastAsia" w:eastAsiaTheme="minorEastAsia" w:cstheme="minorEastAsia"/>
          <w:color w:val="auto"/>
          <w:spacing w:val="-8"/>
          <w:sz w:val="24"/>
          <w:szCs w:val="24"/>
          <w:lang w:val="en-US"/>
        </w:rPr>
      </w:pPr>
      <w:r>
        <w:rPr>
          <w:rFonts w:hint="eastAsia" w:asciiTheme="minorEastAsia" w:hAnsiTheme="minorEastAsia" w:eastAsiaTheme="minorEastAsia" w:cstheme="minorEastAsia"/>
          <w:color w:val="auto"/>
          <w:spacing w:val="-8"/>
          <w:sz w:val="24"/>
          <w:szCs w:val="24"/>
        </w:rPr>
        <w:t>项目费用包括项目建设投资、年运行费、流动资金。</w:t>
      </w:r>
    </w:p>
    <w:p>
      <w:pPr>
        <w:pStyle w:val="32"/>
        <w:numPr>
          <w:ilvl w:val="0"/>
          <w:numId w:val="97"/>
        </w:numPr>
        <w:tabs>
          <w:tab w:val="left" w:pos="1460"/>
        </w:tabs>
        <w:spacing w:line="500" w:lineRule="exact"/>
        <w:jc w:val="both"/>
        <w:rPr>
          <w:rFonts w:asciiTheme="minorEastAsia" w:hAnsiTheme="minorEastAsia" w:eastAsiaTheme="minorEastAsia" w:cstheme="minorEastAsia"/>
          <w:b/>
          <w:bCs/>
          <w:vanish/>
          <w:color w:val="auto"/>
          <w:spacing w:val="-11"/>
          <w:sz w:val="24"/>
          <w:szCs w:val="24"/>
        </w:rPr>
      </w:pPr>
    </w:p>
    <w:p>
      <w:pPr>
        <w:pStyle w:val="32"/>
        <w:numPr>
          <w:ilvl w:val="1"/>
          <w:numId w:val="97"/>
        </w:numPr>
        <w:tabs>
          <w:tab w:val="left" w:pos="1460"/>
        </w:tabs>
        <w:spacing w:line="500" w:lineRule="exact"/>
        <w:jc w:val="both"/>
        <w:rPr>
          <w:rFonts w:asciiTheme="minorEastAsia" w:hAnsiTheme="minorEastAsia" w:eastAsiaTheme="minorEastAsia" w:cstheme="minorEastAsia"/>
          <w:b/>
          <w:bCs/>
          <w:vanish/>
          <w:color w:val="auto"/>
          <w:spacing w:val="-11"/>
          <w:sz w:val="24"/>
          <w:szCs w:val="24"/>
        </w:rPr>
      </w:pPr>
    </w:p>
    <w:p>
      <w:pPr>
        <w:pStyle w:val="32"/>
        <w:numPr>
          <w:ilvl w:val="1"/>
          <w:numId w:val="97"/>
        </w:numPr>
        <w:tabs>
          <w:tab w:val="left" w:pos="1460"/>
        </w:tabs>
        <w:spacing w:line="500" w:lineRule="exact"/>
        <w:jc w:val="both"/>
        <w:rPr>
          <w:rFonts w:asciiTheme="minorEastAsia" w:hAnsiTheme="minorEastAsia" w:eastAsiaTheme="minorEastAsia" w:cstheme="minorEastAsia"/>
          <w:b/>
          <w:bCs/>
          <w:vanish/>
          <w:color w:val="auto"/>
          <w:spacing w:val="-11"/>
          <w:sz w:val="24"/>
          <w:szCs w:val="24"/>
        </w:rPr>
      </w:pPr>
    </w:p>
    <w:p>
      <w:pPr>
        <w:pStyle w:val="32"/>
        <w:numPr>
          <w:ilvl w:val="2"/>
          <w:numId w:val="0"/>
        </w:numPr>
        <w:tabs>
          <w:tab w:val="left" w:pos="1460"/>
        </w:tabs>
        <w:spacing w:line="500" w:lineRule="exact"/>
        <w:ind w:left="547" w:leftChars="0"/>
        <w:jc w:val="both"/>
        <w:rPr>
          <w:rFonts w:asciiTheme="minorEastAsia" w:hAnsiTheme="minorEastAsia" w:eastAsiaTheme="minorEastAsia" w:cstheme="minorEastAsia"/>
          <w:b/>
          <w:bCs/>
          <w:color w:val="auto"/>
          <w:spacing w:val="-11"/>
          <w:sz w:val="24"/>
          <w:szCs w:val="24"/>
        </w:rPr>
      </w:pPr>
      <w:r>
        <w:rPr>
          <w:rFonts w:hint="eastAsia" w:asciiTheme="minorEastAsia" w:hAnsiTheme="minorEastAsia" w:eastAsiaTheme="minorEastAsia" w:cstheme="minorEastAsia"/>
          <w:b/>
          <w:bCs/>
          <w:color w:val="auto"/>
          <w:spacing w:val="-11"/>
          <w:sz w:val="24"/>
          <w:szCs w:val="24"/>
          <w:lang w:val="en-US" w:eastAsia="zh-CN"/>
        </w:rPr>
        <w:t>15.2.1</w:t>
      </w:r>
      <w:r>
        <w:rPr>
          <w:rFonts w:hint="eastAsia" w:asciiTheme="minorEastAsia" w:hAnsiTheme="minorEastAsia" w:eastAsiaTheme="minorEastAsia" w:cstheme="minorEastAsia"/>
          <w:b/>
          <w:bCs/>
          <w:color w:val="auto"/>
          <w:spacing w:val="-11"/>
          <w:sz w:val="24"/>
          <w:szCs w:val="24"/>
        </w:rPr>
        <w:t>建设投资</w:t>
      </w:r>
    </w:p>
    <w:p>
      <w:pPr>
        <w:pStyle w:val="10"/>
        <w:spacing w:line="500" w:lineRule="exact"/>
        <w:ind w:firstLine="480" w:firstLineChars="200"/>
        <w:jc w:val="both"/>
        <w:rPr>
          <w:rFonts w:asciiTheme="minorEastAsia" w:hAnsiTheme="minorEastAsia" w:eastAsiaTheme="minorEastAsia" w:cstheme="minorEastAsia"/>
          <w:color w:val="auto"/>
          <w:spacing w:val="-8"/>
          <w:sz w:val="24"/>
          <w:szCs w:val="24"/>
          <w:highlight w:val="none"/>
          <w:lang w:val="en-US"/>
        </w:rPr>
      </w:pPr>
      <w:r>
        <w:rPr>
          <w:rFonts w:hint="eastAsia" w:asciiTheme="minorEastAsia" w:hAnsiTheme="minorEastAsia" w:eastAsiaTheme="minorEastAsia" w:cstheme="minorEastAsia"/>
          <w:color w:val="auto"/>
          <w:sz w:val="24"/>
          <w:szCs w:val="24"/>
          <w:highlight w:val="none"/>
        </w:rPr>
        <w:t>本项目总投资估算</w:t>
      </w:r>
      <w:r>
        <w:rPr>
          <w:rFonts w:hint="eastAsia" w:asciiTheme="minorEastAsia" w:hAnsiTheme="minorEastAsia" w:eastAsiaTheme="minorEastAsia" w:cstheme="minorEastAsia"/>
          <w:color w:val="auto"/>
          <w:sz w:val="24"/>
          <w:szCs w:val="24"/>
          <w:highlight w:val="none"/>
          <w:lang w:val="en-US" w:eastAsia="zh-CN"/>
        </w:rPr>
        <w:t>80815.07万元</w:t>
      </w:r>
      <w:r>
        <w:rPr>
          <w:rFonts w:hint="eastAsia" w:asciiTheme="minorEastAsia" w:hAnsiTheme="minorEastAsia" w:eastAsiaTheme="minorEastAsia" w:cstheme="minorEastAsia"/>
          <w:color w:val="auto"/>
          <w:sz w:val="24"/>
          <w:szCs w:val="24"/>
          <w:highlight w:val="none"/>
        </w:rPr>
        <w:t>，其中工程费为</w:t>
      </w:r>
      <w:r>
        <w:rPr>
          <w:rFonts w:hint="eastAsia" w:asciiTheme="minorEastAsia" w:hAnsiTheme="minorEastAsia" w:eastAsiaTheme="minorEastAsia" w:cstheme="minorEastAsia"/>
          <w:color w:val="auto"/>
          <w:sz w:val="24"/>
          <w:szCs w:val="24"/>
          <w:highlight w:val="none"/>
          <w:lang w:eastAsia="zh-CN"/>
        </w:rPr>
        <w:t>69876.66万元</w:t>
      </w:r>
      <w:r>
        <w:rPr>
          <w:rFonts w:hint="eastAsia" w:asciiTheme="minorEastAsia" w:hAnsiTheme="minorEastAsia" w:eastAsiaTheme="minorEastAsia" w:cstheme="minorEastAsia"/>
          <w:color w:val="auto"/>
          <w:sz w:val="24"/>
          <w:szCs w:val="24"/>
          <w:highlight w:val="none"/>
        </w:rPr>
        <w:t>，</w:t>
      </w:r>
      <w:r>
        <w:rPr>
          <w:rFonts w:hint="eastAsia" w:asciiTheme="minorEastAsia" w:hAnsiTheme="minorEastAsia" w:eastAsiaTheme="minorEastAsia" w:cstheme="minorEastAsia"/>
          <w:color w:val="auto"/>
          <w:spacing w:val="-11"/>
          <w:sz w:val="24"/>
          <w:szCs w:val="24"/>
          <w:highlight w:val="none"/>
        </w:rPr>
        <w:t xml:space="preserve">工程其他费用 </w:t>
      </w:r>
      <w:r>
        <w:rPr>
          <w:rFonts w:hint="eastAsia" w:asciiTheme="minorEastAsia" w:hAnsiTheme="minorEastAsia" w:eastAsiaTheme="minorEastAsia" w:cstheme="minorEastAsia"/>
          <w:color w:val="auto"/>
          <w:spacing w:val="-8"/>
          <w:sz w:val="24"/>
          <w:szCs w:val="24"/>
          <w:highlight w:val="none"/>
          <w:lang w:val="en-US" w:eastAsia="zh-CN"/>
        </w:rPr>
        <w:t>8584.58万元</w:t>
      </w:r>
      <w:r>
        <w:rPr>
          <w:rFonts w:hint="eastAsia" w:asciiTheme="minorEastAsia" w:hAnsiTheme="minorEastAsia" w:eastAsiaTheme="minorEastAsia" w:cstheme="minorEastAsia"/>
          <w:color w:val="auto"/>
          <w:spacing w:val="-31"/>
          <w:sz w:val="24"/>
          <w:szCs w:val="24"/>
          <w:highlight w:val="none"/>
        </w:rPr>
        <w:t>，预备</w:t>
      </w:r>
      <w:r>
        <w:rPr>
          <w:rFonts w:hint="eastAsia" w:asciiTheme="minorEastAsia" w:hAnsiTheme="minorEastAsia" w:eastAsiaTheme="minorEastAsia" w:cstheme="minorEastAsia"/>
          <w:color w:val="auto"/>
          <w:spacing w:val="-8"/>
          <w:sz w:val="24"/>
          <w:szCs w:val="24"/>
          <w:highlight w:val="none"/>
          <w:lang w:val="en-US" w:eastAsia="zh-CN"/>
        </w:rPr>
        <w:t>费2353.84万元</w:t>
      </w:r>
      <w:r>
        <w:rPr>
          <w:rFonts w:hint="eastAsia" w:asciiTheme="minorEastAsia" w:hAnsiTheme="minorEastAsia" w:eastAsiaTheme="minorEastAsia" w:cstheme="minorEastAsia"/>
          <w:color w:val="auto"/>
          <w:spacing w:val="-8"/>
          <w:sz w:val="24"/>
          <w:szCs w:val="24"/>
          <w:highlight w:val="none"/>
          <w:lang w:val="en-US"/>
        </w:rPr>
        <w:t>。</w:t>
      </w:r>
    </w:p>
    <w:p>
      <w:pPr>
        <w:pStyle w:val="10"/>
        <w:spacing w:line="500" w:lineRule="exact"/>
        <w:ind w:firstLine="448" w:firstLineChars="200"/>
        <w:jc w:val="both"/>
        <w:rPr>
          <w:rFonts w:hint="eastAsia"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rPr>
        <w:t>在工程投资估算中，定额、单价、利润等已考虑现行市场价格，估算中的投资基本反映了工程的影子投资，因而进行国民经济评价时，不作影子价格调整，扣除约税金和企业利润，约占项目总投资的9%，即</w:t>
      </w:r>
      <w:r>
        <w:rPr>
          <w:rFonts w:hint="eastAsia" w:asciiTheme="minorEastAsia" w:hAnsiTheme="minorEastAsia" w:eastAsiaTheme="minorEastAsia" w:cstheme="minorEastAsia"/>
          <w:color w:val="auto"/>
          <w:spacing w:val="-8"/>
          <w:sz w:val="24"/>
          <w:szCs w:val="24"/>
          <w:lang w:val="en-US" w:eastAsia="zh-CN"/>
        </w:rPr>
        <w:t>80402.21</w:t>
      </w:r>
      <w:r>
        <w:rPr>
          <w:rFonts w:hint="eastAsia" w:asciiTheme="minorEastAsia" w:hAnsiTheme="minorEastAsia" w:eastAsiaTheme="minorEastAsia" w:cstheme="minorEastAsia"/>
          <w:color w:val="auto"/>
          <w:spacing w:val="-8"/>
          <w:sz w:val="24"/>
          <w:szCs w:val="24"/>
        </w:rPr>
        <w:t>万元，以此投资作为国民经济评价的投资。项目建设期</w:t>
      </w:r>
      <w:r>
        <w:rPr>
          <w:rFonts w:hint="eastAsia" w:asciiTheme="minorEastAsia" w:hAnsiTheme="minorEastAsia" w:eastAsiaTheme="minorEastAsia" w:cstheme="minorEastAsia"/>
          <w:color w:val="auto"/>
          <w:spacing w:val="-8"/>
          <w:sz w:val="24"/>
          <w:szCs w:val="24"/>
          <w:lang w:val="en-US" w:eastAsia="zh-CN"/>
        </w:rPr>
        <w:t>18个月</w:t>
      </w:r>
      <w:r>
        <w:rPr>
          <w:rFonts w:hint="eastAsia" w:asciiTheme="minorEastAsia" w:hAnsiTheme="minorEastAsia" w:eastAsiaTheme="minorEastAsia" w:cstheme="minorEastAsia"/>
          <w:color w:val="auto"/>
          <w:spacing w:val="-8"/>
          <w:sz w:val="24"/>
          <w:szCs w:val="24"/>
        </w:rPr>
        <w:t>（</w:t>
      </w:r>
      <w:r>
        <w:rPr>
          <w:rFonts w:hint="eastAsia" w:asciiTheme="minorEastAsia" w:hAnsiTheme="minorEastAsia" w:eastAsiaTheme="minorEastAsia" w:cstheme="minorEastAsia"/>
          <w:color w:val="auto"/>
          <w:spacing w:val="-8"/>
          <w:sz w:val="24"/>
          <w:szCs w:val="24"/>
          <w:lang w:val="en-US"/>
        </w:rPr>
        <w:t>2023年为启动年</w:t>
      </w:r>
      <w:r>
        <w:rPr>
          <w:rFonts w:hint="eastAsia" w:asciiTheme="minorEastAsia" w:hAnsiTheme="minorEastAsia" w:eastAsiaTheme="minorEastAsia" w:cstheme="minorEastAsia"/>
          <w:color w:val="auto"/>
          <w:spacing w:val="-8"/>
          <w:sz w:val="24"/>
          <w:szCs w:val="24"/>
        </w:rPr>
        <w:t>），各年投资比例为</w:t>
      </w:r>
      <w:r>
        <w:rPr>
          <w:rFonts w:hint="eastAsia" w:asciiTheme="minorEastAsia" w:hAnsiTheme="minorEastAsia" w:eastAsiaTheme="minorEastAsia" w:cstheme="minorEastAsia"/>
          <w:color w:val="auto"/>
          <w:spacing w:val="-8"/>
          <w:sz w:val="24"/>
          <w:szCs w:val="24"/>
          <w:lang w:val="en-US"/>
        </w:rPr>
        <w:t>20</w:t>
      </w:r>
      <w:r>
        <w:rPr>
          <w:rFonts w:hint="eastAsia" w:asciiTheme="minorEastAsia" w:hAnsiTheme="minorEastAsia" w:eastAsiaTheme="minorEastAsia" w:cstheme="minorEastAsia"/>
          <w:color w:val="auto"/>
          <w:spacing w:val="-8"/>
          <w:sz w:val="24"/>
          <w:szCs w:val="24"/>
        </w:rPr>
        <w:t>%</w:t>
      </w:r>
      <w:r>
        <w:rPr>
          <w:rFonts w:hint="eastAsia" w:asciiTheme="minorEastAsia" w:hAnsiTheme="minorEastAsia" w:eastAsiaTheme="minorEastAsia" w:cstheme="minorEastAsia"/>
          <w:color w:val="auto"/>
          <w:spacing w:val="-8"/>
          <w:sz w:val="24"/>
          <w:szCs w:val="24"/>
          <w:lang w:val="en-US"/>
        </w:rPr>
        <w:t>、</w:t>
      </w:r>
      <w:r>
        <w:rPr>
          <w:rFonts w:hint="eastAsia" w:asciiTheme="minorEastAsia" w:hAnsiTheme="minorEastAsia" w:eastAsiaTheme="minorEastAsia" w:cstheme="minorEastAsia"/>
          <w:color w:val="auto"/>
          <w:spacing w:val="-8"/>
          <w:sz w:val="24"/>
          <w:szCs w:val="24"/>
        </w:rPr>
        <w:t>30%、</w:t>
      </w:r>
      <w:r>
        <w:rPr>
          <w:rFonts w:hint="eastAsia" w:asciiTheme="minorEastAsia" w:hAnsiTheme="minorEastAsia" w:eastAsiaTheme="minorEastAsia" w:cstheme="minorEastAsia"/>
          <w:color w:val="auto"/>
          <w:spacing w:val="-8"/>
          <w:sz w:val="24"/>
          <w:szCs w:val="24"/>
          <w:lang w:val="en-US"/>
        </w:rPr>
        <w:t>3</w:t>
      </w:r>
      <w:r>
        <w:rPr>
          <w:rFonts w:hint="eastAsia" w:asciiTheme="minorEastAsia" w:hAnsiTheme="minorEastAsia" w:eastAsiaTheme="minorEastAsia" w:cstheme="minorEastAsia"/>
          <w:color w:val="auto"/>
          <w:spacing w:val="-8"/>
          <w:sz w:val="24"/>
          <w:szCs w:val="24"/>
        </w:rPr>
        <w:t>0%和</w:t>
      </w:r>
      <w:r>
        <w:rPr>
          <w:rFonts w:hint="eastAsia" w:asciiTheme="minorEastAsia" w:hAnsiTheme="minorEastAsia" w:eastAsiaTheme="minorEastAsia" w:cstheme="minorEastAsia"/>
          <w:color w:val="auto"/>
          <w:spacing w:val="-8"/>
          <w:sz w:val="24"/>
          <w:szCs w:val="24"/>
          <w:lang w:val="en-US"/>
        </w:rPr>
        <w:t>2</w:t>
      </w:r>
      <w:r>
        <w:rPr>
          <w:rFonts w:hint="eastAsia" w:asciiTheme="minorEastAsia" w:hAnsiTheme="minorEastAsia" w:eastAsiaTheme="minorEastAsia" w:cstheme="minorEastAsia"/>
          <w:color w:val="auto"/>
          <w:spacing w:val="-8"/>
          <w:sz w:val="24"/>
          <w:szCs w:val="24"/>
        </w:rPr>
        <w:t>0%，项目国民经济评价投资具体见下表。</w:t>
      </w:r>
    </w:p>
    <w:p>
      <w:pPr>
        <w:spacing w:line="500" w:lineRule="exact"/>
        <w:ind w:firstLine="422" w:firstLineChars="200"/>
        <w:jc w:val="center"/>
        <w:rPr>
          <w:rFonts w:ascii="Times New Roman" w:hAnsi="Times New Roman" w:eastAsia="宋体" w:cs="Times New Roman"/>
          <w:b/>
          <w:bCs/>
          <w:iCs/>
          <w:color w:val="auto"/>
          <w:sz w:val="21"/>
          <w:szCs w:val="20"/>
        </w:rPr>
      </w:pPr>
      <w:r>
        <w:rPr>
          <w:rFonts w:hint="eastAsia" w:ascii="Times New Roman" w:hAnsi="Times New Roman" w:eastAsia="宋体" w:cs="Times New Roman"/>
          <w:b/>
          <w:bCs/>
          <w:iCs/>
          <w:color w:val="auto"/>
          <w:sz w:val="21"/>
          <w:szCs w:val="20"/>
        </w:rPr>
        <w:t>表1</w:t>
      </w:r>
      <w:r>
        <w:rPr>
          <w:rFonts w:hint="eastAsia" w:ascii="Times New Roman" w:hAnsi="Times New Roman" w:eastAsia="宋体" w:cs="Times New Roman"/>
          <w:b/>
          <w:bCs/>
          <w:iCs/>
          <w:color w:val="auto"/>
          <w:sz w:val="21"/>
          <w:szCs w:val="20"/>
          <w:lang w:val="en-US" w:eastAsia="zh-CN"/>
        </w:rPr>
        <w:t>5</w:t>
      </w:r>
      <w:r>
        <w:rPr>
          <w:rFonts w:hint="eastAsia" w:ascii="Times New Roman" w:hAnsi="Times New Roman" w:eastAsia="宋体" w:cs="Times New Roman"/>
          <w:b/>
          <w:bCs/>
          <w:iCs/>
          <w:color w:val="auto"/>
          <w:sz w:val="21"/>
          <w:szCs w:val="20"/>
        </w:rPr>
        <w:t>.2-1  罗定市农村生活污水治理项目分年度的投资  单位：万元</w:t>
      </w:r>
    </w:p>
    <w:tbl>
      <w:tblPr>
        <w:tblStyle w:val="27"/>
        <w:tblW w:w="4997" w:type="pct"/>
        <w:jc w:val="center"/>
        <w:tblLayout w:type="autofit"/>
        <w:tblCellMar>
          <w:top w:w="0" w:type="dxa"/>
          <w:left w:w="108" w:type="dxa"/>
          <w:bottom w:w="0" w:type="dxa"/>
          <w:right w:w="108" w:type="dxa"/>
        </w:tblCellMar>
      </w:tblPr>
      <w:tblGrid>
        <w:gridCol w:w="1622"/>
        <w:gridCol w:w="1550"/>
        <w:gridCol w:w="1584"/>
        <w:gridCol w:w="1432"/>
        <w:gridCol w:w="1535"/>
        <w:gridCol w:w="1279"/>
      </w:tblGrid>
      <w:tr>
        <w:tblPrEx>
          <w:tblCellMar>
            <w:top w:w="0" w:type="dxa"/>
            <w:left w:w="108" w:type="dxa"/>
            <w:bottom w:w="0" w:type="dxa"/>
            <w:right w:w="108" w:type="dxa"/>
          </w:tblCellMar>
        </w:tblPrEx>
        <w:trPr>
          <w:trHeight w:val="290" w:hRule="atLeast"/>
          <w:jc w:val="center"/>
        </w:trPr>
        <w:tc>
          <w:tcPr>
            <w:tcW w:w="900" w:type="pct"/>
            <w:tcBorders>
              <w:top w:val="single" w:color="auto" w:sz="8" w:space="0"/>
              <w:left w:val="single" w:color="auto" w:sz="8" w:space="0"/>
              <w:bottom w:val="single" w:color="auto" w:sz="8" w:space="0"/>
              <w:right w:val="single" w:color="auto" w:sz="8" w:space="0"/>
            </w:tcBorders>
            <w:shd w:val="clear" w:color="auto" w:fill="auto"/>
            <w:vAlign w:val="center"/>
          </w:tcPr>
          <w:p>
            <w:pPr>
              <w:widowControl/>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年份</w:t>
            </w:r>
          </w:p>
        </w:tc>
        <w:tc>
          <w:tcPr>
            <w:tcW w:w="860" w:type="pct"/>
            <w:tcBorders>
              <w:top w:val="single" w:color="auto" w:sz="8" w:space="0"/>
              <w:left w:val="nil"/>
              <w:bottom w:val="single" w:color="auto" w:sz="8" w:space="0"/>
              <w:right w:val="single" w:color="auto" w:sz="8" w:space="0"/>
            </w:tcBorders>
            <w:shd w:val="clear" w:color="auto" w:fill="auto"/>
            <w:vAlign w:val="center"/>
          </w:tcPr>
          <w:p>
            <w:pPr>
              <w:widowControl/>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第1年</w:t>
            </w:r>
          </w:p>
        </w:tc>
        <w:tc>
          <w:tcPr>
            <w:tcW w:w="879" w:type="pct"/>
            <w:tcBorders>
              <w:top w:val="single" w:color="auto" w:sz="8" w:space="0"/>
              <w:left w:val="nil"/>
              <w:bottom w:val="single" w:color="auto" w:sz="8" w:space="0"/>
              <w:right w:val="single" w:color="auto" w:sz="8" w:space="0"/>
            </w:tcBorders>
            <w:shd w:val="clear" w:color="auto" w:fill="auto"/>
            <w:vAlign w:val="center"/>
          </w:tcPr>
          <w:p>
            <w:pPr>
              <w:widowControl/>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第2年</w:t>
            </w:r>
          </w:p>
        </w:tc>
        <w:tc>
          <w:tcPr>
            <w:tcW w:w="795" w:type="pct"/>
            <w:tcBorders>
              <w:top w:val="single" w:color="auto" w:sz="8" w:space="0"/>
              <w:left w:val="nil"/>
              <w:bottom w:val="single" w:color="auto" w:sz="8" w:space="0"/>
              <w:right w:val="single" w:color="auto" w:sz="8" w:space="0"/>
            </w:tcBorders>
            <w:shd w:val="clear" w:color="auto" w:fill="auto"/>
            <w:vAlign w:val="center"/>
          </w:tcPr>
          <w:p>
            <w:pPr>
              <w:widowControl/>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第3年</w:t>
            </w:r>
          </w:p>
        </w:tc>
        <w:tc>
          <w:tcPr>
            <w:tcW w:w="852" w:type="pct"/>
            <w:tcBorders>
              <w:top w:val="single" w:color="auto" w:sz="8" w:space="0"/>
              <w:left w:val="nil"/>
              <w:bottom w:val="single" w:color="auto" w:sz="8" w:space="0"/>
              <w:right w:val="single" w:color="auto" w:sz="8" w:space="0"/>
            </w:tcBorders>
            <w:shd w:val="clear" w:color="auto" w:fill="auto"/>
            <w:vAlign w:val="center"/>
          </w:tcPr>
          <w:p>
            <w:pPr>
              <w:widowControl/>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val="en-US"/>
              </w:rPr>
              <w:t>第4年</w:t>
            </w:r>
          </w:p>
        </w:tc>
        <w:tc>
          <w:tcPr>
            <w:tcW w:w="710" w:type="pct"/>
            <w:tcBorders>
              <w:top w:val="single" w:color="auto" w:sz="8" w:space="0"/>
              <w:left w:val="nil"/>
              <w:bottom w:val="single" w:color="auto" w:sz="8" w:space="0"/>
              <w:right w:val="single" w:color="auto" w:sz="8" w:space="0"/>
            </w:tcBorders>
            <w:shd w:val="clear" w:color="auto" w:fill="auto"/>
            <w:vAlign w:val="center"/>
          </w:tcPr>
          <w:p>
            <w:pPr>
              <w:widowControl/>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合计</w:t>
            </w:r>
          </w:p>
        </w:tc>
      </w:tr>
      <w:tr>
        <w:tblPrEx>
          <w:tblCellMar>
            <w:top w:w="0" w:type="dxa"/>
            <w:left w:w="108" w:type="dxa"/>
            <w:bottom w:w="0" w:type="dxa"/>
            <w:right w:w="108" w:type="dxa"/>
          </w:tblCellMar>
        </w:tblPrEx>
        <w:trPr>
          <w:trHeight w:val="290" w:hRule="atLeast"/>
          <w:jc w:val="center"/>
        </w:trPr>
        <w:tc>
          <w:tcPr>
            <w:tcW w:w="900" w:type="pct"/>
            <w:tcBorders>
              <w:top w:val="nil"/>
              <w:left w:val="single" w:color="auto" w:sz="8" w:space="0"/>
              <w:bottom w:val="single" w:color="auto" w:sz="8" w:space="0"/>
              <w:right w:val="single" w:color="auto" w:sz="8" w:space="0"/>
            </w:tcBorders>
            <w:shd w:val="clear" w:color="auto" w:fill="auto"/>
            <w:vAlign w:val="center"/>
          </w:tcPr>
          <w:p>
            <w:pPr>
              <w:widowControl/>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比例（%）</w:t>
            </w:r>
          </w:p>
        </w:tc>
        <w:tc>
          <w:tcPr>
            <w:tcW w:w="860" w:type="pct"/>
            <w:tcBorders>
              <w:top w:val="nil"/>
              <w:left w:val="nil"/>
              <w:bottom w:val="single" w:color="auto" w:sz="8" w:space="0"/>
              <w:right w:val="single" w:color="auto" w:sz="8" w:space="0"/>
            </w:tcBorders>
            <w:shd w:val="clear" w:color="auto" w:fill="auto"/>
            <w:vAlign w:val="center"/>
          </w:tcPr>
          <w:p>
            <w:pPr>
              <w:widowControl/>
              <w:spacing w:line="500" w:lineRule="exact"/>
              <w:jc w:val="center"/>
              <w:textAlignment w:val="bottom"/>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bidi="ar"/>
              </w:rPr>
              <w:t>20</w:t>
            </w:r>
          </w:p>
        </w:tc>
        <w:tc>
          <w:tcPr>
            <w:tcW w:w="879" w:type="pct"/>
            <w:tcBorders>
              <w:top w:val="nil"/>
              <w:left w:val="nil"/>
              <w:bottom w:val="single" w:color="auto" w:sz="8" w:space="0"/>
              <w:right w:val="single" w:color="auto" w:sz="8" w:space="0"/>
            </w:tcBorders>
            <w:shd w:val="clear" w:color="auto" w:fill="auto"/>
            <w:vAlign w:val="center"/>
          </w:tcPr>
          <w:p>
            <w:pPr>
              <w:widowControl/>
              <w:spacing w:line="500" w:lineRule="exact"/>
              <w:jc w:val="center"/>
              <w:textAlignment w:val="bottom"/>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bidi="ar"/>
              </w:rPr>
              <w:t>30</w:t>
            </w:r>
          </w:p>
        </w:tc>
        <w:tc>
          <w:tcPr>
            <w:tcW w:w="795" w:type="pct"/>
            <w:tcBorders>
              <w:top w:val="nil"/>
              <w:left w:val="nil"/>
              <w:bottom w:val="single" w:color="auto" w:sz="8" w:space="0"/>
              <w:right w:val="single" w:color="auto" w:sz="8" w:space="0"/>
            </w:tcBorders>
            <w:shd w:val="clear" w:color="auto" w:fill="auto"/>
            <w:vAlign w:val="center"/>
          </w:tcPr>
          <w:p>
            <w:pPr>
              <w:widowControl/>
              <w:spacing w:line="500" w:lineRule="exact"/>
              <w:jc w:val="center"/>
              <w:textAlignment w:val="bottom"/>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bidi="ar"/>
              </w:rPr>
              <w:t>30</w:t>
            </w:r>
          </w:p>
        </w:tc>
        <w:tc>
          <w:tcPr>
            <w:tcW w:w="852" w:type="pct"/>
            <w:tcBorders>
              <w:top w:val="nil"/>
              <w:left w:val="nil"/>
              <w:bottom w:val="single" w:color="auto" w:sz="8" w:space="0"/>
              <w:right w:val="single" w:color="auto" w:sz="8" w:space="0"/>
            </w:tcBorders>
            <w:shd w:val="clear" w:color="auto" w:fill="auto"/>
            <w:vAlign w:val="center"/>
          </w:tcPr>
          <w:p>
            <w:pPr>
              <w:widowControl/>
              <w:spacing w:line="500" w:lineRule="exact"/>
              <w:jc w:val="center"/>
              <w:textAlignment w:val="bottom"/>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bidi="ar"/>
              </w:rPr>
              <w:t>20</w:t>
            </w:r>
          </w:p>
        </w:tc>
        <w:tc>
          <w:tcPr>
            <w:tcW w:w="710" w:type="pct"/>
            <w:tcBorders>
              <w:top w:val="nil"/>
              <w:left w:val="nil"/>
              <w:bottom w:val="single" w:color="auto" w:sz="8" w:space="0"/>
              <w:right w:val="single" w:color="auto" w:sz="8" w:space="0"/>
            </w:tcBorders>
            <w:shd w:val="clear" w:color="auto" w:fill="auto"/>
            <w:vAlign w:val="center"/>
          </w:tcPr>
          <w:p>
            <w:pPr>
              <w:widowControl/>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100</w:t>
            </w:r>
          </w:p>
        </w:tc>
      </w:tr>
      <w:tr>
        <w:tblPrEx>
          <w:tblCellMar>
            <w:top w:w="0" w:type="dxa"/>
            <w:left w:w="108" w:type="dxa"/>
            <w:bottom w:w="0" w:type="dxa"/>
            <w:right w:w="108" w:type="dxa"/>
          </w:tblCellMar>
        </w:tblPrEx>
        <w:trPr>
          <w:trHeight w:val="290" w:hRule="atLeast"/>
          <w:jc w:val="center"/>
        </w:trPr>
        <w:tc>
          <w:tcPr>
            <w:tcW w:w="900" w:type="pct"/>
            <w:tcBorders>
              <w:top w:val="nil"/>
              <w:left w:val="single" w:color="auto" w:sz="8" w:space="0"/>
              <w:bottom w:val="single" w:color="auto" w:sz="8" w:space="0"/>
              <w:right w:val="single" w:color="auto" w:sz="8" w:space="0"/>
            </w:tcBorders>
            <w:shd w:val="clear" w:color="auto" w:fill="auto"/>
            <w:vAlign w:val="center"/>
          </w:tcPr>
          <w:p>
            <w:pPr>
              <w:widowControl/>
              <w:spacing w:line="500" w:lineRule="exact"/>
              <w:jc w:val="both"/>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投资（万元）</w:t>
            </w:r>
          </w:p>
        </w:tc>
        <w:tc>
          <w:tcPr>
            <w:tcW w:w="860" w:type="pct"/>
            <w:tcBorders>
              <w:top w:val="nil"/>
              <w:left w:val="nil"/>
              <w:bottom w:val="single" w:color="auto" w:sz="8" w:space="0"/>
              <w:right w:val="single" w:color="auto" w:sz="8" w:space="0"/>
            </w:tcBorders>
            <w:shd w:val="clear" w:color="auto" w:fill="auto"/>
            <w:vAlign w:val="center"/>
          </w:tcPr>
          <w:p>
            <w:pPr>
              <w:widowControl/>
              <w:spacing w:line="500" w:lineRule="exact"/>
              <w:jc w:val="center"/>
              <w:textAlignment w:val="bottom"/>
              <w:rPr>
                <w:rFonts w:hint="default" w:asciiTheme="minorEastAsia" w:hAnsiTheme="minorEastAsia" w:eastAsiaTheme="minorEastAsia" w:cstheme="minorEastAsia"/>
                <w:color w:val="auto"/>
                <w:sz w:val="21"/>
                <w:szCs w:val="21"/>
                <w:lang w:val="en-US" w:eastAsia="zh-CN" w:bidi="ar"/>
              </w:rPr>
            </w:pPr>
            <w:r>
              <w:rPr>
                <w:rFonts w:hint="eastAsia" w:asciiTheme="minorEastAsia" w:hAnsiTheme="minorEastAsia" w:eastAsiaTheme="minorEastAsia" w:cstheme="minorEastAsia"/>
                <w:color w:val="auto"/>
                <w:sz w:val="21"/>
                <w:szCs w:val="21"/>
                <w:lang w:val="en-US" w:eastAsia="zh-CN" w:bidi="ar"/>
              </w:rPr>
              <w:t>16080</w:t>
            </w:r>
          </w:p>
        </w:tc>
        <w:tc>
          <w:tcPr>
            <w:tcW w:w="879" w:type="pct"/>
            <w:tcBorders>
              <w:top w:val="nil"/>
              <w:left w:val="nil"/>
              <w:bottom w:val="single" w:color="auto" w:sz="8" w:space="0"/>
              <w:right w:val="single" w:color="auto" w:sz="8" w:space="0"/>
            </w:tcBorders>
            <w:shd w:val="clear" w:color="auto" w:fill="auto"/>
            <w:vAlign w:val="center"/>
          </w:tcPr>
          <w:p>
            <w:pPr>
              <w:widowControl/>
              <w:spacing w:line="500" w:lineRule="exact"/>
              <w:jc w:val="center"/>
              <w:textAlignment w:val="bottom"/>
              <w:rPr>
                <w:rFonts w:hint="default" w:asciiTheme="minorEastAsia" w:hAnsiTheme="minorEastAsia" w:eastAsiaTheme="minorEastAsia" w:cstheme="minorEastAsia"/>
                <w:color w:val="auto"/>
                <w:sz w:val="21"/>
                <w:szCs w:val="21"/>
                <w:lang w:val="en-US" w:eastAsia="zh-CN" w:bidi="ar"/>
              </w:rPr>
            </w:pPr>
            <w:r>
              <w:rPr>
                <w:rFonts w:hint="eastAsia" w:asciiTheme="minorEastAsia" w:hAnsiTheme="minorEastAsia" w:eastAsiaTheme="minorEastAsia" w:cstheme="minorEastAsia"/>
                <w:color w:val="auto"/>
                <w:sz w:val="21"/>
                <w:szCs w:val="21"/>
                <w:lang w:val="en-US" w:eastAsia="zh-CN" w:bidi="ar"/>
              </w:rPr>
              <w:t>24121</w:t>
            </w:r>
          </w:p>
        </w:tc>
        <w:tc>
          <w:tcPr>
            <w:tcW w:w="795" w:type="pct"/>
            <w:tcBorders>
              <w:top w:val="nil"/>
              <w:left w:val="nil"/>
              <w:bottom w:val="single" w:color="auto" w:sz="8" w:space="0"/>
              <w:right w:val="single" w:color="auto" w:sz="8" w:space="0"/>
            </w:tcBorders>
            <w:shd w:val="clear" w:color="auto" w:fill="auto"/>
            <w:vAlign w:val="center"/>
          </w:tcPr>
          <w:p>
            <w:pPr>
              <w:widowControl/>
              <w:spacing w:line="500" w:lineRule="exact"/>
              <w:jc w:val="center"/>
              <w:textAlignment w:val="bottom"/>
              <w:rPr>
                <w:rFonts w:hint="default" w:asciiTheme="minorEastAsia" w:hAnsiTheme="minorEastAsia" w:eastAsiaTheme="minorEastAsia" w:cstheme="minorEastAsia"/>
                <w:color w:val="auto"/>
                <w:sz w:val="21"/>
                <w:szCs w:val="21"/>
                <w:lang w:val="en-US" w:eastAsia="zh-CN" w:bidi="ar"/>
              </w:rPr>
            </w:pPr>
            <w:r>
              <w:rPr>
                <w:rFonts w:hint="eastAsia" w:asciiTheme="minorEastAsia" w:hAnsiTheme="minorEastAsia" w:eastAsiaTheme="minorEastAsia" w:cstheme="minorEastAsia"/>
                <w:color w:val="auto"/>
                <w:sz w:val="21"/>
                <w:szCs w:val="21"/>
                <w:lang w:val="en-US" w:eastAsia="zh-CN" w:bidi="ar"/>
              </w:rPr>
              <w:t>24121</w:t>
            </w:r>
          </w:p>
        </w:tc>
        <w:tc>
          <w:tcPr>
            <w:tcW w:w="852" w:type="pct"/>
            <w:tcBorders>
              <w:top w:val="nil"/>
              <w:left w:val="nil"/>
              <w:bottom w:val="single" w:color="auto" w:sz="8" w:space="0"/>
              <w:right w:val="single" w:color="auto" w:sz="8" w:space="0"/>
            </w:tcBorders>
            <w:shd w:val="clear" w:color="auto" w:fill="auto"/>
            <w:vAlign w:val="center"/>
          </w:tcPr>
          <w:p>
            <w:pPr>
              <w:widowControl/>
              <w:spacing w:line="500" w:lineRule="exact"/>
              <w:jc w:val="center"/>
              <w:textAlignment w:val="bottom"/>
              <w:rPr>
                <w:rFonts w:hint="default" w:asciiTheme="minorEastAsia" w:hAnsiTheme="minorEastAsia" w:eastAsiaTheme="minorEastAsia" w:cstheme="minorEastAsia"/>
                <w:color w:val="auto"/>
                <w:sz w:val="21"/>
                <w:szCs w:val="21"/>
                <w:lang w:val="en-US" w:eastAsia="zh-CN" w:bidi="ar"/>
              </w:rPr>
            </w:pPr>
            <w:r>
              <w:rPr>
                <w:rFonts w:hint="eastAsia" w:asciiTheme="minorEastAsia" w:hAnsiTheme="minorEastAsia" w:eastAsiaTheme="minorEastAsia" w:cstheme="minorEastAsia"/>
                <w:color w:val="auto"/>
                <w:sz w:val="21"/>
                <w:szCs w:val="21"/>
                <w:lang w:val="en-US" w:eastAsia="zh-CN" w:bidi="ar"/>
              </w:rPr>
              <w:t>16080</w:t>
            </w:r>
          </w:p>
        </w:tc>
        <w:tc>
          <w:tcPr>
            <w:tcW w:w="710" w:type="pct"/>
            <w:tcBorders>
              <w:top w:val="nil"/>
              <w:left w:val="nil"/>
              <w:bottom w:val="single" w:color="auto" w:sz="8" w:space="0"/>
              <w:right w:val="single" w:color="auto" w:sz="8" w:space="0"/>
            </w:tcBorders>
            <w:shd w:val="clear" w:color="auto" w:fill="auto"/>
            <w:vAlign w:val="center"/>
          </w:tcPr>
          <w:p>
            <w:pPr>
              <w:widowControl/>
              <w:spacing w:line="500" w:lineRule="exact"/>
              <w:jc w:val="center"/>
              <w:textAlignment w:val="bottom"/>
              <w:rPr>
                <w:rFonts w:hint="default" w:asciiTheme="minorEastAsia" w:hAnsiTheme="minorEastAsia" w:eastAsiaTheme="minorEastAsia" w:cstheme="minorEastAsia"/>
                <w:color w:val="auto"/>
                <w:sz w:val="21"/>
                <w:szCs w:val="21"/>
                <w:lang w:val="en-US" w:eastAsia="zh-CN" w:bidi="ar"/>
              </w:rPr>
            </w:pPr>
            <w:r>
              <w:rPr>
                <w:rFonts w:hint="eastAsia" w:asciiTheme="minorEastAsia" w:hAnsiTheme="minorEastAsia" w:eastAsiaTheme="minorEastAsia" w:cstheme="minorEastAsia"/>
                <w:color w:val="auto"/>
                <w:sz w:val="21"/>
                <w:szCs w:val="21"/>
                <w:lang w:val="en-US" w:eastAsia="zh-CN" w:bidi="ar"/>
              </w:rPr>
              <w:t>80402.21</w:t>
            </w:r>
          </w:p>
        </w:tc>
      </w:tr>
    </w:tbl>
    <w:p>
      <w:pPr>
        <w:pStyle w:val="32"/>
        <w:numPr>
          <w:ilvl w:val="2"/>
          <w:numId w:val="0"/>
        </w:numPr>
        <w:tabs>
          <w:tab w:val="left" w:pos="1460"/>
        </w:tabs>
        <w:spacing w:line="500" w:lineRule="exact"/>
        <w:ind w:left="547" w:leftChars="0"/>
        <w:jc w:val="both"/>
        <w:rPr>
          <w:rFonts w:asciiTheme="minorEastAsia" w:hAnsiTheme="minorEastAsia" w:eastAsiaTheme="minorEastAsia" w:cstheme="minorEastAsia"/>
          <w:b/>
          <w:bCs/>
          <w:color w:val="auto"/>
          <w:spacing w:val="-11"/>
          <w:sz w:val="24"/>
          <w:szCs w:val="24"/>
        </w:rPr>
      </w:pPr>
      <w:r>
        <w:rPr>
          <w:rFonts w:hint="eastAsia" w:asciiTheme="minorEastAsia" w:hAnsiTheme="minorEastAsia" w:eastAsiaTheme="minorEastAsia" w:cstheme="minorEastAsia"/>
          <w:b/>
          <w:bCs/>
          <w:color w:val="auto"/>
          <w:spacing w:val="-11"/>
          <w:sz w:val="24"/>
          <w:szCs w:val="24"/>
          <w:lang w:val="en-US" w:eastAsia="zh-CN"/>
        </w:rPr>
        <w:t>15.2.2</w:t>
      </w:r>
      <w:r>
        <w:rPr>
          <w:rFonts w:hint="eastAsia" w:asciiTheme="minorEastAsia" w:hAnsiTheme="minorEastAsia" w:eastAsiaTheme="minorEastAsia" w:cstheme="minorEastAsia"/>
          <w:b/>
          <w:bCs/>
          <w:color w:val="auto"/>
          <w:spacing w:val="-11"/>
          <w:sz w:val="24"/>
          <w:szCs w:val="24"/>
        </w:rPr>
        <w:t>年运行费</w:t>
      </w:r>
    </w:p>
    <w:p>
      <w:pPr>
        <w:pStyle w:val="10"/>
        <w:spacing w:line="500" w:lineRule="exact"/>
        <w:ind w:firstLine="448" w:firstLineChars="200"/>
        <w:jc w:val="both"/>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rPr>
        <w:t>参考水利部水财〔1995〕281号文件，农村污水处理设施的运行费一般包括燃料动力费、人工费、修理费、污泥处置费、管理及其他费用。根据项目财务分析，项目建成后年营运成本如下表所示，以后年份按3%递增。</w:t>
      </w:r>
    </w:p>
    <w:p>
      <w:pPr>
        <w:spacing w:line="500" w:lineRule="exact"/>
        <w:ind w:firstLine="422" w:firstLineChars="200"/>
        <w:jc w:val="center"/>
        <w:rPr>
          <w:rFonts w:ascii="Times New Roman" w:hAnsi="Times New Roman" w:eastAsia="宋体" w:cs="Times New Roman"/>
          <w:b/>
          <w:bCs/>
          <w:iCs/>
          <w:color w:val="auto"/>
          <w:sz w:val="21"/>
          <w:szCs w:val="20"/>
          <w:lang w:val="en-US"/>
        </w:rPr>
      </w:pPr>
      <w:r>
        <w:rPr>
          <w:rFonts w:hint="eastAsia" w:ascii="Times New Roman" w:hAnsi="Times New Roman" w:eastAsia="宋体" w:cs="Times New Roman"/>
          <w:b/>
          <w:bCs/>
          <w:iCs/>
          <w:color w:val="auto"/>
          <w:sz w:val="21"/>
          <w:szCs w:val="20"/>
        </w:rPr>
        <w:t>表1</w:t>
      </w:r>
      <w:r>
        <w:rPr>
          <w:rFonts w:hint="eastAsia" w:ascii="Times New Roman" w:hAnsi="Times New Roman" w:eastAsia="宋体" w:cs="Times New Roman"/>
          <w:b/>
          <w:bCs/>
          <w:iCs/>
          <w:color w:val="auto"/>
          <w:sz w:val="21"/>
          <w:szCs w:val="20"/>
          <w:lang w:val="en-US" w:eastAsia="zh-CN"/>
        </w:rPr>
        <w:t>5</w:t>
      </w:r>
      <w:r>
        <w:rPr>
          <w:rFonts w:hint="eastAsia" w:ascii="Times New Roman" w:hAnsi="Times New Roman" w:eastAsia="宋体" w:cs="Times New Roman"/>
          <w:b/>
          <w:bCs/>
          <w:iCs/>
          <w:color w:val="auto"/>
          <w:sz w:val="21"/>
          <w:szCs w:val="20"/>
        </w:rPr>
        <w:t>.2-2 罗定市农村生活污水治理设施历年运营维护成本表</w:t>
      </w:r>
    </w:p>
    <w:tbl>
      <w:tblPr>
        <w:tblStyle w:val="27"/>
        <w:tblW w:w="8523" w:type="dxa"/>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0" w:type="dxa"/>
          <w:bottom w:w="0" w:type="dxa"/>
          <w:right w:w="0" w:type="dxa"/>
        </w:tblCellMar>
      </w:tblPr>
      <w:tblGrid>
        <w:gridCol w:w="816"/>
        <w:gridCol w:w="2269"/>
        <w:gridCol w:w="2560"/>
        <w:gridCol w:w="2878"/>
      </w:tblGrid>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PrEx>
        <w:trPr>
          <w:trHeight w:val="978" w:hRule="atLeast"/>
          <w:jc w:val="center"/>
        </w:trPr>
        <w:tc>
          <w:tcPr>
            <w:tcW w:w="816" w:type="dxa"/>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序号</w:t>
            </w:r>
          </w:p>
        </w:tc>
        <w:tc>
          <w:tcPr>
            <w:tcW w:w="2269" w:type="dxa"/>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项目</w:t>
            </w:r>
          </w:p>
        </w:tc>
        <w:tc>
          <w:tcPr>
            <w:tcW w:w="2560" w:type="dxa"/>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费用</w:t>
            </w:r>
          </w:p>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（万元/年）</w:t>
            </w:r>
          </w:p>
        </w:tc>
        <w:tc>
          <w:tcPr>
            <w:tcW w:w="2878" w:type="dxa"/>
            <w:vAlign w:val="center"/>
          </w:tcPr>
          <w:p>
            <w:pPr>
              <w:pStyle w:val="33"/>
              <w:spacing w:line="500" w:lineRule="exact"/>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备注</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489" w:hRule="atLeast"/>
          <w:jc w:val="center"/>
        </w:trPr>
        <w:tc>
          <w:tcPr>
            <w:tcW w:w="816" w:type="dxa"/>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w:t>
            </w:r>
          </w:p>
        </w:tc>
        <w:tc>
          <w:tcPr>
            <w:tcW w:w="2269" w:type="dxa"/>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电费</w:t>
            </w:r>
          </w:p>
        </w:tc>
        <w:tc>
          <w:tcPr>
            <w:tcW w:w="2560" w:type="dxa"/>
            <w:vAlign w:val="center"/>
          </w:tcPr>
          <w:p>
            <w:pPr>
              <w:pStyle w:val="33"/>
              <w:spacing w:line="500" w:lineRule="exact"/>
              <w:jc w:val="center"/>
              <w:rPr>
                <w:rFonts w:asciiTheme="minorEastAsia" w:hAnsiTheme="minorEastAsia" w:eastAsiaTheme="minorEastAsia" w:cstheme="minorEastAsia"/>
                <w:color w:val="auto"/>
                <w:sz w:val="21"/>
                <w:szCs w:val="21"/>
              </w:rPr>
            </w:pPr>
            <w:r>
              <w:rPr>
                <w:rFonts w:asciiTheme="minorEastAsia" w:hAnsiTheme="minorEastAsia" w:eastAsiaTheme="minorEastAsia" w:cstheme="minorEastAsia"/>
                <w:color w:val="auto"/>
                <w:sz w:val="21"/>
                <w:szCs w:val="21"/>
                <w:lang w:val="en-US"/>
              </w:rPr>
              <w:t>128.16</w:t>
            </w:r>
          </w:p>
        </w:tc>
        <w:tc>
          <w:tcPr>
            <w:tcW w:w="2878" w:type="dxa"/>
            <w:vAlign w:val="center"/>
          </w:tcPr>
          <w:p>
            <w:pPr>
              <w:pStyle w:val="33"/>
              <w:spacing w:line="500" w:lineRule="exact"/>
              <w:jc w:val="center"/>
              <w:rPr>
                <w:rFonts w:asciiTheme="minorEastAsia" w:hAnsiTheme="minorEastAsia" w:eastAsiaTheme="minorEastAsia" w:cstheme="minor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489" w:hRule="atLeast"/>
          <w:jc w:val="center"/>
        </w:trPr>
        <w:tc>
          <w:tcPr>
            <w:tcW w:w="816" w:type="dxa"/>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w:t>
            </w:r>
          </w:p>
        </w:tc>
        <w:tc>
          <w:tcPr>
            <w:tcW w:w="2269" w:type="dxa"/>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工资及福利</w:t>
            </w:r>
          </w:p>
        </w:tc>
        <w:tc>
          <w:tcPr>
            <w:tcW w:w="2560" w:type="dxa"/>
            <w:vAlign w:val="center"/>
          </w:tcPr>
          <w:p>
            <w:pPr>
              <w:pStyle w:val="33"/>
              <w:spacing w:line="500" w:lineRule="exact"/>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120.00</w:t>
            </w:r>
          </w:p>
        </w:tc>
        <w:tc>
          <w:tcPr>
            <w:tcW w:w="2878" w:type="dxa"/>
            <w:vAlign w:val="center"/>
          </w:tcPr>
          <w:p>
            <w:pPr>
              <w:pStyle w:val="33"/>
              <w:spacing w:line="500" w:lineRule="exact"/>
              <w:jc w:val="center"/>
              <w:rPr>
                <w:rFonts w:asciiTheme="minorEastAsia" w:hAnsiTheme="minorEastAsia" w:eastAsiaTheme="minorEastAsia" w:cstheme="minor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489" w:hRule="atLeast"/>
          <w:jc w:val="center"/>
        </w:trPr>
        <w:tc>
          <w:tcPr>
            <w:tcW w:w="816" w:type="dxa"/>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3</w:t>
            </w:r>
          </w:p>
        </w:tc>
        <w:tc>
          <w:tcPr>
            <w:tcW w:w="2269" w:type="dxa"/>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水费</w:t>
            </w:r>
          </w:p>
        </w:tc>
        <w:tc>
          <w:tcPr>
            <w:tcW w:w="2560" w:type="dxa"/>
            <w:vAlign w:val="center"/>
          </w:tcPr>
          <w:p>
            <w:pPr>
              <w:pStyle w:val="33"/>
              <w:spacing w:line="500" w:lineRule="exact"/>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5.49</w:t>
            </w:r>
          </w:p>
        </w:tc>
        <w:tc>
          <w:tcPr>
            <w:tcW w:w="2878" w:type="dxa"/>
            <w:vAlign w:val="center"/>
          </w:tcPr>
          <w:p>
            <w:pPr>
              <w:pStyle w:val="33"/>
              <w:spacing w:line="500" w:lineRule="exact"/>
              <w:jc w:val="center"/>
              <w:rPr>
                <w:rFonts w:asciiTheme="minorEastAsia" w:hAnsiTheme="minorEastAsia" w:eastAsiaTheme="minorEastAsia" w:cstheme="minor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488" w:hRule="atLeast"/>
          <w:jc w:val="center"/>
        </w:trPr>
        <w:tc>
          <w:tcPr>
            <w:tcW w:w="816" w:type="dxa"/>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4</w:t>
            </w:r>
          </w:p>
        </w:tc>
        <w:tc>
          <w:tcPr>
            <w:tcW w:w="2269" w:type="dxa"/>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药剂费</w:t>
            </w:r>
          </w:p>
        </w:tc>
        <w:tc>
          <w:tcPr>
            <w:tcW w:w="2560" w:type="dxa"/>
            <w:vAlign w:val="center"/>
          </w:tcPr>
          <w:p>
            <w:pPr>
              <w:pStyle w:val="33"/>
              <w:spacing w:line="500" w:lineRule="exact"/>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26.55</w:t>
            </w:r>
          </w:p>
        </w:tc>
        <w:tc>
          <w:tcPr>
            <w:tcW w:w="2878" w:type="dxa"/>
            <w:vAlign w:val="center"/>
          </w:tcPr>
          <w:p>
            <w:pPr>
              <w:pStyle w:val="33"/>
              <w:spacing w:line="500" w:lineRule="exact"/>
              <w:jc w:val="center"/>
              <w:rPr>
                <w:rFonts w:asciiTheme="minorEastAsia" w:hAnsiTheme="minorEastAsia" w:eastAsiaTheme="minorEastAsia" w:cstheme="minor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489" w:hRule="atLeast"/>
          <w:jc w:val="center"/>
        </w:trPr>
        <w:tc>
          <w:tcPr>
            <w:tcW w:w="816" w:type="dxa"/>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5</w:t>
            </w:r>
          </w:p>
        </w:tc>
        <w:tc>
          <w:tcPr>
            <w:tcW w:w="2269" w:type="dxa"/>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污泥处理处置费</w:t>
            </w:r>
          </w:p>
        </w:tc>
        <w:tc>
          <w:tcPr>
            <w:tcW w:w="2560" w:type="dxa"/>
            <w:vAlign w:val="center"/>
          </w:tcPr>
          <w:p>
            <w:pPr>
              <w:pStyle w:val="33"/>
              <w:spacing w:line="500" w:lineRule="exact"/>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73.00</w:t>
            </w:r>
          </w:p>
        </w:tc>
        <w:tc>
          <w:tcPr>
            <w:tcW w:w="2878" w:type="dxa"/>
            <w:vAlign w:val="center"/>
          </w:tcPr>
          <w:p>
            <w:pPr>
              <w:pStyle w:val="33"/>
              <w:spacing w:line="500" w:lineRule="exact"/>
              <w:jc w:val="center"/>
              <w:rPr>
                <w:rFonts w:asciiTheme="minorEastAsia" w:hAnsiTheme="minorEastAsia" w:eastAsiaTheme="minorEastAsia" w:cstheme="minor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489" w:hRule="atLeast"/>
          <w:jc w:val="center"/>
        </w:trPr>
        <w:tc>
          <w:tcPr>
            <w:tcW w:w="816" w:type="dxa"/>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6</w:t>
            </w:r>
          </w:p>
        </w:tc>
        <w:tc>
          <w:tcPr>
            <w:tcW w:w="2269" w:type="dxa"/>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年修理费</w:t>
            </w:r>
          </w:p>
        </w:tc>
        <w:tc>
          <w:tcPr>
            <w:tcW w:w="2560" w:type="dxa"/>
            <w:vAlign w:val="center"/>
          </w:tcPr>
          <w:p>
            <w:pPr>
              <w:pStyle w:val="33"/>
              <w:spacing w:line="500" w:lineRule="exact"/>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15.12</w:t>
            </w:r>
          </w:p>
        </w:tc>
        <w:tc>
          <w:tcPr>
            <w:tcW w:w="2878" w:type="dxa"/>
            <w:vAlign w:val="center"/>
          </w:tcPr>
          <w:p>
            <w:pPr>
              <w:pStyle w:val="33"/>
              <w:spacing w:line="500" w:lineRule="exact"/>
              <w:jc w:val="center"/>
              <w:rPr>
                <w:rFonts w:asciiTheme="minorEastAsia" w:hAnsiTheme="minorEastAsia" w:eastAsiaTheme="minorEastAsia" w:cstheme="minor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489" w:hRule="atLeast"/>
          <w:jc w:val="center"/>
        </w:trPr>
        <w:tc>
          <w:tcPr>
            <w:tcW w:w="816" w:type="dxa"/>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7</w:t>
            </w:r>
          </w:p>
        </w:tc>
        <w:tc>
          <w:tcPr>
            <w:tcW w:w="2269" w:type="dxa"/>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管理及其他费用</w:t>
            </w:r>
          </w:p>
        </w:tc>
        <w:tc>
          <w:tcPr>
            <w:tcW w:w="2560" w:type="dxa"/>
            <w:vAlign w:val="center"/>
          </w:tcPr>
          <w:p>
            <w:pPr>
              <w:pStyle w:val="33"/>
              <w:spacing w:line="500" w:lineRule="exact"/>
              <w:jc w:val="center"/>
              <w:rPr>
                <w:rFonts w:asciiTheme="minorEastAsia" w:hAnsiTheme="minorEastAsia" w:eastAsiaTheme="minorEastAsia" w:cstheme="minorEastAsia"/>
                <w:color w:val="auto"/>
                <w:sz w:val="21"/>
                <w:szCs w:val="21"/>
                <w:lang w:val="en-US"/>
              </w:rPr>
            </w:pPr>
            <w:r>
              <w:rPr>
                <w:rFonts w:hint="eastAsia" w:asciiTheme="minorEastAsia" w:hAnsiTheme="minorEastAsia" w:eastAsiaTheme="minorEastAsia" w:cstheme="minorEastAsia"/>
                <w:color w:val="auto"/>
                <w:sz w:val="21"/>
                <w:szCs w:val="21"/>
                <w:lang w:val="en-US"/>
              </w:rPr>
              <w:t>97.93</w:t>
            </w:r>
          </w:p>
        </w:tc>
        <w:tc>
          <w:tcPr>
            <w:tcW w:w="2878" w:type="dxa"/>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按（1）~（6）的 8%计算</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489" w:hRule="atLeast"/>
          <w:jc w:val="center"/>
        </w:trPr>
        <w:tc>
          <w:tcPr>
            <w:tcW w:w="816" w:type="dxa"/>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8</w:t>
            </w:r>
          </w:p>
        </w:tc>
        <w:tc>
          <w:tcPr>
            <w:tcW w:w="2269" w:type="dxa"/>
            <w:vAlign w:val="center"/>
          </w:tcPr>
          <w:p>
            <w:pPr>
              <w:pStyle w:val="33"/>
              <w:spacing w:line="500" w:lineRule="exac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合计</w:t>
            </w:r>
          </w:p>
        </w:tc>
        <w:tc>
          <w:tcPr>
            <w:tcW w:w="2560" w:type="dxa"/>
            <w:vAlign w:val="center"/>
          </w:tcPr>
          <w:p>
            <w:pPr>
              <w:pStyle w:val="33"/>
              <w:spacing w:line="500" w:lineRule="exact"/>
              <w:jc w:val="center"/>
              <w:rPr>
                <w:rFonts w:asciiTheme="minorEastAsia" w:hAnsiTheme="minorEastAsia" w:eastAsiaTheme="minorEastAsia" w:cstheme="minorEastAsia"/>
                <w:color w:val="auto"/>
                <w:sz w:val="21"/>
                <w:szCs w:val="21"/>
                <w:lang w:val="en-US"/>
              </w:rPr>
            </w:pPr>
            <w:r>
              <w:rPr>
                <w:rFonts w:asciiTheme="minorEastAsia" w:hAnsiTheme="minorEastAsia" w:eastAsiaTheme="minorEastAsia" w:cstheme="minorEastAsia"/>
                <w:color w:val="auto"/>
                <w:sz w:val="21"/>
                <w:szCs w:val="21"/>
                <w:lang w:val="en-US"/>
              </w:rPr>
              <w:t>466.25</w:t>
            </w:r>
          </w:p>
        </w:tc>
        <w:tc>
          <w:tcPr>
            <w:tcW w:w="2878" w:type="dxa"/>
            <w:vAlign w:val="center"/>
          </w:tcPr>
          <w:p>
            <w:pPr>
              <w:pStyle w:val="33"/>
              <w:spacing w:line="500" w:lineRule="exact"/>
              <w:jc w:val="center"/>
              <w:rPr>
                <w:rFonts w:asciiTheme="minorEastAsia" w:hAnsiTheme="minorEastAsia" w:eastAsiaTheme="minorEastAsia" w:cstheme="minorEastAsia"/>
                <w:color w:val="auto"/>
                <w:sz w:val="21"/>
                <w:szCs w:val="21"/>
              </w:rPr>
            </w:pPr>
          </w:p>
        </w:tc>
      </w:tr>
    </w:tbl>
    <w:p>
      <w:pPr>
        <w:widowControl/>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注：表中成本计算方法及取值具体见本报告第1</w:t>
      </w:r>
      <w:r>
        <w:rPr>
          <w:rFonts w:asciiTheme="minorEastAsia" w:hAnsiTheme="minorEastAsia" w:eastAsiaTheme="minorEastAsia" w:cstheme="minorEastAsia"/>
          <w:color w:val="auto"/>
          <w:sz w:val="24"/>
          <w:szCs w:val="24"/>
        </w:rPr>
        <w:t>4</w:t>
      </w:r>
      <w:r>
        <w:rPr>
          <w:rFonts w:hint="eastAsia" w:asciiTheme="minorEastAsia" w:hAnsiTheme="minorEastAsia" w:eastAsiaTheme="minorEastAsia" w:cstheme="minorEastAsia"/>
          <w:color w:val="auto"/>
          <w:sz w:val="24"/>
          <w:szCs w:val="24"/>
        </w:rPr>
        <w:t>章项目财务分析部分。</w:t>
      </w:r>
    </w:p>
    <w:p>
      <w:pPr>
        <w:pStyle w:val="32"/>
        <w:numPr>
          <w:ilvl w:val="2"/>
          <w:numId w:val="0"/>
        </w:numPr>
        <w:tabs>
          <w:tab w:val="left" w:pos="1460"/>
        </w:tabs>
        <w:spacing w:line="500" w:lineRule="exact"/>
        <w:ind w:left="547" w:leftChars="0"/>
        <w:jc w:val="both"/>
        <w:rPr>
          <w:rFonts w:asciiTheme="minorEastAsia" w:hAnsiTheme="minorEastAsia" w:eastAsiaTheme="minorEastAsia" w:cstheme="minorEastAsia"/>
          <w:b/>
          <w:bCs/>
          <w:color w:val="auto"/>
          <w:spacing w:val="-11"/>
          <w:sz w:val="24"/>
          <w:szCs w:val="24"/>
        </w:rPr>
      </w:pPr>
      <w:r>
        <w:rPr>
          <w:rFonts w:hint="eastAsia" w:asciiTheme="minorEastAsia" w:hAnsiTheme="minorEastAsia" w:eastAsiaTheme="minorEastAsia" w:cstheme="minorEastAsia"/>
          <w:b/>
          <w:bCs/>
          <w:color w:val="auto"/>
          <w:spacing w:val="-11"/>
          <w:sz w:val="24"/>
          <w:szCs w:val="24"/>
          <w:lang w:val="en-US" w:eastAsia="zh-CN"/>
        </w:rPr>
        <w:t>15.2.3</w:t>
      </w:r>
      <w:r>
        <w:rPr>
          <w:rFonts w:hint="eastAsia" w:asciiTheme="minorEastAsia" w:hAnsiTheme="minorEastAsia" w:eastAsiaTheme="minorEastAsia" w:cstheme="minorEastAsia"/>
          <w:b/>
          <w:bCs/>
          <w:color w:val="auto"/>
          <w:spacing w:val="-11"/>
          <w:sz w:val="24"/>
          <w:szCs w:val="24"/>
        </w:rPr>
        <w:t>流动资金</w:t>
      </w:r>
    </w:p>
    <w:p>
      <w:pPr>
        <w:spacing w:line="500" w:lineRule="exact"/>
        <w:ind w:firstLine="448" w:firstLineChars="200"/>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rPr>
        <w:t>流动资金包括维持项目正常运行所需购买燃料、材料、备品、备件和支付职工工资等的周转资金，按年运行费的10%计算，则流动资金为4</w:t>
      </w:r>
      <w:r>
        <w:rPr>
          <w:rFonts w:asciiTheme="minorEastAsia" w:hAnsiTheme="minorEastAsia" w:eastAsiaTheme="minorEastAsia" w:cstheme="minorEastAsia"/>
          <w:color w:val="auto"/>
          <w:spacing w:val="-8"/>
          <w:sz w:val="24"/>
          <w:szCs w:val="24"/>
          <w:lang w:val="en-US"/>
        </w:rPr>
        <w:t>6.6</w:t>
      </w:r>
      <w:r>
        <w:rPr>
          <w:rFonts w:hint="eastAsia" w:asciiTheme="minorEastAsia" w:hAnsiTheme="minorEastAsia" w:eastAsiaTheme="minorEastAsia" w:cstheme="minorEastAsia"/>
          <w:color w:val="auto"/>
          <w:spacing w:val="-8"/>
          <w:sz w:val="24"/>
          <w:szCs w:val="24"/>
          <w:lang w:val="en-US" w:eastAsia="zh-CN"/>
        </w:rPr>
        <w:t>3</w:t>
      </w:r>
      <w:r>
        <w:rPr>
          <w:rFonts w:hint="eastAsia" w:asciiTheme="minorEastAsia" w:hAnsiTheme="minorEastAsia" w:eastAsiaTheme="minorEastAsia" w:cstheme="minorEastAsia"/>
          <w:color w:val="auto"/>
          <w:spacing w:val="-8"/>
          <w:sz w:val="24"/>
          <w:szCs w:val="24"/>
        </w:rPr>
        <w:t>万元。</w:t>
      </w:r>
    </w:p>
    <w:p>
      <w:pPr>
        <w:spacing w:line="500" w:lineRule="exact"/>
        <w:ind w:firstLine="448" w:firstLineChars="200"/>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rPr>
        <w:t>流动资金在工程运行的第一年安排，于计算期末一次回收。</w:t>
      </w:r>
    </w:p>
    <w:p>
      <w:pPr>
        <w:pStyle w:val="2"/>
        <w:numPr>
          <w:ilvl w:val="0"/>
          <w:numId w:val="0"/>
        </w:numPr>
        <w:tabs>
          <w:tab w:val="left" w:pos="1016"/>
        </w:tabs>
        <w:spacing w:before="0" w:line="500" w:lineRule="exact"/>
        <w:ind w:leftChars="0"/>
        <w:jc w:val="both"/>
        <w:rPr>
          <w:rFonts w:asciiTheme="minorEastAsia" w:hAnsiTheme="minorEastAsia" w:eastAsiaTheme="minorEastAsia" w:cstheme="minorEastAsia"/>
          <w:color w:val="auto"/>
          <w:sz w:val="24"/>
          <w:szCs w:val="24"/>
          <w:lang w:val="en-US"/>
        </w:rPr>
      </w:pPr>
      <w:bookmarkStart w:id="212" w:name="_Toc21175"/>
      <w:r>
        <w:rPr>
          <w:rFonts w:hint="eastAsia" w:asciiTheme="minorEastAsia" w:hAnsiTheme="minorEastAsia" w:eastAsiaTheme="minorEastAsia" w:cstheme="minorEastAsia"/>
          <w:color w:val="auto"/>
          <w:sz w:val="24"/>
          <w:szCs w:val="24"/>
          <w:lang w:val="en-US" w:eastAsia="zh-CN"/>
        </w:rPr>
        <w:t>15.3</w:t>
      </w:r>
      <w:r>
        <w:rPr>
          <w:rFonts w:hint="eastAsia" w:asciiTheme="minorEastAsia" w:hAnsiTheme="minorEastAsia" w:eastAsiaTheme="minorEastAsia" w:cstheme="minorEastAsia"/>
          <w:color w:val="auto"/>
          <w:sz w:val="24"/>
          <w:szCs w:val="24"/>
          <w:lang w:val="en-US"/>
        </w:rPr>
        <w:t>效益计算</w:t>
      </w:r>
      <w:bookmarkEnd w:id="212"/>
    </w:p>
    <w:p>
      <w:pPr>
        <w:pStyle w:val="10"/>
        <w:spacing w:line="500" w:lineRule="exact"/>
        <w:ind w:firstLine="448" w:firstLineChars="200"/>
        <w:jc w:val="both"/>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rPr>
        <w:t>本项目属于国民经济的基础产业和基础设施，工程的建成后将对当地的经济社会发展具有重要意义，其效益</w:t>
      </w:r>
      <w:r>
        <w:rPr>
          <w:rFonts w:hint="eastAsia" w:asciiTheme="minorEastAsia" w:hAnsiTheme="minorEastAsia" w:eastAsiaTheme="minorEastAsia" w:cstheme="minorEastAsia"/>
          <w:color w:val="auto"/>
          <w:spacing w:val="-8"/>
          <w:sz w:val="24"/>
          <w:szCs w:val="24"/>
          <w:lang w:val="en-US"/>
        </w:rPr>
        <w:t>除污水费收益之外，</w:t>
      </w:r>
      <w:r>
        <w:rPr>
          <w:rFonts w:hint="eastAsia" w:asciiTheme="minorEastAsia" w:hAnsiTheme="minorEastAsia" w:eastAsiaTheme="minorEastAsia" w:cstheme="minorEastAsia"/>
          <w:color w:val="auto"/>
          <w:spacing w:val="-8"/>
          <w:sz w:val="24"/>
          <w:szCs w:val="24"/>
        </w:rPr>
        <w:t>渗透到国民经济的各部门和人民生活的各个方面。</w:t>
      </w:r>
    </w:p>
    <w:p>
      <w:pPr>
        <w:widowControl/>
        <w:spacing w:line="500" w:lineRule="exact"/>
        <w:ind w:firstLine="448" w:firstLineChars="200"/>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lang w:val="en-US"/>
        </w:rPr>
        <w:t>本项目建成正式运营后主要收入为污水排污处理费、财政补贴收入</w:t>
      </w:r>
      <w:r>
        <w:rPr>
          <w:rFonts w:hint="eastAsia" w:asciiTheme="minorEastAsia" w:hAnsiTheme="minorEastAsia" w:eastAsiaTheme="minorEastAsia" w:cstheme="minorEastAsia"/>
          <w:color w:val="auto"/>
          <w:spacing w:val="-8"/>
          <w:sz w:val="24"/>
          <w:szCs w:val="24"/>
        </w:rPr>
        <w:t>。</w:t>
      </w:r>
    </w:p>
    <w:p>
      <w:pPr>
        <w:widowControl/>
        <w:spacing w:line="500" w:lineRule="exact"/>
        <w:ind w:firstLine="448" w:firstLineChars="200"/>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lang w:val="en-US"/>
        </w:rPr>
        <w:t xml:space="preserve">（1）污水排污处理费收入 </w:t>
      </w:r>
    </w:p>
    <w:p>
      <w:pPr>
        <w:widowControl/>
        <w:spacing w:line="500" w:lineRule="exact"/>
        <w:ind w:firstLine="448" w:firstLineChars="200"/>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lang w:val="en-US"/>
        </w:rPr>
        <w:t xml:space="preserve">由于本项目为基础设施建设，以服务于社会为主要目的，故本项目建设并无显著的直接投资受益，但根据国家建设部关于《征收排水设施有偿使用费的暂行规定》的有关条例，本工程可以收取适当的排污费。 </w:t>
      </w:r>
    </w:p>
    <w:p>
      <w:pPr>
        <w:widowControl/>
        <w:numPr>
          <w:ilvl w:val="0"/>
          <w:numId w:val="98"/>
        </w:numPr>
        <w:spacing w:line="500" w:lineRule="exact"/>
        <w:ind w:firstLine="448" w:firstLineChars="200"/>
        <w:jc w:val="both"/>
        <w:rPr>
          <w:rFonts w:asciiTheme="minorEastAsia" w:hAnsiTheme="minorEastAsia" w:eastAsiaTheme="minorEastAsia" w:cstheme="minorEastAsia"/>
          <w:color w:val="auto"/>
          <w:spacing w:val="-8"/>
          <w:sz w:val="24"/>
          <w:szCs w:val="24"/>
          <w:lang w:val="en-US"/>
        </w:rPr>
      </w:pPr>
      <w:r>
        <w:rPr>
          <w:rFonts w:hint="eastAsia" w:asciiTheme="minorEastAsia" w:hAnsiTheme="minorEastAsia" w:eastAsiaTheme="minorEastAsia" w:cstheme="minorEastAsia"/>
          <w:color w:val="auto"/>
          <w:spacing w:val="-8"/>
          <w:sz w:val="24"/>
          <w:szCs w:val="24"/>
          <w:lang w:val="en-US"/>
        </w:rPr>
        <w:t>污水排污处理费</w:t>
      </w:r>
    </w:p>
    <w:p>
      <w:pPr>
        <w:widowControl/>
        <w:spacing w:line="500" w:lineRule="exact"/>
        <w:ind w:firstLine="448" w:firstLineChars="200"/>
        <w:jc w:val="both"/>
        <w:rPr>
          <w:rFonts w:asciiTheme="minorEastAsia" w:hAnsiTheme="minorEastAsia" w:eastAsiaTheme="minorEastAsia" w:cstheme="minorEastAsia"/>
          <w:color w:val="auto"/>
          <w:spacing w:val="-8"/>
          <w:sz w:val="24"/>
          <w:szCs w:val="24"/>
          <w:lang w:val="en-US"/>
        </w:rPr>
      </w:pPr>
      <w:r>
        <w:rPr>
          <w:rFonts w:hint="eastAsia" w:asciiTheme="minorEastAsia" w:hAnsiTheme="minorEastAsia" w:eastAsiaTheme="minorEastAsia" w:cstheme="minorEastAsia"/>
          <w:color w:val="auto"/>
          <w:spacing w:val="-8"/>
          <w:sz w:val="24"/>
          <w:szCs w:val="24"/>
          <w:lang w:val="en-US"/>
        </w:rPr>
        <w:t>根据《广东省物价局关于制定实施污水处理费指导标准的通知》（2009）粤价[2009]204号文件，污水处理费指导标准区分不同地区和不同收费性质确定。珠江三角洲地区地级以上市城区按经营性质收费的每立方米1.30元，按行政事业性质收费的每立方米1.00元；县城和建制镇按经营性质收费的每立方米1.20元，按事业性质收费的每立方米0.90元。东西北地区地级以上市城区按经营性质收费的每立方米1.20元，按事业性质收费的每立方米0.90元；县城和建制镇属于按经营性质收费的每立方米1.10元，按事业性质收费的每立方米0.80元。</w:t>
      </w:r>
    </w:p>
    <w:p>
      <w:pPr>
        <w:pStyle w:val="26"/>
        <w:spacing w:line="500" w:lineRule="exact"/>
        <w:ind w:left="0" w:firstLine="448" w:firstLineChars="200"/>
        <w:rPr>
          <w:rFonts w:asciiTheme="minorEastAsia" w:hAnsiTheme="minorEastAsia" w:eastAsiaTheme="minorEastAsia" w:cstheme="minorEastAsia"/>
          <w:color w:val="auto"/>
          <w:spacing w:val="-8"/>
          <w:sz w:val="24"/>
          <w:szCs w:val="24"/>
          <w:lang w:val="en-US"/>
        </w:rPr>
      </w:pPr>
      <w:r>
        <w:rPr>
          <w:rFonts w:hint="eastAsia" w:asciiTheme="minorEastAsia" w:hAnsiTheme="minorEastAsia" w:eastAsiaTheme="minorEastAsia" w:cstheme="minorEastAsia"/>
          <w:color w:val="auto"/>
          <w:spacing w:val="-8"/>
          <w:sz w:val="24"/>
          <w:szCs w:val="24"/>
          <w:lang w:val="en-US"/>
        </w:rPr>
        <w:t>省发改委《关于加快推进污水处理收费有关问题的通知》（粤发改价格[2016]105号）规定；按照国家规定标准将污水处理费标准调整到位是中央改革办2016年督促落实的重点工作，各地一定要高度重视，加快推进，确保改革目标按时完成。</w:t>
      </w:r>
    </w:p>
    <w:p>
      <w:pPr>
        <w:pStyle w:val="26"/>
        <w:spacing w:line="500" w:lineRule="exact"/>
        <w:ind w:left="0" w:firstLine="448" w:firstLineChars="200"/>
        <w:rPr>
          <w:rFonts w:asciiTheme="minorEastAsia" w:hAnsiTheme="minorEastAsia" w:eastAsiaTheme="minorEastAsia" w:cstheme="minorEastAsia"/>
          <w:color w:val="auto"/>
          <w:spacing w:val="-8"/>
          <w:sz w:val="24"/>
          <w:szCs w:val="24"/>
          <w:lang w:val="en-US"/>
        </w:rPr>
      </w:pPr>
      <w:r>
        <w:rPr>
          <w:rFonts w:hint="eastAsia" w:asciiTheme="minorEastAsia" w:hAnsiTheme="minorEastAsia" w:eastAsiaTheme="minorEastAsia" w:cstheme="minorEastAsia"/>
          <w:color w:val="auto"/>
          <w:spacing w:val="-8"/>
          <w:sz w:val="24"/>
          <w:szCs w:val="24"/>
          <w:lang w:val="en-US"/>
        </w:rPr>
        <w:t>省发改委、省财政厅、省住建厅三部门联合转发国家发展改革委、财政部、住房城乡建设部《关于制定和调整污水处理收费标准等有关问题的通知》（粤发改价格[2015]770号）规定：2016年底前，设市城市原则上每吨应调整至居民不低于0.95元，非居民不低于1.40元。</w:t>
      </w:r>
    </w:p>
    <w:p>
      <w:pPr>
        <w:widowControl/>
        <w:spacing w:line="500" w:lineRule="exact"/>
        <w:ind w:firstLine="448" w:firstLineChars="200"/>
        <w:jc w:val="both"/>
        <w:rPr>
          <w:rFonts w:asciiTheme="minorEastAsia" w:hAnsiTheme="minorEastAsia" w:eastAsiaTheme="minorEastAsia" w:cstheme="minorEastAsia"/>
          <w:color w:val="auto"/>
          <w:spacing w:val="-8"/>
          <w:sz w:val="24"/>
          <w:szCs w:val="24"/>
          <w:lang w:val="en-US"/>
        </w:rPr>
      </w:pPr>
      <w:r>
        <w:rPr>
          <w:rFonts w:hint="eastAsia" w:asciiTheme="minorEastAsia" w:hAnsiTheme="minorEastAsia" w:eastAsiaTheme="minorEastAsia" w:cstheme="minorEastAsia"/>
          <w:color w:val="auto"/>
          <w:spacing w:val="-8"/>
          <w:sz w:val="24"/>
          <w:szCs w:val="24"/>
          <w:lang w:val="en-US"/>
        </w:rPr>
        <w:t>2017年云浮市发展和改革局对污水收费进行了调整：</w:t>
      </w:r>
    </w:p>
    <w:p>
      <w:pPr>
        <w:widowControl/>
        <w:spacing w:line="500" w:lineRule="exact"/>
        <w:ind w:firstLine="448" w:firstLineChars="200"/>
        <w:jc w:val="both"/>
        <w:rPr>
          <w:rFonts w:asciiTheme="minorEastAsia" w:hAnsiTheme="minorEastAsia" w:eastAsiaTheme="minorEastAsia" w:cstheme="minorEastAsia"/>
          <w:color w:val="auto"/>
          <w:spacing w:val="-8"/>
          <w:sz w:val="24"/>
          <w:szCs w:val="24"/>
          <w:lang w:val="en-US"/>
        </w:rPr>
      </w:pPr>
      <w:r>
        <w:rPr>
          <w:rFonts w:hint="eastAsia" w:asciiTheme="minorEastAsia" w:hAnsiTheme="minorEastAsia" w:eastAsiaTheme="minorEastAsia" w:cstheme="minorEastAsia"/>
          <w:color w:val="auto"/>
          <w:spacing w:val="-8"/>
          <w:sz w:val="24"/>
          <w:szCs w:val="24"/>
          <w:lang w:val="en-US"/>
        </w:rPr>
        <w:t>（1）居民用水污水处理费：由原来按实际用水量每吨0.80元提高到每吨0.95元。</w:t>
      </w:r>
    </w:p>
    <w:p>
      <w:pPr>
        <w:widowControl/>
        <w:spacing w:line="500" w:lineRule="exact"/>
        <w:ind w:firstLine="448" w:firstLineChars="200"/>
        <w:jc w:val="both"/>
        <w:rPr>
          <w:rFonts w:asciiTheme="minorEastAsia" w:hAnsiTheme="minorEastAsia" w:eastAsiaTheme="minorEastAsia" w:cstheme="minorEastAsia"/>
          <w:color w:val="auto"/>
          <w:spacing w:val="-8"/>
          <w:sz w:val="24"/>
          <w:szCs w:val="24"/>
          <w:lang w:val="en-US"/>
        </w:rPr>
      </w:pPr>
      <w:r>
        <w:rPr>
          <w:rFonts w:hint="eastAsia" w:asciiTheme="minorEastAsia" w:hAnsiTheme="minorEastAsia" w:eastAsiaTheme="minorEastAsia" w:cstheme="minorEastAsia"/>
          <w:color w:val="auto"/>
          <w:spacing w:val="-8"/>
          <w:sz w:val="24"/>
          <w:szCs w:val="24"/>
          <w:lang w:val="en-US"/>
        </w:rPr>
        <w:t>（2）非居民（即经营、生产）用水污水处理费由原来按实际用水量每吨0.80元提高到每吨1.40元。</w:t>
      </w:r>
    </w:p>
    <w:p>
      <w:pPr>
        <w:widowControl/>
        <w:spacing w:line="500" w:lineRule="exact"/>
        <w:ind w:firstLine="448" w:firstLineChars="200"/>
        <w:jc w:val="both"/>
        <w:rPr>
          <w:rFonts w:asciiTheme="minorEastAsia" w:hAnsiTheme="minorEastAsia" w:eastAsiaTheme="minorEastAsia" w:cstheme="minorEastAsia"/>
          <w:color w:val="auto"/>
          <w:sz w:val="24"/>
          <w:szCs w:val="24"/>
          <w:lang w:val="en-US"/>
        </w:rPr>
      </w:pPr>
      <w:r>
        <w:rPr>
          <w:rFonts w:hint="eastAsia" w:asciiTheme="minorEastAsia" w:hAnsiTheme="minorEastAsia" w:eastAsiaTheme="minorEastAsia" w:cstheme="minorEastAsia"/>
          <w:color w:val="auto"/>
          <w:spacing w:val="-8"/>
          <w:sz w:val="24"/>
          <w:szCs w:val="24"/>
          <w:lang w:val="en-US"/>
        </w:rPr>
        <w:t>根据《广州市发展改革委关于调整我市污水处理费有关问题的通知》目前广州市污水处理费考虑阶梯式收费，居民收费按阶梯0.95元/吨（0-26吨）、1.43（27吨-34吨）、2.85（34吨以上）；根据《关于调整汕尾市区污水处理费征收标准的通知》（汕价[2010]22 号）的有关标准：非居民用水排污费与居民用水排污费征收标准平均为2.5元/吨，参考以上两市的收费标准，考虑未来水费调整，本项目经济评价运行期污水排污处理费收费标准考虑综合单价2.5元/吨。</w:t>
      </w:r>
    </w:p>
    <w:p>
      <w:pPr>
        <w:widowControl/>
        <w:spacing w:line="500" w:lineRule="exact"/>
        <w:ind w:firstLine="448" w:firstLineChars="200"/>
        <w:jc w:val="both"/>
        <w:rPr>
          <w:rFonts w:asciiTheme="minorEastAsia" w:hAnsiTheme="minorEastAsia" w:eastAsiaTheme="minorEastAsia" w:cstheme="minorEastAsia"/>
          <w:color w:val="auto"/>
          <w:spacing w:val="-8"/>
          <w:sz w:val="24"/>
          <w:szCs w:val="24"/>
          <w:lang w:val="en-US"/>
        </w:rPr>
      </w:pPr>
      <w:r>
        <w:rPr>
          <w:rFonts w:hint="eastAsia" w:asciiTheme="minorEastAsia" w:hAnsiTheme="minorEastAsia" w:eastAsiaTheme="minorEastAsia" w:cstheme="minorEastAsia"/>
          <w:color w:val="auto"/>
          <w:spacing w:val="-8"/>
          <w:sz w:val="24"/>
          <w:szCs w:val="24"/>
          <w:lang w:val="en-US"/>
        </w:rPr>
        <w:t>2、污水量</w:t>
      </w:r>
    </w:p>
    <w:p>
      <w:pPr>
        <w:widowControl/>
        <w:spacing w:line="500" w:lineRule="exact"/>
        <w:ind w:firstLine="448" w:firstLineChars="200"/>
        <w:jc w:val="both"/>
        <w:rPr>
          <w:rFonts w:asciiTheme="minorEastAsia" w:hAnsiTheme="minorEastAsia" w:eastAsiaTheme="minorEastAsia" w:cstheme="minorEastAsia"/>
          <w:color w:val="auto"/>
          <w:spacing w:val="-8"/>
          <w:sz w:val="24"/>
          <w:szCs w:val="24"/>
          <w:lang w:val="en-US"/>
        </w:rPr>
      </w:pPr>
      <w:r>
        <w:rPr>
          <w:rFonts w:hint="eastAsia" w:asciiTheme="minorEastAsia" w:hAnsiTheme="minorEastAsia" w:eastAsiaTheme="minorEastAsia" w:cstheme="minorEastAsia"/>
          <w:color w:val="auto"/>
          <w:spacing w:val="-8"/>
          <w:sz w:val="24"/>
          <w:szCs w:val="24"/>
          <w:lang w:val="en-US"/>
        </w:rPr>
        <w:t>根据全域农村人居环境整治数据上报系统提供的各街镇常住人口数， 估算罗定市农村居民排水量73549m³/天，各街镇排水量统计如表</w:t>
      </w:r>
      <w:r>
        <w:rPr>
          <w:rFonts w:asciiTheme="minorEastAsia" w:hAnsiTheme="minorEastAsia" w:eastAsiaTheme="minorEastAsia" w:cstheme="minorEastAsia"/>
          <w:color w:val="auto"/>
          <w:spacing w:val="-8"/>
          <w:sz w:val="24"/>
          <w:szCs w:val="24"/>
          <w:lang w:val="en-US"/>
        </w:rPr>
        <w:t>15.3-1</w:t>
      </w:r>
      <w:r>
        <w:rPr>
          <w:rFonts w:hint="eastAsia" w:asciiTheme="minorEastAsia" w:hAnsiTheme="minorEastAsia" w:eastAsiaTheme="minorEastAsia" w:cstheme="minorEastAsia"/>
          <w:color w:val="auto"/>
          <w:spacing w:val="-8"/>
          <w:sz w:val="24"/>
          <w:szCs w:val="24"/>
          <w:lang w:val="en-US"/>
        </w:rPr>
        <w:t>：</w:t>
      </w:r>
    </w:p>
    <w:p>
      <w:pPr>
        <w:spacing w:line="500" w:lineRule="exact"/>
        <w:ind w:firstLine="422" w:firstLineChars="200"/>
        <w:jc w:val="center"/>
        <w:rPr>
          <w:rFonts w:ascii="Times New Roman" w:hAnsi="Times New Roman" w:eastAsia="宋体" w:cs="Times New Roman"/>
          <w:b/>
          <w:bCs/>
          <w:iCs/>
          <w:color w:val="auto"/>
          <w:sz w:val="21"/>
          <w:szCs w:val="20"/>
        </w:rPr>
      </w:pPr>
      <w:r>
        <w:rPr>
          <w:rFonts w:hint="eastAsia" w:ascii="Times New Roman" w:hAnsi="Times New Roman" w:eastAsia="宋体" w:cs="Times New Roman"/>
          <w:b/>
          <w:bCs/>
          <w:iCs/>
          <w:color w:val="auto"/>
          <w:sz w:val="21"/>
          <w:szCs w:val="20"/>
        </w:rPr>
        <w:t>表1</w:t>
      </w:r>
      <w:r>
        <w:rPr>
          <w:rFonts w:hint="eastAsia" w:ascii="Times New Roman" w:hAnsi="Times New Roman" w:eastAsia="宋体" w:cs="Times New Roman"/>
          <w:b/>
          <w:bCs/>
          <w:iCs/>
          <w:color w:val="auto"/>
          <w:sz w:val="21"/>
          <w:szCs w:val="20"/>
          <w:lang w:val="en-US" w:eastAsia="zh-CN"/>
        </w:rPr>
        <w:t>5</w:t>
      </w:r>
      <w:r>
        <w:rPr>
          <w:rFonts w:hint="eastAsia" w:ascii="Times New Roman" w:hAnsi="Times New Roman" w:eastAsia="宋体" w:cs="Times New Roman"/>
          <w:b/>
          <w:bCs/>
          <w:iCs/>
          <w:color w:val="auto"/>
          <w:sz w:val="21"/>
          <w:szCs w:val="20"/>
        </w:rPr>
        <w:t>.3-1 罗定市各农村居民日排水量估算一览表</w:t>
      </w:r>
    </w:p>
    <w:tbl>
      <w:tblPr>
        <w:tblStyle w:val="27"/>
        <w:tblW w:w="4998" w:type="pct"/>
        <w:jc w:val="center"/>
        <w:tblLayout w:type="autofit"/>
        <w:tblCellMar>
          <w:top w:w="0" w:type="dxa"/>
          <w:left w:w="108" w:type="dxa"/>
          <w:bottom w:w="0" w:type="dxa"/>
          <w:right w:w="108" w:type="dxa"/>
        </w:tblCellMar>
      </w:tblPr>
      <w:tblGrid>
        <w:gridCol w:w="1501"/>
        <w:gridCol w:w="1512"/>
        <w:gridCol w:w="1827"/>
        <w:gridCol w:w="2194"/>
        <w:gridCol w:w="1969"/>
      </w:tblGrid>
      <w:tr>
        <w:tblPrEx>
          <w:tblCellMar>
            <w:top w:w="0" w:type="dxa"/>
            <w:left w:w="108" w:type="dxa"/>
            <w:bottom w:w="0" w:type="dxa"/>
            <w:right w:w="108" w:type="dxa"/>
          </w:tblCellMar>
        </w:tblPrEx>
        <w:trPr>
          <w:trHeight w:val="539" w:hRule="atLeast"/>
          <w:tblHeader/>
          <w:jc w:val="center"/>
        </w:trPr>
        <w:tc>
          <w:tcPr>
            <w:tcW w:w="833" w:type="pct"/>
            <w:tcBorders>
              <w:top w:val="single" w:color="000000" w:sz="8" w:space="0"/>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序号</w:t>
            </w:r>
          </w:p>
        </w:tc>
        <w:tc>
          <w:tcPr>
            <w:tcW w:w="839" w:type="pct"/>
            <w:tcBorders>
              <w:top w:val="single" w:color="000000" w:sz="8" w:space="0"/>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镇街名称</w:t>
            </w:r>
          </w:p>
        </w:tc>
        <w:tc>
          <w:tcPr>
            <w:tcW w:w="1014" w:type="pct"/>
            <w:tcBorders>
              <w:top w:val="single" w:color="000000" w:sz="8" w:space="0"/>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自然村数量</w:t>
            </w:r>
          </w:p>
        </w:tc>
        <w:tc>
          <w:tcPr>
            <w:tcW w:w="1218" w:type="pct"/>
            <w:tcBorders>
              <w:top w:val="single" w:color="000000" w:sz="8" w:space="0"/>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常住人口数</w:t>
            </w:r>
          </w:p>
        </w:tc>
        <w:tc>
          <w:tcPr>
            <w:tcW w:w="1093" w:type="pct"/>
            <w:tcBorders>
              <w:top w:val="single" w:color="000000" w:sz="8" w:space="0"/>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排水量 m³/天</w:t>
            </w:r>
          </w:p>
        </w:tc>
      </w:tr>
      <w:tr>
        <w:tblPrEx>
          <w:tblCellMar>
            <w:top w:w="0" w:type="dxa"/>
            <w:left w:w="108" w:type="dxa"/>
            <w:bottom w:w="0" w:type="dxa"/>
            <w:right w:w="108" w:type="dxa"/>
          </w:tblCellMar>
        </w:tblPrEx>
        <w:trPr>
          <w:trHeight w:val="315" w:hRule="atLeast"/>
          <w:jc w:val="center"/>
        </w:trPr>
        <w:tc>
          <w:tcPr>
            <w:tcW w:w="83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1</w:t>
            </w:r>
          </w:p>
        </w:tc>
        <w:tc>
          <w:tcPr>
            <w:tcW w:w="839"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船步镇</w:t>
            </w:r>
          </w:p>
        </w:tc>
        <w:tc>
          <w:tcPr>
            <w:tcW w:w="1014"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216</w:t>
            </w:r>
          </w:p>
        </w:tc>
        <w:tc>
          <w:tcPr>
            <w:tcW w:w="1218"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49990</w:t>
            </w:r>
          </w:p>
        </w:tc>
        <w:tc>
          <w:tcPr>
            <w:tcW w:w="109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5249</w:t>
            </w:r>
          </w:p>
        </w:tc>
      </w:tr>
      <w:tr>
        <w:tblPrEx>
          <w:tblCellMar>
            <w:top w:w="0" w:type="dxa"/>
            <w:left w:w="108" w:type="dxa"/>
            <w:bottom w:w="0" w:type="dxa"/>
            <w:right w:w="108" w:type="dxa"/>
          </w:tblCellMar>
        </w:tblPrEx>
        <w:trPr>
          <w:trHeight w:val="315" w:hRule="atLeast"/>
          <w:jc w:val="center"/>
        </w:trPr>
        <w:tc>
          <w:tcPr>
            <w:tcW w:w="83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2</w:t>
            </w:r>
          </w:p>
        </w:tc>
        <w:tc>
          <w:tcPr>
            <w:tcW w:w="839"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分界镇</w:t>
            </w:r>
          </w:p>
        </w:tc>
        <w:tc>
          <w:tcPr>
            <w:tcW w:w="1014"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181</w:t>
            </w:r>
          </w:p>
        </w:tc>
        <w:tc>
          <w:tcPr>
            <w:tcW w:w="1218"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16118</w:t>
            </w:r>
          </w:p>
        </w:tc>
        <w:tc>
          <w:tcPr>
            <w:tcW w:w="109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1692</w:t>
            </w:r>
          </w:p>
        </w:tc>
      </w:tr>
      <w:tr>
        <w:tblPrEx>
          <w:tblCellMar>
            <w:top w:w="0" w:type="dxa"/>
            <w:left w:w="108" w:type="dxa"/>
            <w:bottom w:w="0" w:type="dxa"/>
            <w:right w:w="108" w:type="dxa"/>
          </w:tblCellMar>
        </w:tblPrEx>
        <w:trPr>
          <w:trHeight w:val="315" w:hRule="atLeast"/>
          <w:jc w:val="center"/>
        </w:trPr>
        <w:tc>
          <w:tcPr>
            <w:tcW w:w="83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3</w:t>
            </w:r>
          </w:p>
        </w:tc>
        <w:tc>
          <w:tcPr>
            <w:tcW w:w="839"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附城街道</w:t>
            </w:r>
          </w:p>
        </w:tc>
        <w:tc>
          <w:tcPr>
            <w:tcW w:w="1014"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271</w:t>
            </w:r>
          </w:p>
        </w:tc>
        <w:tc>
          <w:tcPr>
            <w:tcW w:w="1218"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35940</w:t>
            </w:r>
          </w:p>
        </w:tc>
        <w:tc>
          <w:tcPr>
            <w:tcW w:w="109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3774</w:t>
            </w:r>
          </w:p>
        </w:tc>
      </w:tr>
      <w:tr>
        <w:tblPrEx>
          <w:tblCellMar>
            <w:top w:w="0" w:type="dxa"/>
            <w:left w:w="108" w:type="dxa"/>
            <w:bottom w:w="0" w:type="dxa"/>
            <w:right w:w="108" w:type="dxa"/>
          </w:tblCellMar>
        </w:tblPrEx>
        <w:trPr>
          <w:trHeight w:val="315" w:hRule="atLeast"/>
          <w:jc w:val="center"/>
        </w:trPr>
        <w:tc>
          <w:tcPr>
            <w:tcW w:w="83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4</w:t>
            </w:r>
          </w:p>
        </w:tc>
        <w:tc>
          <w:tcPr>
            <w:tcW w:w="839"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华石镇</w:t>
            </w:r>
          </w:p>
        </w:tc>
        <w:tc>
          <w:tcPr>
            <w:tcW w:w="1014"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112</w:t>
            </w:r>
          </w:p>
        </w:tc>
        <w:tc>
          <w:tcPr>
            <w:tcW w:w="1218"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16041</w:t>
            </w:r>
          </w:p>
        </w:tc>
        <w:tc>
          <w:tcPr>
            <w:tcW w:w="109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1684</w:t>
            </w:r>
          </w:p>
        </w:tc>
      </w:tr>
      <w:tr>
        <w:tblPrEx>
          <w:tblCellMar>
            <w:top w:w="0" w:type="dxa"/>
            <w:left w:w="108" w:type="dxa"/>
            <w:bottom w:w="0" w:type="dxa"/>
            <w:right w:w="108" w:type="dxa"/>
          </w:tblCellMar>
        </w:tblPrEx>
        <w:trPr>
          <w:trHeight w:val="315" w:hRule="atLeast"/>
          <w:jc w:val="center"/>
        </w:trPr>
        <w:tc>
          <w:tcPr>
            <w:tcW w:w="83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5</w:t>
            </w:r>
          </w:p>
        </w:tc>
        <w:tc>
          <w:tcPr>
            <w:tcW w:w="839"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加益镇</w:t>
            </w:r>
          </w:p>
        </w:tc>
        <w:tc>
          <w:tcPr>
            <w:tcW w:w="1014"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145</w:t>
            </w:r>
          </w:p>
        </w:tc>
        <w:tc>
          <w:tcPr>
            <w:tcW w:w="1218"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13079</w:t>
            </w:r>
          </w:p>
        </w:tc>
        <w:tc>
          <w:tcPr>
            <w:tcW w:w="109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1373</w:t>
            </w:r>
          </w:p>
        </w:tc>
      </w:tr>
      <w:tr>
        <w:tblPrEx>
          <w:tblCellMar>
            <w:top w:w="0" w:type="dxa"/>
            <w:left w:w="108" w:type="dxa"/>
            <w:bottom w:w="0" w:type="dxa"/>
            <w:right w:w="108" w:type="dxa"/>
          </w:tblCellMar>
        </w:tblPrEx>
        <w:trPr>
          <w:trHeight w:val="315" w:hRule="atLeast"/>
          <w:jc w:val="center"/>
        </w:trPr>
        <w:tc>
          <w:tcPr>
            <w:tcW w:w="83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6</w:t>
            </w:r>
          </w:p>
        </w:tc>
        <w:tc>
          <w:tcPr>
            <w:tcW w:w="839"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金鸡镇</w:t>
            </w:r>
          </w:p>
        </w:tc>
        <w:tc>
          <w:tcPr>
            <w:tcW w:w="1014"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109</w:t>
            </w:r>
          </w:p>
        </w:tc>
        <w:tc>
          <w:tcPr>
            <w:tcW w:w="1218"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21398</w:t>
            </w:r>
          </w:p>
        </w:tc>
        <w:tc>
          <w:tcPr>
            <w:tcW w:w="109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2247</w:t>
            </w:r>
          </w:p>
        </w:tc>
      </w:tr>
      <w:tr>
        <w:tblPrEx>
          <w:tblCellMar>
            <w:top w:w="0" w:type="dxa"/>
            <w:left w:w="108" w:type="dxa"/>
            <w:bottom w:w="0" w:type="dxa"/>
            <w:right w:w="108" w:type="dxa"/>
          </w:tblCellMar>
        </w:tblPrEx>
        <w:trPr>
          <w:trHeight w:val="315" w:hRule="atLeast"/>
          <w:jc w:val="center"/>
        </w:trPr>
        <w:tc>
          <w:tcPr>
            <w:tcW w:w="83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7</w:t>
            </w:r>
          </w:p>
        </w:tc>
        <w:tc>
          <w:tcPr>
            <w:tcW w:w="839"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黎少镇</w:t>
            </w:r>
          </w:p>
        </w:tc>
        <w:tc>
          <w:tcPr>
            <w:tcW w:w="1014"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220</w:t>
            </w:r>
          </w:p>
        </w:tc>
        <w:tc>
          <w:tcPr>
            <w:tcW w:w="1218"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30971</w:t>
            </w:r>
          </w:p>
        </w:tc>
        <w:tc>
          <w:tcPr>
            <w:tcW w:w="109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3252</w:t>
            </w:r>
          </w:p>
        </w:tc>
      </w:tr>
      <w:tr>
        <w:tblPrEx>
          <w:tblCellMar>
            <w:top w:w="0" w:type="dxa"/>
            <w:left w:w="108" w:type="dxa"/>
            <w:bottom w:w="0" w:type="dxa"/>
            <w:right w:w="108" w:type="dxa"/>
          </w:tblCellMar>
        </w:tblPrEx>
        <w:trPr>
          <w:trHeight w:val="315" w:hRule="atLeast"/>
          <w:jc w:val="center"/>
        </w:trPr>
        <w:tc>
          <w:tcPr>
            <w:tcW w:w="83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8</w:t>
            </w:r>
          </w:p>
        </w:tc>
        <w:tc>
          <w:tcPr>
            <w:tcW w:w="839"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连州镇</w:t>
            </w:r>
          </w:p>
        </w:tc>
        <w:tc>
          <w:tcPr>
            <w:tcW w:w="1014"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240</w:t>
            </w:r>
          </w:p>
        </w:tc>
        <w:tc>
          <w:tcPr>
            <w:tcW w:w="1218"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36887</w:t>
            </w:r>
          </w:p>
        </w:tc>
        <w:tc>
          <w:tcPr>
            <w:tcW w:w="109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3873</w:t>
            </w:r>
          </w:p>
        </w:tc>
      </w:tr>
      <w:tr>
        <w:tblPrEx>
          <w:tblCellMar>
            <w:top w:w="0" w:type="dxa"/>
            <w:left w:w="108" w:type="dxa"/>
            <w:bottom w:w="0" w:type="dxa"/>
            <w:right w:w="108" w:type="dxa"/>
          </w:tblCellMar>
        </w:tblPrEx>
        <w:trPr>
          <w:trHeight w:val="315" w:hRule="atLeast"/>
          <w:jc w:val="center"/>
        </w:trPr>
        <w:tc>
          <w:tcPr>
            <w:tcW w:w="83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9</w:t>
            </w:r>
          </w:p>
        </w:tc>
        <w:tc>
          <w:tcPr>
            <w:tcW w:w="839"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龙湾镇</w:t>
            </w:r>
          </w:p>
        </w:tc>
        <w:tc>
          <w:tcPr>
            <w:tcW w:w="1014"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192</w:t>
            </w:r>
          </w:p>
        </w:tc>
        <w:tc>
          <w:tcPr>
            <w:tcW w:w="1218"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19878</w:t>
            </w:r>
          </w:p>
        </w:tc>
        <w:tc>
          <w:tcPr>
            <w:tcW w:w="109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2087</w:t>
            </w:r>
          </w:p>
        </w:tc>
      </w:tr>
      <w:tr>
        <w:tblPrEx>
          <w:tblCellMar>
            <w:top w:w="0" w:type="dxa"/>
            <w:left w:w="108" w:type="dxa"/>
            <w:bottom w:w="0" w:type="dxa"/>
            <w:right w:w="108" w:type="dxa"/>
          </w:tblCellMar>
        </w:tblPrEx>
        <w:trPr>
          <w:trHeight w:val="315" w:hRule="atLeast"/>
          <w:jc w:val="center"/>
        </w:trPr>
        <w:tc>
          <w:tcPr>
            <w:tcW w:w="83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10</w:t>
            </w:r>
          </w:p>
        </w:tc>
        <w:tc>
          <w:tcPr>
            <w:tcW w:w="839"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罗镜镇</w:t>
            </w:r>
          </w:p>
        </w:tc>
        <w:tc>
          <w:tcPr>
            <w:tcW w:w="1014"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357</w:t>
            </w:r>
          </w:p>
        </w:tc>
        <w:tc>
          <w:tcPr>
            <w:tcW w:w="1218"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60248</w:t>
            </w:r>
          </w:p>
        </w:tc>
        <w:tc>
          <w:tcPr>
            <w:tcW w:w="109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6326</w:t>
            </w:r>
          </w:p>
        </w:tc>
      </w:tr>
      <w:tr>
        <w:tblPrEx>
          <w:tblCellMar>
            <w:top w:w="0" w:type="dxa"/>
            <w:left w:w="108" w:type="dxa"/>
            <w:bottom w:w="0" w:type="dxa"/>
            <w:right w:w="108" w:type="dxa"/>
          </w:tblCellMar>
        </w:tblPrEx>
        <w:trPr>
          <w:trHeight w:val="315" w:hRule="atLeast"/>
          <w:jc w:val="center"/>
        </w:trPr>
        <w:tc>
          <w:tcPr>
            <w:tcW w:w="83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11</w:t>
            </w:r>
          </w:p>
        </w:tc>
        <w:tc>
          <w:tcPr>
            <w:tcW w:w="839"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罗平镇</w:t>
            </w:r>
          </w:p>
        </w:tc>
        <w:tc>
          <w:tcPr>
            <w:tcW w:w="1014"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157</w:t>
            </w:r>
          </w:p>
        </w:tc>
        <w:tc>
          <w:tcPr>
            <w:tcW w:w="1218"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61292</w:t>
            </w:r>
          </w:p>
        </w:tc>
        <w:tc>
          <w:tcPr>
            <w:tcW w:w="109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6436</w:t>
            </w:r>
          </w:p>
        </w:tc>
      </w:tr>
      <w:tr>
        <w:tblPrEx>
          <w:tblCellMar>
            <w:top w:w="0" w:type="dxa"/>
            <w:left w:w="108" w:type="dxa"/>
            <w:bottom w:w="0" w:type="dxa"/>
            <w:right w:w="108" w:type="dxa"/>
          </w:tblCellMar>
        </w:tblPrEx>
        <w:trPr>
          <w:trHeight w:val="315" w:hRule="atLeast"/>
          <w:jc w:val="center"/>
        </w:trPr>
        <w:tc>
          <w:tcPr>
            <w:tcW w:w="83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12</w:t>
            </w:r>
          </w:p>
        </w:tc>
        <w:tc>
          <w:tcPr>
            <w:tcW w:w="839"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满塘镇</w:t>
            </w:r>
          </w:p>
        </w:tc>
        <w:tc>
          <w:tcPr>
            <w:tcW w:w="1014"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126</w:t>
            </w:r>
          </w:p>
        </w:tc>
        <w:tc>
          <w:tcPr>
            <w:tcW w:w="1218"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31917</w:t>
            </w:r>
          </w:p>
        </w:tc>
        <w:tc>
          <w:tcPr>
            <w:tcW w:w="109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3351</w:t>
            </w:r>
          </w:p>
        </w:tc>
      </w:tr>
      <w:tr>
        <w:tblPrEx>
          <w:tblCellMar>
            <w:top w:w="0" w:type="dxa"/>
            <w:left w:w="108" w:type="dxa"/>
            <w:bottom w:w="0" w:type="dxa"/>
            <w:right w:w="108" w:type="dxa"/>
          </w:tblCellMar>
        </w:tblPrEx>
        <w:trPr>
          <w:trHeight w:val="315" w:hRule="atLeast"/>
          <w:jc w:val="center"/>
        </w:trPr>
        <w:tc>
          <w:tcPr>
            <w:tcW w:w="83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13</w:t>
            </w:r>
          </w:p>
        </w:tc>
        <w:tc>
          <w:tcPr>
            <w:tcW w:w="839"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苹塘镇</w:t>
            </w:r>
          </w:p>
        </w:tc>
        <w:tc>
          <w:tcPr>
            <w:tcW w:w="1014"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114</w:t>
            </w:r>
          </w:p>
        </w:tc>
        <w:tc>
          <w:tcPr>
            <w:tcW w:w="1218"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23866</w:t>
            </w:r>
          </w:p>
        </w:tc>
        <w:tc>
          <w:tcPr>
            <w:tcW w:w="109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2506</w:t>
            </w:r>
          </w:p>
        </w:tc>
      </w:tr>
      <w:tr>
        <w:tblPrEx>
          <w:tblCellMar>
            <w:top w:w="0" w:type="dxa"/>
            <w:left w:w="108" w:type="dxa"/>
            <w:bottom w:w="0" w:type="dxa"/>
            <w:right w:w="108" w:type="dxa"/>
          </w:tblCellMar>
        </w:tblPrEx>
        <w:trPr>
          <w:trHeight w:val="315" w:hRule="atLeast"/>
          <w:jc w:val="center"/>
        </w:trPr>
        <w:tc>
          <w:tcPr>
            <w:tcW w:w="83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14</w:t>
            </w:r>
          </w:p>
        </w:tc>
        <w:tc>
          <w:tcPr>
            <w:tcW w:w="839"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生江镇</w:t>
            </w:r>
          </w:p>
        </w:tc>
        <w:tc>
          <w:tcPr>
            <w:tcW w:w="1014"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185</w:t>
            </w:r>
          </w:p>
        </w:tc>
        <w:tc>
          <w:tcPr>
            <w:tcW w:w="1218"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29390</w:t>
            </w:r>
          </w:p>
        </w:tc>
        <w:tc>
          <w:tcPr>
            <w:tcW w:w="109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3086</w:t>
            </w:r>
          </w:p>
        </w:tc>
      </w:tr>
      <w:tr>
        <w:tblPrEx>
          <w:tblCellMar>
            <w:top w:w="0" w:type="dxa"/>
            <w:left w:w="108" w:type="dxa"/>
            <w:bottom w:w="0" w:type="dxa"/>
            <w:right w:w="108" w:type="dxa"/>
          </w:tblCellMar>
        </w:tblPrEx>
        <w:trPr>
          <w:trHeight w:val="315" w:hRule="atLeast"/>
          <w:jc w:val="center"/>
        </w:trPr>
        <w:tc>
          <w:tcPr>
            <w:tcW w:w="83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15</w:t>
            </w:r>
          </w:p>
        </w:tc>
        <w:tc>
          <w:tcPr>
            <w:tcW w:w="839"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双东街道</w:t>
            </w:r>
          </w:p>
        </w:tc>
        <w:tc>
          <w:tcPr>
            <w:tcW w:w="1014"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67</w:t>
            </w:r>
          </w:p>
        </w:tc>
        <w:tc>
          <w:tcPr>
            <w:tcW w:w="1218"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19754</w:t>
            </w:r>
          </w:p>
        </w:tc>
        <w:tc>
          <w:tcPr>
            <w:tcW w:w="109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2074</w:t>
            </w:r>
          </w:p>
        </w:tc>
      </w:tr>
      <w:tr>
        <w:tblPrEx>
          <w:tblCellMar>
            <w:top w:w="0" w:type="dxa"/>
            <w:left w:w="108" w:type="dxa"/>
            <w:bottom w:w="0" w:type="dxa"/>
            <w:right w:w="108" w:type="dxa"/>
          </w:tblCellMar>
        </w:tblPrEx>
        <w:trPr>
          <w:trHeight w:val="315" w:hRule="atLeast"/>
          <w:jc w:val="center"/>
        </w:trPr>
        <w:tc>
          <w:tcPr>
            <w:tcW w:w="83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16</w:t>
            </w:r>
          </w:p>
        </w:tc>
        <w:tc>
          <w:tcPr>
            <w:tcW w:w="839"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泗纶镇</w:t>
            </w:r>
          </w:p>
        </w:tc>
        <w:tc>
          <w:tcPr>
            <w:tcW w:w="1014"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349</w:t>
            </w:r>
          </w:p>
        </w:tc>
        <w:tc>
          <w:tcPr>
            <w:tcW w:w="1218"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37075</w:t>
            </w:r>
          </w:p>
        </w:tc>
        <w:tc>
          <w:tcPr>
            <w:tcW w:w="109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3893</w:t>
            </w:r>
          </w:p>
        </w:tc>
      </w:tr>
      <w:tr>
        <w:tblPrEx>
          <w:tblCellMar>
            <w:top w:w="0" w:type="dxa"/>
            <w:left w:w="108" w:type="dxa"/>
            <w:bottom w:w="0" w:type="dxa"/>
            <w:right w:w="108" w:type="dxa"/>
          </w:tblCellMar>
        </w:tblPrEx>
        <w:trPr>
          <w:trHeight w:val="330" w:hRule="atLeast"/>
          <w:jc w:val="center"/>
        </w:trPr>
        <w:tc>
          <w:tcPr>
            <w:tcW w:w="83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17</w:t>
            </w:r>
          </w:p>
        </w:tc>
        <w:tc>
          <w:tcPr>
            <w:tcW w:w="839"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素龙街道</w:t>
            </w:r>
          </w:p>
        </w:tc>
        <w:tc>
          <w:tcPr>
            <w:tcW w:w="1014"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231</w:t>
            </w:r>
          </w:p>
        </w:tc>
        <w:tc>
          <w:tcPr>
            <w:tcW w:w="1218"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92496</w:t>
            </w:r>
          </w:p>
        </w:tc>
        <w:tc>
          <w:tcPr>
            <w:tcW w:w="109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9712</w:t>
            </w:r>
          </w:p>
        </w:tc>
      </w:tr>
      <w:tr>
        <w:tblPrEx>
          <w:tblCellMar>
            <w:top w:w="0" w:type="dxa"/>
            <w:left w:w="108" w:type="dxa"/>
            <w:bottom w:w="0" w:type="dxa"/>
            <w:right w:w="108" w:type="dxa"/>
          </w:tblCellMar>
        </w:tblPrEx>
        <w:trPr>
          <w:trHeight w:val="315" w:hRule="atLeast"/>
          <w:jc w:val="center"/>
        </w:trPr>
        <w:tc>
          <w:tcPr>
            <w:tcW w:w="83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18</w:t>
            </w:r>
          </w:p>
        </w:tc>
        <w:tc>
          <w:tcPr>
            <w:tcW w:w="839"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太平镇</w:t>
            </w:r>
          </w:p>
        </w:tc>
        <w:tc>
          <w:tcPr>
            <w:tcW w:w="1014"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153</w:t>
            </w:r>
          </w:p>
        </w:tc>
        <w:tc>
          <w:tcPr>
            <w:tcW w:w="1218"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45149</w:t>
            </w:r>
          </w:p>
        </w:tc>
        <w:tc>
          <w:tcPr>
            <w:tcW w:w="109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4741</w:t>
            </w:r>
          </w:p>
        </w:tc>
      </w:tr>
      <w:tr>
        <w:tblPrEx>
          <w:tblCellMar>
            <w:top w:w="0" w:type="dxa"/>
            <w:left w:w="108" w:type="dxa"/>
            <w:bottom w:w="0" w:type="dxa"/>
            <w:right w:w="108" w:type="dxa"/>
          </w:tblCellMar>
        </w:tblPrEx>
        <w:trPr>
          <w:trHeight w:val="315" w:hRule="atLeast"/>
          <w:jc w:val="center"/>
        </w:trPr>
        <w:tc>
          <w:tcPr>
            <w:tcW w:w="83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19</w:t>
            </w:r>
          </w:p>
        </w:tc>
        <w:tc>
          <w:tcPr>
            <w:tcW w:w="839"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榃滨镇</w:t>
            </w:r>
          </w:p>
        </w:tc>
        <w:tc>
          <w:tcPr>
            <w:tcW w:w="1014"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246</w:t>
            </w:r>
          </w:p>
        </w:tc>
        <w:tc>
          <w:tcPr>
            <w:tcW w:w="1218"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23089</w:t>
            </w:r>
          </w:p>
        </w:tc>
        <w:tc>
          <w:tcPr>
            <w:tcW w:w="109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2424</w:t>
            </w:r>
          </w:p>
        </w:tc>
      </w:tr>
      <w:tr>
        <w:tblPrEx>
          <w:tblCellMar>
            <w:top w:w="0" w:type="dxa"/>
            <w:left w:w="108" w:type="dxa"/>
            <w:bottom w:w="0" w:type="dxa"/>
            <w:right w:w="108" w:type="dxa"/>
          </w:tblCellMar>
        </w:tblPrEx>
        <w:trPr>
          <w:trHeight w:val="315" w:hRule="atLeast"/>
          <w:jc w:val="center"/>
        </w:trPr>
        <w:tc>
          <w:tcPr>
            <w:tcW w:w="83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20</w:t>
            </w:r>
          </w:p>
        </w:tc>
        <w:tc>
          <w:tcPr>
            <w:tcW w:w="839"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围底镇</w:t>
            </w:r>
          </w:p>
        </w:tc>
        <w:tc>
          <w:tcPr>
            <w:tcW w:w="1014"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77</w:t>
            </w:r>
          </w:p>
        </w:tc>
        <w:tc>
          <w:tcPr>
            <w:tcW w:w="1218"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35884</w:t>
            </w:r>
          </w:p>
        </w:tc>
        <w:tc>
          <w:tcPr>
            <w:tcW w:w="109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3768</w:t>
            </w:r>
          </w:p>
        </w:tc>
      </w:tr>
      <w:tr>
        <w:tblPrEx>
          <w:tblCellMar>
            <w:top w:w="0" w:type="dxa"/>
            <w:left w:w="108" w:type="dxa"/>
            <w:bottom w:w="0" w:type="dxa"/>
            <w:right w:w="108" w:type="dxa"/>
          </w:tblCellMar>
        </w:tblPrEx>
        <w:trPr>
          <w:trHeight w:val="315" w:hRule="atLeast"/>
          <w:jc w:val="center"/>
        </w:trPr>
        <w:tc>
          <w:tcPr>
            <w:tcW w:w="1672" w:type="pct"/>
            <w:gridSpan w:val="2"/>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合计</w:t>
            </w:r>
          </w:p>
        </w:tc>
        <w:tc>
          <w:tcPr>
            <w:tcW w:w="1014"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3748</w:t>
            </w:r>
          </w:p>
        </w:tc>
        <w:tc>
          <w:tcPr>
            <w:tcW w:w="1218"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700462</w:t>
            </w:r>
          </w:p>
        </w:tc>
        <w:tc>
          <w:tcPr>
            <w:tcW w:w="1093" w:type="pct"/>
            <w:tcBorders>
              <w:top w:val="nil"/>
              <w:left w:val="single" w:color="000000" w:sz="8" w:space="0"/>
              <w:bottom w:val="single" w:color="000000" w:sz="8" w:space="0"/>
              <w:right w:val="single" w:color="000000" w:sz="8" w:space="0"/>
            </w:tcBorders>
            <w:shd w:val="clear" w:color="auto" w:fill="auto"/>
          </w:tcPr>
          <w:p>
            <w:pPr>
              <w:spacing w:line="460" w:lineRule="exact"/>
              <w:jc w:val="center"/>
              <w:rPr>
                <w:rFonts w:ascii="宋体" w:hAnsi="宋体" w:eastAsia="宋体" w:cs="宋体"/>
                <w:color w:val="auto"/>
                <w:sz w:val="21"/>
                <w:szCs w:val="21"/>
              </w:rPr>
            </w:pPr>
            <w:r>
              <w:rPr>
                <w:rFonts w:hint="eastAsia" w:ascii="宋体" w:hAnsi="宋体" w:eastAsia="宋体" w:cs="宋体"/>
                <w:color w:val="auto"/>
                <w:sz w:val="21"/>
                <w:szCs w:val="21"/>
              </w:rPr>
              <w:t>73549</w:t>
            </w:r>
          </w:p>
        </w:tc>
      </w:tr>
    </w:tbl>
    <w:p>
      <w:pPr>
        <w:widowControl/>
        <w:spacing w:line="500" w:lineRule="exact"/>
        <w:ind w:firstLine="448" w:firstLineChars="200"/>
        <w:jc w:val="both"/>
        <w:rPr>
          <w:rFonts w:asciiTheme="minorEastAsia" w:hAnsiTheme="minorEastAsia" w:eastAsiaTheme="minorEastAsia" w:cstheme="minorEastAsia"/>
          <w:color w:val="auto"/>
          <w:spacing w:val="-8"/>
          <w:sz w:val="24"/>
          <w:szCs w:val="24"/>
          <w:lang w:val="en-US"/>
        </w:rPr>
      </w:pPr>
      <w:r>
        <w:rPr>
          <w:rFonts w:hint="eastAsia" w:asciiTheme="minorEastAsia" w:hAnsiTheme="minorEastAsia" w:eastAsiaTheme="minorEastAsia" w:cstheme="minorEastAsia"/>
          <w:color w:val="auto"/>
          <w:spacing w:val="-8"/>
          <w:sz w:val="24"/>
          <w:szCs w:val="24"/>
          <w:lang w:val="en-US"/>
        </w:rPr>
        <w:t>3、小计</w:t>
      </w:r>
    </w:p>
    <w:p>
      <w:pPr>
        <w:widowControl/>
        <w:spacing w:line="500" w:lineRule="exact"/>
        <w:ind w:firstLine="448" w:firstLineChars="200"/>
        <w:jc w:val="both"/>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lang w:val="en-US"/>
        </w:rPr>
        <w:t>基准年水费=污水费×污水量=2.5×73549×365=6711万元/年，债券存续期内污水排污收费逐年按3%进行递增。</w:t>
      </w:r>
    </w:p>
    <w:p>
      <w:pPr>
        <w:widowControl/>
        <w:spacing w:line="500" w:lineRule="exact"/>
        <w:ind w:firstLine="448" w:firstLineChars="200"/>
        <w:jc w:val="both"/>
        <w:rPr>
          <w:rFonts w:asciiTheme="minorEastAsia" w:hAnsiTheme="minorEastAsia" w:eastAsiaTheme="minorEastAsia" w:cstheme="minorEastAsia"/>
          <w:color w:val="auto"/>
          <w:spacing w:val="-8"/>
          <w:sz w:val="24"/>
          <w:szCs w:val="24"/>
          <w:lang w:val="en-US"/>
        </w:rPr>
      </w:pPr>
      <w:r>
        <w:rPr>
          <w:rFonts w:hint="eastAsia" w:asciiTheme="minorEastAsia" w:hAnsiTheme="minorEastAsia" w:eastAsiaTheme="minorEastAsia" w:cstheme="minorEastAsia"/>
          <w:color w:val="auto"/>
          <w:spacing w:val="-8"/>
          <w:sz w:val="24"/>
          <w:szCs w:val="24"/>
          <w:lang w:val="en-US"/>
        </w:rPr>
        <w:t>（2）市财政补贴、省级政府补贴资金</w:t>
      </w:r>
    </w:p>
    <w:p>
      <w:pPr>
        <w:widowControl/>
        <w:spacing w:line="500" w:lineRule="exact"/>
        <w:ind w:firstLine="448" w:firstLineChars="200"/>
        <w:jc w:val="both"/>
        <w:rPr>
          <w:rFonts w:asciiTheme="minorEastAsia" w:hAnsiTheme="minorEastAsia" w:eastAsiaTheme="minorEastAsia" w:cstheme="minorEastAsia"/>
          <w:color w:val="auto"/>
          <w:spacing w:val="-8"/>
          <w:sz w:val="24"/>
          <w:szCs w:val="24"/>
          <w:lang w:val="en-US"/>
        </w:rPr>
      </w:pPr>
      <w:r>
        <w:rPr>
          <w:rFonts w:hint="eastAsia" w:asciiTheme="minorEastAsia" w:hAnsiTheme="minorEastAsia" w:eastAsiaTheme="minorEastAsia" w:cstheme="minorEastAsia"/>
          <w:color w:val="auto"/>
          <w:spacing w:val="-8"/>
          <w:sz w:val="24"/>
          <w:szCs w:val="24"/>
          <w:lang w:val="en-US"/>
        </w:rPr>
        <w:t>由于本项目为基础设施建设，以服务于社会为主要目的，故本项目建设并无显著的直接投资受益，故当地财政在本项目建设期每年拨款500万元用于项目前期建设支出补助收入，拨款至2026年止。</w:t>
      </w:r>
    </w:p>
    <w:p>
      <w:pPr>
        <w:pStyle w:val="10"/>
        <w:spacing w:line="500" w:lineRule="exact"/>
        <w:ind w:firstLine="448" w:firstLineChars="200"/>
        <w:jc w:val="both"/>
        <w:rPr>
          <w:rFonts w:asciiTheme="minorEastAsia" w:hAnsiTheme="minorEastAsia" w:eastAsiaTheme="minorEastAsia" w:cstheme="minorEastAsia"/>
          <w:color w:val="auto"/>
          <w:sz w:val="24"/>
          <w:szCs w:val="24"/>
          <w:lang w:val="en-US"/>
        </w:rPr>
      </w:pPr>
      <w:r>
        <w:rPr>
          <w:rFonts w:hint="eastAsia" w:asciiTheme="minorEastAsia" w:hAnsiTheme="minorEastAsia" w:eastAsiaTheme="minorEastAsia" w:cstheme="minorEastAsia"/>
          <w:color w:val="auto"/>
          <w:spacing w:val="-8"/>
          <w:sz w:val="24"/>
          <w:szCs w:val="24"/>
          <w:lang w:val="en-US"/>
        </w:rPr>
        <w:t xml:space="preserve">本项目也同时获取省财政厅资金补助，按每年1000万进行计算，拨款至2026年止。     </w:t>
      </w:r>
    </w:p>
    <w:p>
      <w:pPr>
        <w:pStyle w:val="2"/>
        <w:numPr>
          <w:ilvl w:val="0"/>
          <w:numId w:val="0"/>
        </w:numPr>
        <w:tabs>
          <w:tab w:val="left" w:pos="1016"/>
        </w:tabs>
        <w:spacing w:before="0" w:line="500" w:lineRule="exact"/>
        <w:ind w:leftChars="0"/>
        <w:jc w:val="both"/>
        <w:rPr>
          <w:rFonts w:asciiTheme="minorEastAsia" w:hAnsiTheme="minorEastAsia" w:eastAsiaTheme="minorEastAsia" w:cstheme="minorEastAsia"/>
          <w:color w:val="auto"/>
          <w:sz w:val="24"/>
          <w:szCs w:val="24"/>
        </w:rPr>
      </w:pPr>
      <w:bookmarkStart w:id="213" w:name="_Toc2685"/>
      <w:r>
        <w:rPr>
          <w:rFonts w:hint="eastAsia" w:asciiTheme="minorEastAsia" w:hAnsiTheme="minorEastAsia" w:eastAsiaTheme="minorEastAsia" w:cstheme="minorEastAsia"/>
          <w:color w:val="auto"/>
          <w:sz w:val="24"/>
          <w:szCs w:val="24"/>
          <w:lang w:val="en-US" w:eastAsia="zh-CN"/>
        </w:rPr>
        <w:t>15.4</w:t>
      </w:r>
      <w:r>
        <w:rPr>
          <w:rFonts w:hint="eastAsia" w:asciiTheme="minorEastAsia" w:hAnsiTheme="minorEastAsia" w:eastAsiaTheme="minorEastAsia" w:cstheme="minorEastAsia"/>
          <w:color w:val="auto"/>
          <w:sz w:val="24"/>
          <w:szCs w:val="24"/>
          <w:lang w:val="en-US"/>
        </w:rPr>
        <w:t>国民经济评价</w:t>
      </w:r>
      <w:bookmarkEnd w:id="213"/>
    </w:p>
    <w:p>
      <w:pPr>
        <w:pStyle w:val="32"/>
        <w:numPr>
          <w:ilvl w:val="1"/>
          <w:numId w:val="97"/>
        </w:numPr>
        <w:tabs>
          <w:tab w:val="left" w:pos="1460"/>
        </w:tabs>
        <w:spacing w:line="500" w:lineRule="exact"/>
        <w:jc w:val="both"/>
        <w:rPr>
          <w:rFonts w:asciiTheme="minorEastAsia" w:hAnsiTheme="minorEastAsia" w:eastAsiaTheme="minorEastAsia" w:cstheme="minorEastAsia"/>
          <w:b/>
          <w:bCs/>
          <w:vanish/>
          <w:color w:val="auto"/>
          <w:spacing w:val="-11"/>
          <w:sz w:val="24"/>
          <w:szCs w:val="24"/>
        </w:rPr>
      </w:pPr>
    </w:p>
    <w:p>
      <w:pPr>
        <w:pStyle w:val="32"/>
        <w:numPr>
          <w:ilvl w:val="1"/>
          <w:numId w:val="97"/>
        </w:numPr>
        <w:tabs>
          <w:tab w:val="left" w:pos="1460"/>
        </w:tabs>
        <w:spacing w:line="500" w:lineRule="exact"/>
        <w:jc w:val="both"/>
        <w:rPr>
          <w:rFonts w:asciiTheme="minorEastAsia" w:hAnsiTheme="minorEastAsia" w:eastAsiaTheme="minorEastAsia" w:cstheme="minorEastAsia"/>
          <w:b/>
          <w:bCs/>
          <w:vanish/>
          <w:color w:val="auto"/>
          <w:spacing w:val="-11"/>
          <w:sz w:val="24"/>
          <w:szCs w:val="24"/>
        </w:rPr>
      </w:pPr>
    </w:p>
    <w:p>
      <w:pPr>
        <w:pStyle w:val="32"/>
        <w:numPr>
          <w:ilvl w:val="2"/>
          <w:numId w:val="0"/>
        </w:numPr>
        <w:tabs>
          <w:tab w:val="left" w:pos="1460"/>
        </w:tabs>
        <w:spacing w:line="500" w:lineRule="exact"/>
        <w:ind w:left="547" w:leftChars="0"/>
        <w:jc w:val="both"/>
        <w:rPr>
          <w:rFonts w:asciiTheme="minorEastAsia" w:hAnsiTheme="minorEastAsia" w:eastAsiaTheme="minorEastAsia" w:cstheme="minorEastAsia"/>
          <w:b/>
          <w:bCs/>
          <w:color w:val="auto"/>
          <w:spacing w:val="-11"/>
          <w:sz w:val="24"/>
          <w:szCs w:val="24"/>
        </w:rPr>
      </w:pPr>
      <w:r>
        <w:rPr>
          <w:rFonts w:hint="eastAsia" w:asciiTheme="minorEastAsia" w:hAnsiTheme="minorEastAsia" w:eastAsiaTheme="minorEastAsia" w:cstheme="minorEastAsia"/>
          <w:b/>
          <w:bCs/>
          <w:color w:val="auto"/>
          <w:spacing w:val="-11"/>
          <w:sz w:val="24"/>
          <w:szCs w:val="24"/>
          <w:lang w:val="en-US" w:eastAsia="zh-CN"/>
        </w:rPr>
        <w:t>15.4.1</w:t>
      </w:r>
      <w:r>
        <w:rPr>
          <w:rFonts w:hint="eastAsia" w:asciiTheme="minorEastAsia" w:hAnsiTheme="minorEastAsia" w:eastAsiaTheme="minorEastAsia" w:cstheme="minorEastAsia"/>
          <w:b/>
          <w:bCs/>
          <w:color w:val="auto"/>
          <w:spacing w:val="-11"/>
          <w:sz w:val="24"/>
          <w:szCs w:val="24"/>
        </w:rPr>
        <w:t>资金筹措</w:t>
      </w:r>
    </w:p>
    <w:p>
      <w:pPr>
        <w:pStyle w:val="10"/>
        <w:spacing w:line="500" w:lineRule="exact"/>
        <w:ind w:firstLine="448" w:firstLineChars="200"/>
        <w:jc w:val="both"/>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rPr>
        <w:t>本项目作为农村生活污水治理设施，属于政府负有提供责任又适宜市场化运作的公共服务、基础设施类项目。项目资金来源于地方财政资金或申请上级专项补助资金（如国债）。</w:t>
      </w:r>
    </w:p>
    <w:p>
      <w:pPr>
        <w:pStyle w:val="32"/>
        <w:numPr>
          <w:ilvl w:val="2"/>
          <w:numId w:val="0"/>
        </w:numPr>
        <w:tabs>
          <w:tab w:val="left" w:pos="1460"/>
        </w:tabs>
        <w:spacing w:line="500" w:lineRule="exact"/>
        <w:ind w:left="547" w:leftChars="0"/>
        <w:jc w:val="both"/>
        <w:rPr>
          <w:rFonts w:asciiTheme="minorEastAsia" w:hAnsiTheme="minorEastAsia" w:eastAsiaTheme="minorEastAsia" w:cstheme="minorEastAsia"/>
          <w:b/>
          <w:bCs/>
          <w:color w:val="auto"/>
          <w:spacing w:val="-11"/>
          <w:sz w:val="24"/>
          <w:szCs w:val="24"/>
        </w:rPr>
      </w:pPr>
      <w:r>
        <w:rPr>
          <w:rFonts w:hint="eastAsia" w:asciiTheme="minorEastAsia" w:hAnsiTheme="minorEastAsia" w:eastAsiaTheme="minorEastAsia" w:cstheme="minorEastAsia"/>
          <w:b/>
          <w:bCs/>
          <w:color w:val="auto"/>
          <w:spacing w:val="-11"/>
          <w:sz w:val="24"/>
          <w:szCs w:val="24"/>
          <w:lang w:val="en-US" w:eastAsia="zh-CN"/>
        </w:rPr>
        <w:t>15.4.2</w:t>
      </w:r>
      <w:r>
        <w:rPr>
          <w:rFonts w:hint="eastAsia" w:asciiTheme="minorEastAsia" w:hAnsiTheme="minorEastAsia" w:eastAsiaTheme="minorEastAsia" w:cstheme="minorEastAsia"/>
          <w:b/>
          <w:bCs/>
          <w:color w:val="auto"/>
          <w:spacing w:val="-11"/>
          <w:sz w:val="24"/>
          <w:szCs w:val="24"/>
        </w:rPr>
        <w:t>国民经济评价指标</w:t>
      </w:r>
    </w:p>
    <w:p>
      <w:pPr>
        <w:pStyle w:val="10"/>
        <w:spacing w:line="500" w:lineRule="exact"/>
        <w:ind w:firstLine="448" w:firstLineChars="200"/>
        <w:jc w:val="both"/>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rPr>
        <w:t>本项目国民经济评价指标见表</w:t>
      </w:r>
      <w:r>
        <w:rPr>
          <w:rFonts w:asciiTheme="minorEastAsia" w:hAnsiTheme="minorEastAsia" w:eastAsiaTheme="minorEastAsia" w:cstheme="minorEastAsia"/>
          <w:color w:val="auto"/>
          <w:spacing w:val="-8"/>
          <w:sz w:val="24"/>
          <w:szCs w:val="24"/>
        </w:rPr>
        <w:t>1</w:t>
      </w:r>
      <w:r>
        <w:rPr>
          <w:rFonts w:hint="eastAsia" w:asciiTheme="minorEastAsia" w:hAnsiTheme="minorEastAsia" w:eastAsiaTheme="minorEastAsia" w:cstheme="minorEastAsia"/>
          <w:color w:val="auto"/>
          <w:spacing w:val="-8"/>
          <w:sz w:val="24"/>
          <w:szCs w:val="24"/>
          <w:lang w:val="en-US" w:eastAsia="zh-CN"/>
        </w:rPr>
        <w:t>5</w:t>
      </w:r>
      <w:r>
        <w:rPr>
          <w:rFonts w:asciiTheme="minorEastAsia" w:hAnsiTheme="minorEastAsia" w:eastAsiaTheme="minorEastAsia" w:cstheme="minorEastAsia"/>
          <w:color w:val="auto"/>
          <w:spacing w:val="-8"/>
          <w:sz w:val="24"/>
          <w:szCs w:val="24"/>
        </w:rPr>
        <w:t>.4-1</w:t>
      </w:r>
      <w:r>
        <w:rPr>
          <w:rFonts w:hint="eastAsia" w:asciiTheme="minorEastAsia" w:hAnsiTheme="minorEastAsia" w:eastAsiaTheme="minorEastAsia" w:cstheme="minorEastAsia"/>
          <w:color w:val="auto"/>
          <w:spacing w:val="-8"/>
          <w:sz w:val="24"/>
          <w:szCs w:val="24"/>
        </w:rPr>
        <w:t>。</w:t>
      </w:r>
    </w:p>
    <w:p>
      <w:pPr>
        <w:spacing w:line="500" w:lineRule="exact"/>
        <w:ind w:firstLine="422" w:firstLineChars="200"/>
        <w:jc w:val="center"/>
        <w:rPr>
          <w:rFonts w:ascii="Times New Roman" w:hAnsi="Times New Roman" w:eastAsia="宋体" w:cs="Times New Roman"/>
          <w:b/>
          <w:bCs/>
          <w:iCs/>
          <w:color w:val="auto"/>
          <w:sz w:val="21"/>
          <w:szCs w:val="20"/>
        </w:rPr>
      </w:pPr>
      <w:r>
        <w:rPr>
          <w:rFonts w:hint="eastAsia" w:ascii="Times New Roman" w:hAnsi="Times New Roman" w:eastAsia="宋体" w:cs="Times New Roman"/>
          <w:b/>
          <w:bCs/>
          <w:iCs/>
          <w:color w:val="auto"/>
          <w:sz w:val="21"/>
          <w:szCs w:val="20"/>
        </w:rPr>
        <w:t>表1</w:t>
      </w:r>
      <w:r>
        <w:rPr>
          <w:rFonts w:hint="eastAsia" w:ascii="Times New Roman" w:hAnsi="Times New Roman" w:eastAsia="宋体" w:cs="Times New Roman"/>
          <w:b/>
          <w:bCs/>
          <w:iCs/>
          <w:color w:val="auto"/>
          <w:sz w:val="21"/>
          <w:szCs w:val="20"/>
          <w:lang w:val="en-US" w:eastAsia="zh-CN"/>
        </w:rPr>
        <w:t>5</w:t>
      </w:r>
      <w:r>
        <w:rPr>
          <w:rFonts w:ascii="Times New Roman" w:hAnsi="Times New Roman" w:eastAsia="宋体" w:cs="Times New Roman"/>
          <w:b/>
          <w:bCs/>
          <w:iCs/>
          <w:color w:val="auto"/>
          <w:sz w:val="21"/>
          <w:szCs w:val="20"/>
        </w:rPr>
        <w:t>.4</w:t>
      </w:r>
      <w:r>
        <w:rPr>
          <w:rFonts w:hint="eastAsia" w:ascii="Times New Roman" w:hAnsi="Times New Roman" w:eastAsia="宋体" w:cs="Times New Roman"/>
          <w:b/>
          <w:bCs/>
          <w:iCs/>
          <w:color w:val="auto"/>
          <w:sz w:val="21"/>
          <w:szCs w:val="20"/>
        </w:rPr>
        <w:t xml:space="preserve">-1 </w:t>
      </w:r>
      <w:r>
        <w:rPr>
          <w:rFonts w:hint="eastAsia" w:ascii="Times New Roman" w:hAnsi="Times New Roman" w:eastAsia="宋体" w:cs="Times New Roman"/>
          <w:b/>
          <w:bCs/>
          <w:iCs/>
          <w:color w:val="auto"/>
          <w:sz w:val="21"/>
          <w:szCs w:val="20"/>
          <w:lang w:val="en-US"/>
        </w:rPr>
        <w:t xml:space="preserve"> </w:t>
      </w:r>
      <w:r>
        <w:rPr>
          <w:rFonts w:hint="eastAsia" w:ascii="Times New Roman" w:hAnsi="Times New Roman" w:eastAsia="宋体" w:cs="Times New Roman"/>
          <w:b/>
          <w:bCs/>
          <w:iCs/>
          <w:color w:val="auto"/>
          <w:sz w:val="21"/>
          <w:szCs w:val="20"/>
        </w:rPr>
        <w:t>国民经济评价成果表</w:t>
      </w:r>
    </w:p>
    <w:tbl>
      <w:tblPr>
        <w:tblStyle w:val="27"/>
        <w:tblW w:w="83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3240"/>
        <w:gridCol w:w="1535"/>
        <w:gridCol w:w="35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240" w:type="dxa"/>
            <w:tcBorders>
              <w:top w:val="single" w:color="auto" w:sz="4" w:space="0"/>
              <w:left w:val="single" w:color="auto" w:sz="4" w:space="0"/>
              <w:bottom w:val="single" w:color="auto" w:sz="4" w:space="0"/>
              <w:right w:val="single" w:color="auto" w:sz="4" w:space="0"/>
            </w:tcBorders>
            <w:vAlign w:val="center"/>
          </w:tcPr>
          <w:p>
            <w:pPr>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项目</w:t>
            </w:r>
          </w:p>
        </w:tc>
        <w:tc>
          <w:tcPr>
            <w:tcW w:w="1535" w:type="dxa"/>
            <w:tcBorders>
              <w:top w:val="single" w:color="auto" w:sz="4" w:space="0"/>
              <w:left w:val="single" w:color="auto" w:sz="4" w:space="0"/>
              <w:bottom w:val="single" w:color="auto" w:sz="4" w:space="0"/>
              <w:right w:val="single" w:color="auto" w:sz="4" w:space="0"/>
            </w:tcBorders>
            <w:vAlign w:val="center"/>
          </w:tcPr>
          <w:p>
            <w:pPr>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单位</w:t>
            </w:r>
          </w:p>
        </w:tc>
        <w:tc>
          <w:tcPr>
            <w:tcW w:w="3587" w:type="dxa"/>
            <w:tcBorders>
              <w:top w:val="single" w:color="auto" w:sz="4" w:space="0"/>
              <w:left w:val="single" w:color="auto" w:sz="4" w:space="0"/>
              <w:bottom w:val="single" w:color="auto" w:sz="4" w:space="0"/>
              <w:right w:val="single" w:color="auto" w:sz="4" w:space="0"/>
            </w:tcBorders>
            <w:vAlign w:val="center"/>
          </w:tcPr>
          <w:p>
            <w:pPr>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240" w:type="dxa"/>
            <w:tcBorders>
              <w:top w:val="single" w:color="auto" w:sz="4" w:space="0"/>
              <w:left w:val="single" w:color="auto" w:sz="4" w:space="0"/>
              <w:bottom w:val="single" w:color="auto" w:sz="4" w:space="0"/>
              <w:right w:val="single" w:color="auto" w:sz="4" w:space="0"/>
            </w:tcBorders>
            <w:vAlign w:val="center"/>
          </w:tcPr>
          <w:p>
            <w:pPr>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经济内部收益率EIRR</w:t>
            </w:r>
          </w:p>
        </w:tc>
        <w:tc>
          <w:tcPr>
            <w:tcW w:w="1535" w:type="dxa"/>
            <w:tcBorders>
              <w:top w:val="single" w:color="auto" w:sz="4" w:space="0"/>
              <w:left w:val="single" w:color="auto" w:sz="4" w:space="0"/>
              <w:bottom w:val="single" w:color="auto" w:sz="4" w:space="0"/>
              <w:right w:val="single" w:color="auto" w:sz="4" w:space="0"/>
            </w:tcBorders>
            <w:vAlign w:val="center"/>
          </w:tcPr>
          <w:p>
            <w:pPr>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w:t>
            </w:r>
          </w:p>
        </w:tc>
        <w:tc>
          <w:tcPr>
            <w:tcW w:w="3587" w:type="dxa"/>
            <w:tcBorders>
              <w:top w:val="single" w:color="auto" w:sz="4" w:space="0"/>
              <w:left w:val="single" w:color="auto" w:sz="4" w:space="0"/>
              <w:bottom w:val="single" w:color="auto" w:sz="4" w:space="0"/>
              <w:right w:val="single" w:color="auto" w:sz="4" w:space="0"/>
            </w:tcBorders>
            <w:vAlign w:val="center"/>
          </w:tcPr>
          <w:p>
            <w:pPr>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lang w:val="en-US" w:eastAsia="zh-CN"/>
              </w:rPr>
              <w:t>12.65</w:t>
            </w:r>
            <w:r>
              <w:rPr>
                <w:rFonts w:hint="eastAsia" w:asciiTheme="minorEastAsia" w:hAnsiTheme="minorEastAsia" w:eastAsiaTheme="minorEastAsia" w:cstheme="minorEastAsia"/>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240" w:type="dxa"/>
            <w:tcBorders>
              <w:top w:val="single" w:color="auto" w:sz="4" w:space="0"/>
              <w:left w:val="single" w:color="auto" w:sz="4" w:space="0"/>
              <w:bottom w:val="single" w:color="auto" w:sz="4" w:space="0"/>
              <w:right w:val="single" w:color="auto" w:sz="4" w:space="0"/>
            </w:tcBorders>
            <w:vAlign w:val="center"/>
          </w:tcPr>
          <w:p>
            <w:pPr>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经济净现值ENPV（i=6%）</w:t>
            </w:r>
          </w:p>
        </w:tc>
        <w:tc>
          <w:tcPr>
            <w:tcW w:w="1535" w:type="dxa"/>
            <w:tcBorders>
              <w:top w:val="single" w:color="auto" w:sz="4" w:space="0"/>
              <w:left w:val="single" w:color="auto" w:sz="4" w:space="0"/>
              <w:bottom w:val="single" w:color="auto" w:sz="4" w:space="0"/>
              <w:right w:val="single" w:color="auto" w:sz="4" w:space="0"/>
            </w:tcBorders>
            <w:vAlign w:val="center"/>
          </w:tcPr>
          <w:p>
            <w:pPr>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万元</w:t>
            </w:r>
          </w:p>
        </w:tc>
        <w:tc>
          <w:tcPr>
            <w:tcW w:w="3587" w:type="dxa"/>
            <w:tcBorders>
              <w:top w:val="single" w:color="auto" w:sz="4" w:space="0"/>
              <w:left w:val="single" w:color="auto" w:sz="4" w:space="0"/>
              <w:bottom w:val="single" w:color="auto" w:sz="4" w:space="0"/>
              <w:right w:val="single" w:color="auto" w:sz="4" w:space="0"/>
            </w:tcBorders>
            <w:vAlign w:val="center"/>
          </w:tcPr>
          <w:p>
            <w:pPr>
              <w:spacing w:line="500" w:lineRule="exact"/>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eastAsia="zh-CN"/>
              </w:rPr>
              <w:t>46688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240" w:type="dxa"/>
            <w:tcBorders>
              <w:top w:val="single" w:color="auto" w:sz="4" w:space="0"/>
              <w:left w:val="single" w:color="auto" w:sz="4" w:space="0"/>
              <w:bottom w:val="single" w:color="auto" w:sz="4" w:space="0"/>
              <w:right w:val="single" w:color="auto" w:sz="4" w:space="0"/>
            </w:tcBorders>
            <w:vAlign w:val="center"/>
          </w:tcPr>
          <w:p>
            <w:pPr>
              <w:spacing w:line="500" w:lineRule="exact"/>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经济效益费用比EB</w:t>
            </w:r>
          </w:p>
        </w:tc>
        <w:tc>
          <w:tcPr>
            <w:tcW w:w="1535" w:type="dxa"/>
            <w:tcBorders>
              <w:top w:val="single" w:color="auto" w:sz="4" w:space="0"/>
              <w:left w:val="single" w:color="auto" w:sz="4" w:space="0"/>
              <w:bottom w:val="single" w:color="auto" w:sz="4" w:space="0"/>
              <w:right w:val="single" w:color="auto" w:sz="4" w:space="0"/>
            </w:tcBorders>
            <w:vAlign w:val="center"/>
          </w:tcPr>
          <w:p>
            <w:pPr>
              <w:spacing w:line="500" w:lineRule="exact"/>
              <w:jc w:val="center"/>
              <w:rPr>
                <w:rFonts w:asciiTheme="minorEastAsia" w:hAnsiTheme="minorEastAsia" w:eastAsiaTheme="minorEastAsia" w:cstheme="minorEastAsia"/>
                <w:color w:val="auto"/>
                <w:sz w:val="21"/>
                <w:szCs w:val="21"/>
                <w:highlight w:val="none"/>
              </w:rPr>
            </w:pPr>
          </w:p>
        </w:tc>
        <w:tc>
          <w:tcPr>
            <w:tcW w:w="3587" w:type="dxa"/>
            <w:tcBorders>
              <w:top w:val="single" w:color="auto" w:sz="4" w:space="0"/>
              <w:left w:val="single" w:color="auto" w:sz="4" w:space="0"/>
              <w:bottom w:val="single" w:color="auto" w:sz="4" w:space="0"/>
              <w:right w:val="single" w:color="auto" w:sz="4" w:space="0"/>
            </w:tcBorders>
            <w:vAlign w:val="center"/>
          </w:tcPr>
          <w:p>
            <w:pPr>
              <w:spacing w:line="500" w:lineRule="exact"/>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eastAsia="zh-CN"/>
              </w:rPr>
              <w:t>2.18</w:t>
            </w:r>
          </w:p>
        </w:tc>
      </w:tr>
    </w:tbl>
    <w:p>
      <w:pPr>
        <w:tabs>
          <w:tab w:val="left" w:pos="1460"/>
        </w:tabs>
        <w:spacing w:line="500" w:lineRule="exact"/>
        <w:ind w:left="567"/>
        <w:jc w:val="both"/>
        <w:rPr>
          <w:rFonts w:asciiTheme="minorEastAsia" w:hAnsiTheme="minorEastAsia" w:eastAsiaTheme="minorEastAsia" w:cstheme="minorEastAsia"/>
          <w:b/>
          <w:bCs/>
          <w:color w:val="auto"/>
          <w:spacing w:val="-11"/>
          <w:sz w:val="24"/>
          <w:szCs w:val="24"/>
          <w:lang w:val="en-US"/>
        </w:rPr>
      </w:pPr>
    </w:p>
    <w:p>
      <w:pPr>
        <w:pStyle w:val="32"/>
        <w:numPr>
          <w:ilvl w:val="2"/>
          <w:numId w:val="0"/>
        </w:numPr>
        <w:tabs>
          <w:tab w:val="left" w:pos="1460"/>
        </w:tabs>
        <w:spacing w:line="500" w:lineRule="exact"/>
        <w:ind w:left="547" w:leftChars="0"/>
        <w:jc w:val="both"/>
        <w:rPr>
          <w:rFonts w:asciiTheme="minorEastAsia" w:hAnsiTheme="minorEastAsia" w:eastAsiaTheme="minorEastAsia" w:cstheme="minorEastAsia"/>
          <w:b/>
          <w:bCs/>
          <w:color w:val="auto"/>
          <w:spacing w:val="-11"/>
          <w:sz w:val="24"/>
          <w:szCs w:val="24"/>
        </w:rPr>
      </w:pPr>
      <w:r>
        <w:rPr>
          <w:rFonts w:hint="eastAsia" w:asciiTheme="minorEastAsia" w:hAnsiTheme="minorEastAsia" w:eastAsiaTheme="minorEastAsia" w:cstheme="minorEastAsia"/>
          <w:b/>
          <w:bCs/>
          <w:color w:val="auto"/>
          <w:spacing w:val="-11"/>
          <w:sz w:val="24"/>
          <w:szCs w:val="24"/>
          <w:lang w:val="en-US" w:eastAsia="zh-CN"/>
        </w:rPr>
        <w:t>15.4.3</w:t>
      </w:r>
      <w:r>
        <w:rPr>
          <w:rFonts w:hint="eastAsia" w:asciiTheme="minorEastAsia" w:hAnsiTheme="minorEastAsia" w:eastAsiaTheme="minorEastAsia" w:cstheme="minorEastAsia"/>
          <w:b/>
          <w:bCs/>
          <w:color w:val="auto"/>
          <w:spacing w:val="-11"/>
          <w:sz w:val="24"/>
          <w:szCs w:val="24"/>
        </w:rPr>
        <w:t>经济敏感性分析</w:t>
      </w:r>
    </w:p>
    <w:p>
      <w:pPr>
        <w:pStyle w:val="10"/>
        <w:spacing w:line="500" w:lineRule="exact"/>
        <w:ind w:firstLine="448" w:firstLineChars="200"/>
        <w:jc w:val="both"/>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rPr>
        <w:t>对固定资产投资加减10%与效益加减10%四个因素单独进行计算，测算其对国民经济主要评价指标的影响，成果见表</w:t>
      </w:r>
      <w:r>
        <w:rPr>
          <w:rFonts w:asciiTheme="minorEastAsia" w:hAnsiTheme="minorEastAsia" w:eastAsiaTheme="minorEastAsia" w:cstheme="minorEastAsia"/>
          <w:color w:val="auto"/>
          <w:spacing w:val="-8"/>
          <w:sz w:val="24"/>
          <w:szCs w:val="24"/>
        </w:rPr>
        <w:t>15.4-2</w:t>
      </w:r>
      <w:r>
        <w:rPr>
          <w:rFonts w:hint="eastAsia" w:asciiTheme="minorEastAsia" w:hAnsiTheme="minorEastAsia" w:eastAsiaTheme="minorEastAsia" w:cstheme="minorEastAsia"/>
          <w:color w:val="auto"/>
          <w:spacing w:val="-8"/>
          <w:sz w:val="24"/>
          <w:szCs w:val="24"/>
        </w:rPr>
        <w:t>。</w:t>
      </w:r>
    </w:p>
    <w:p>
      <w:pPr>
        <w:widowControl/>
        <w:spacing w:line="500" w:lineRule="exact"/>
        <w:ind w:firstLine="482" w:firstLineChars="200"/>
        <w:jc w:val="center"/>
        <w:rPr>
          <w:rFonts w:asciiTheme="minorEastAsia" w:hAnsiTheme="minorEastAsia" w:eastAsiaTheme="minorEastAsia" w:cstheme="minorEastAsia"/>
          <w:b/>
          <w:bCs/>
          <w:color w:val="auto"/>
          <w:sz w:val="24"/>
          <w:szCs w:val="24"/>
        </w:rPr>
      </w:pPr>
    </w:p>
    <w:p>
      <w:pPr>
        <w:widowControl/>
        <w:spacing w:line="500" w:lineRule="exact"/>
        <w:ind w:firstLine="482" w:firstLineChars="200"/>
        <w:jc w:val="center"/>
        <w:rPr>
          <w:rFonts w:asciiTheme="minorEastAsia" w:hAnsiTheme="minorEastAsia" w:eastAsiaTheme="minorEastAsia" w:cstheme="minorEastAsia"/>
          <w:b/>
          <w:bCs/>
          <w:color w:val="auto"/>
          <w:sz w:val="24"/>
          <w:szCs w:val="24"/>
        </w:rPr>
      </w:pPr>
    </w:p>
    <w:p>
      <w:pPr>
        <w:widowControl/>
        <w:spacing w:line="500" w:lineRule="exact"/>
        <w:ind w:firstLine="482" w:firstLineChars="200"/>
        <w:jc w:val="center"/>
        <w:rPr>
          <w:rFonts w:asciiTheme="minorEastAsia" w:hAnsiTheme="minorEastAsia" w:eastAsiaTheme="minorEastAsia" w:cstheme="minorEastAsia"/>
          <w:b/>
          <w:bCs/>
          <w:color w:val="auto"/>
          <w:sz w:val="24"/>
          <w:szCs w:val="24"/>
        </w:rPr>
      </w:pPr>
    </w:p>
    <w:p>
      <w:pPr>
        <w:spacing w:line="500" w:lineRule="exact"/>
        <w:ind w:firstLine="422" w:firstLineChars="200"/>
        <w:jc w:val="center"/>
        <w:rPr>
          <w:rFonts w:ascii="Times New Roman" w:hAnsi="Times New Roman" w:eastAsia="宋体" w:cs="Times New Roman"/>
          <w:b/>
          <w:bCs/>
          <w:iCs/>
          <w:color w:val="auto"/>
          <w:sz w:val="21"/>
          <w:szCs w:val="20"/>
        </w:rPr>
      </w:pPr>
      <w:r>
        <w:rPr>
          <w:rFonts w:hint="eastAsia" w:ascii="Times New Roman" w:hAnsi="Times New Roman" w:eastAsia="宋体" w:cs="Times New Roman"/>
          <w:b/>
          <w:bCs/>
          <w:iCs/>
          <w:color w:val="auto"/>
          <w:sz w:val="21"/>
          <w:szCs w:val="20"/>
        </w:rPr>
        <w:t>表1</w:t>
      </w:r>
      <w:r>
        <w:rPr>
          <w:rFonts w:hint="eastAsia" w:ascii="Times New Roman" w:hAnsi="Times New Roman" w:eastAsia="宋体" w:cs="Times New Roman"/>
          <w:b/>
          <w:bCs/>
          <w:iCs/>
          <w:color w:val="auto"/>
          <w:sz w:val="21"/>
          <w:szCs w:val="20"/>
          <w:lang w:val="en-US" w:eastAsia="zh-CN"/>
        </w:rPr>
        <w:t>5</w:t>
      </w:r>
      <w:r>
        <w:rPr>
          <w:rFonts w:hint="eastAsia" w:ascii="Times New Roman" w:hAnsi="Times New Roman" w:eastAsia="宋体" w:cs="Times New Roman"/>
          <w:b/>
          <w:bCs/>
          <w:iCs/>
          <w:color w:val="auto"/>
          <w:sz w:val="21"/>
          <w:szCs w:val="20"/>
        </w:rPr>
        <w:t>.4-2  国民经济敏感性分析成果表</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6"/>
        <w:gridCol w:w="1445"/>
        <w:gridCol w:w="1445"/>
        <w:gridCol w:w="1316"/>
        <w:gridCol w:w="1316"/>
        <w:gridCol w:w="13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360" w:lineRule="auto"/>
              <w:jc w:val="center"/>
              <w:textAlignment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序号</w:t>
            </w:r>
          </w:p>
        </w:tc>
        <w:tc>
          <w:tcPr>
            <w:tcW w:w="1445"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360" w:lineRule="auto"/>
              <w:jc w:val="center"/>
              <w:textAlignment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方案</w:t>
            </w:r>
          </w:p>
        </w:tc>
        <w:tc>
          <w:tcPr>
            <w:tcW w:w="1445"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360" w:lineRule="auto"/>
              <w:jc w:val="center"/>
              <w:textAlignment w:val="center"/>
              <w:rPr>
                <w:rFonts w:asciiTheme="minorEastAsia" w:hAnsiTheme="minorEastAsia" w:eastAsiaTheme="minorEastAsia" w:cstheme="minorEastAsia"/>
                <w:color w:val="auto"/>
                <w:sz w:val="21"/>
                <w:szCs w:val="21"/>
                <w:highlight w:val="none"/>
              </w:rPr>
            </w:pPr>
          </w:p>
        </w:tc>
        <w:tc>
          <w:tcPr>
            <w:tcW w:w="131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360" w:lineRule="auto"/>
              <w:jc w:val="center"/>
              <w:textAlignment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内部收益率</w:t>
            </w:r>
          </w:p>
          <w:p>
            <w:pPr>
              <w:widowControl/>
              <w:adjustRightInd w:val="0"/>
              <w:snapToGrid w:val="0"/>
              <w:spacing w:line="360" w:lineRule="auto"/>
              <w:jc w:val="center"/>
              <w:textAlignment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w:t>
            </w:r>
          </w:p>
        </w:tc>
        <w:tc>
          <w:tcPr>
            <w:tcW w:w="131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360" w:lineRule="auto"/>
              <w:jc w:val="center"/>
              <w:textAlignment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经济净现值</w:t>
            </w:r>
          </w:p>
          <w:p>
            <w:pPr>
              <w:widowControl/>
              <w:adjustRightInd w:val="0"/>
              <w:snapToGrid w:val="0"/>
              <w:spacing w:line="360" w:lineRule="auto"/>
              <w:jc w:val="center"/>
              <w:textAlignment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（万元）</w:t>
            </w:r>
          </w:p>
        </w:tc>
        <w:tc>
          <w:tcPr>
            <w:tcW w:w="131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360" w:lineRule="auto"/>
              <w:jc w:val="center"/>
              <w:textAlignment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效益费用比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1</w:t>
            </w:r>
          </w:p>
        </w:tc>
        <w:tc>
          <w:tcPr>
            <w:tcW w:w="1445"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基本方案</w:t>
            </w:r>
          </w:p>
        </w:tc>
        <w:tc>
          <w:tcPr>
            <w:tcW w:w="1445"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Theme="minorEastAsia" w:hAnsiTheme="minorEastAsia" w:eastAsiaTheme="minorEastAsia" w:cstheme="minorEastAsia"/>
                <w:color w:val="auto"/>
                <w:sz w:val="21"/>
                <w:szCs w:val="21"/>
                <w:highlight w:val="none"/>
              </w:rPr>
            </w:pPr>
          </w:p>
        </w:tc>
        <w:tc>
          <w:tcPr>
            <w:tcW w:w="131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eastAsia="zh-CN"/>
              </w:rPr>
              <w:t>12.65%</w:t>
            </w:r>
          </w:p>
        </w:tc>
        <w:tc>
          <w:tcPr>
            <w:tcW w:w="131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eastAsia="zh-CN"/>
              </w:rPr>
              <w:t>46688</w:t>
            </w:r>
          </w:p>
        </w:tc>
        <w:tc>
          <w:tcPr>
            <w:tcW w:w="131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rPr>
              <w:t>2.</w:t>
            </w:r>
            <w:r>
              <w:rPr>
                <w:rFonts w:hint="eastAsia" w:asciiTheme="minorEastAsia" w:hAnsiTheme="minorEastAsia" w:eastAsiaTheme="minorEastAsia" w:cstheme="minorEastAsia"/>
                <w:color w:val="auto"/>
                <w:sz w:val="21"/>
                <w:szCs w:val="21"/>
                <w:highlight w:val="none"/>
                <w:lang w:val="en-US" w:eastAsia="zh-CN"/>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6" w:type="dxa"/>
            <w:vMerge w:val="restart"/>
            <w:tcBorders>
              <w:top w:val="nil"/>
              <w:left w:val="single" w:color="auto" w:sz="4" w:space="0"/>
              <w:bottom w:val="single" w:color="auto" w:sz="4" w:space="0"/>
              <w:right w:val="single" w:color="auto" w:sz="4" w:space="0"/>
            </w:tcBorders>
            <w:vAlign w:val="center"/>
          </w:tcPr>
          <w:p>
            <w:pPr>
              <w:widowControl/>
              <w:spacing w:line="360" w:lineRule="auto"/>
              <w:jc w:val="center"/>
              <w:textAlignment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2</w:t>
            </w:r>
          </w:p>
        </w:tc>
        <w:tc>
          <w:tcPr>
            <w:tcW w:w="1445" w:type="dxa"/>
            <w:vMerge w:val="restart"/>
            <w:tcBorders>
              <w:top w:val="nil"/>
              <w:left w:val="single" w:color="auto" w:sz="4" w:space="0"/>
              <w:bottom w:val="single" w:color="auto" w:sz="4" w:space="0"/>
              <w:right w:val="single" w:color="auto" w:sz="4" w:space="0"/>
            </w:tcBorders>
            <w:vAlign w:val="center"/>
          </w:tcPr>
          <w:p>
            <w:pPr>
              <w:widowControl/>
              <w:spacing w:line="360" w:lineRule="auto"/>
              <w:jc w:val="center"/>
              <w:textAlignment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投资变化</w:t>
            </w:r>
          </w:p>
        </w:tc>
        <w:tc>
          <w:tcPr>
            <w:tcW w:w="1445"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增加10%</w:t>
            </w:r>
          </w:p>
        </w:tc>
        <w:tc>
          <w:tcPr>
            <w:tcW w:w="131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eastAsia="zh-CN"/>
              </w:rPr>
              <w:t>11.57%</w:t>
            </w:r>
          </w:p>
        </w:tc>
        <w:tc>
          <w:tcPr>
            <w:tcW w:w="131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eastAsia="zh-CN"/>
              </w:rPr>
              <w:t>42270</w:t>
            </w:r>
          </w:p>
        </w:tc>
        <w:tc>
          <w:tcPr>
            <w:tcW w:w="131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Theme="minorEastAsia" w:hAnsiTheme="minorEastAsia" w:eastAsiaTheme="minorEastAsia" w:cstheme="minorEastAsia"/>
                <w:color w:val="auto"/>
                <w:sz w:val="21"/>
                <w:szCs w:val="21"/>
                <w:highlight w:val="none"/>
                <w:lang w:val="en-US"/>
              </w:rPr>
            </w:pPr>
            <w:r>
              <w:rPr>
                <w:rFonts w:hint="eastAsia" w:asciiTheme="minorEastAsia" w:hAnsiTheme="minorEastAsia" w:eastAsiaTheme="minorEastAsia" w:cstheme="minorEastAsia"/>
                <w:color w:val="auto"/>
                <w:sz w:val="21"/>
                <w:szCs w:val="21"/>
                <w:highlight w:val="none"/>
                <w:lang w:val="en-US"/>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6"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Theme="minorEastAsia" w:hAnsiTheme="minorEastAsia" w:eastAsiaTheme="minorEastAsia" w:cstheme="minorEastAsia"/>
                <w:color w:val="auto"/>
                <w:sz w:val="21"/>
                <w:szCs w:val="21"/>
                <w:highlight w:val="none"/>
              </w:rPr>
            </w:pPr>
          </w:p>
        </w:tc>
        <w:tc>
          <w:tcPr>
            <w:tcW w:w="1445"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Theme="minorEastAsia" w:hAnsiTheme="minorEastAsia" w:eastAsiaTheme="minorEastAsia" w:cstheme="minorEastAsia"/>
                <w:color w:val="auto"/>
                <w:sz w:val="21"/>
                <w:szCs w:val="21"/>
                <w:highlight w:val="none"/>
              </w:rPr>
            </w:pPr>
          </w:p>
        </w:tc>
        <w:tc>
          <w:tcPr>
            <w:tcW w:w="1445"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减少10%</w:t>
            </w:r>
          </w:p>
        </w:tc>
        <w:tc>
          <w:tcPr>
            <w:tcW w:w="131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rPr>
              <w:t>1</w:t>
            </w:r>
            <w:r>
              <w:rPr>
                <w:rFonts w:hint="eastAsia" w:asciiTheme="minorEastAsia" w:hAnsiTheme="minorEastAsia" w:eastAsiaTheme="minorEastAsia" w:cstheme="minorEastAsia"/>
                <w:color w:val="auto"/>
                <w:sz w:val="21"/>
                <w:szCs w:val="21"/>
                <w:highlight w:val="none"/>
                <w:lang w:val="en-US" w:eastAsia="zh-CN"/>
              </w:rPr>
              <w:t>3</w:t>
            </w:r>
            <w:r>
              <w:rPr>
                <w:rFonts w:hint="eastAsia" w:asciiTheme="minorEastAsia" w:hAnsiTheme="minorEastAsia" w:eastAsiaTheme="minorEastAsia" w:cstheme="minorEastAsia"/>
                <w:color w:val="auto"/>
                <w:sz w:val="21"/>
                <w:szCs w:val="21"/>
                <w:highlight w:val="none"/>
                <w:lang w:val="en-US"/>
              </w:rPr>
              <w:t>.9</w:t>
            </w:r>
            <w:r>
              <w:rPr>
                <w:rFonts w:hint="eastAsia" w:asciiTheme="minorEastAsia" w:hAnsiTheme="minorEastAsia" w:eastAsiaTheme="minorEastAsia" w:cstheme="minorEastAsia"/>
                <w:color w:val="auto"/>
                <w:sz w:val="21"/>
                <w:szCs w:val="21"/>
                <w:highlight w:val="none"/>
                <w:lang w:val="en-US" w:eastAsia="zh-CN"/>
              </w:rPr>
              <w:t>3%</w:t>
            </w:r>
          </w:p>
        </w:tc>
        <w:tc>
          <w:tcPr>
            <w:tcW w:w="131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rPr>
              <w:t>51</w:t>
            </w:r>
            <w:r>
              <w:rPr>
                <w:rFonts w:hint="eastAsia" w:asciiTheme="minorEastAsia" w:hAnsiTheme="minorEastAsia" w:eastAsiaTheme="minorEastAsia" w:cstheme="minorEastAsia"/>
                <w:color w:val="auto"/>
                <w:sz w:val="21"/>
                <w:szCs w:val="21"/>
                <w:highlight w:val="none"/>
                <w:lang w:val="en-US" w:eastAsia="zh-CN"/>
              </w:rPr>
              <w:t>106</w:t>
            </w:r>
          </w:p>
        </w:tc>
        <w:tc>
          <w:tcPr>
            <w:tcW w:w="131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rPr>
              <w:t>2.</w:t>
            </w:r>
            <w:r>
              <w:rPr>
                <w:rFonts w:hint="eastAsia" w:asciiTheme="minorEastAsia" w:hAnsiTheme="minorEastAsia" w:eastAsiaTheme="minorEastAsia" w:cstheme="minorEastAsia"/>
                <w:color w:val="auto"/>
                <w:sz w:val="21"/>
                <w:szCs w:val="21"/>
                <w:highlight w:val="none"/>
                <w:lang w:val="en-US" w:eastAsia="zh-CN"/>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6" w:type="dxa"/>
            <w:vMerge w:val="restart"/>
            <w:tcBorders>
              <w:top w:val="nil"/>
              <w:left w:val="single" w:color="auto" w:sz="4" w:space="0"/>
              <w:bottom w:val="single" w:color="auto" w:sz="4" w:space="0"/>
              <w:right w:val="single" w:color="auto" w:sz="4" w:space="0"/>
            </w:tcBorders>
            <w:vAlign w:val="center"/>
          </w:tcPr>
          <w:p>
            <w:pPr>
              <w:widowControl/>
              <w:spacing w:line="360" w:lineRule="auto"/>
              <w:jc w:val="center"/>
              <w:textAlignment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3</w:t>
            </w:r>
          </w:p>
        </w:tc>
        <w:tc>
          <w:tcPr>
            <w:tcW w:w="1445" w:type="dxa"/>
            <w:vMerge w:val="restart"/>
            <w:tcBorders>
              <w:top w:val="nil"/>
              <w:left w:val="single" w:color="auto" w:sz="4" w:space="0"/>
              <w:bottom w:val="single" w:color="auto" w:sz="4" w:space="0"/>
              <w:right w:val="single" w:color="auto" w:sz="4" w:space="0"/>
            </w:tcBorders>
            <w:vAlign w:val="center"/>
          </w:tcPr>
          <w:p>
            <w:pPr>
              <w:widowControl/>
              <w:spacing w:line="360" w:lineRule="auto"/>
              <w:jc w:val="center"/>
              <w:textAlignment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效益变化</w:t>
            </w:r>
          </w:p>
        </w:tc>
        <w:tc>
          <w:tcPr>
            <w:tcW w:w="1445"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增加10%</w:t>
            </w:r>
          </w:p>
        </w:tc>
        <w:tc>
          <w:tcPr>
            <w:tcW w:w="131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rPr>
              <w:t>1</w:t>
            </w:r>
            <w:r>
              <w:rPr>
                <w:rFonts w:hint="eastAsia" w:asciiTheme="minorEastAsia" w:hAnsiTheme="minorEastAsia" w:eastAsiaTheme="minorEastAsia" w:cstheme="minorEastAsia"/>
                <w:color w:val="auto"/>
                <w:sz w:val="21"/>
                <w:szCs w:val="21"/>
                <w:highlight w:val="none"/>
                <w:lang w:val="en-US" w:eastAsia="zh-CN"/>
              </w:rPr>
              <w:t>3.76%</w:t>
            </w:r>
          </w:p>
        </w:tc>
        <w:tc>
          <w:tcPr>
            <w:tcW w:w="131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rPr>
              <w:t>55</w:t>
            </w:r>
            <w:r>
              <w:rPr>
                <w:rFonts w:hint="eastAsia" w:asciiTheme="minorEastAsia" w:hAnsiTheme="minorEastAsia" w:eastAsiaTheme="minorEastAsia" w:cstheme="minorEastAsia"/>
                <w:color w:val="auto"/>
                <w:sz w:val="21"/>
                <w:szCs w:val="21"/>
                <w:highlight w:val="none"/>
                <w:lang w:val="en-US" w:eastAsia="zh-CN"/>
              </w:rPr>
              <w:t>886</w:t>
            </w:r>
          </w:p>
        </w:tc>
        <w:tc>
          <w:tcPr>
            <w:tcW w:w="131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Theme="minorEastAsia" w:hAnsiTheme="minorEastAsia" w:eastAsiaTheme="minorEastAsia" w:cstheme="minorEastAsia"/>
                <w:color w:val="auto"/>
                <w:sz w:val="21"/>
                <w:szCs w:val="21"/>
                <w:highlight w:val="none"/>
                <w:lang w:val="en-US"/>
              </w:rPr>
            </w:pPr>
            <w:r>
              <w:rPr>
                <w:rFonts w:hint="eastAsia" w:asciiTheme="minorEastAsia" w:hAnsiTheme="minorEastAsia" w:eastAsiaTheme="minorEastAsia" w:cstheme="minorEastAsia"/>
                <w:color w:val="auto"/>
                <w:sz w:val="21"/>
                <w:szCs w:val="21"/>
                <w:highlight w:val="none"/>
                <w:lang w:val="en-US"/>
              </w:rPr>
              <w:t>2.39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6"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Theme="minorEastAsia" w:hAnsiTheme="minorEastAsia" w:eastAsiaTheme="minorEastAsia" w:cstheme="minorEastAsia"/>
                <w:color w:val="auto"/>
                <w:sz w:val="21"/>
                <w:szCs w:val="21"/>
                <w:highlight w:val="none"/>
              </w:rPr>
            </w:pPr>
          </w:p>
        </w:tc>
        <w:tc>
          <w:tcPr>
            <w:tcW w:w="1445" w:type="dxa"/>
            <w:vMerge w:val="continue"/>
            <w:tcBorders>
              <w:top w:val="nil"/>
              <w:left w:val="single" w:color="auto" w:sz="4" w:space="0"/>
              <w:bottom w:val="single" w:color="auto" w:sz="4" w:space="0"/>
              <w:right w:val="single" w:color="auto" w:sz="4" w:space="0"/>
            </w:tcBorders>
            <w:vAlign w:val="center"/>
          </w:tcPr>
          <w:p>
            <w:pPr>
              <w:widowControl/>
              <w:spacing w:line="360" w:lineRule="auto"/>
              <w:jc w:val="center"/>
              <w:rPr>
                <w:rFonts w:asciiTheme="minorEastAsia" w:hAnsiTheme="minorEastAsia" w:eastAsiaTheme="minorEastAsia" w:cstheme="minorEastAsia"/>
                <w:color w:val="auto"/>
                <w:sz w:val="21"/>
                <w:szCs w:val="21"/>
                <w:highlight w:val="none"/>
              </w:rPr>
            </w:pPr>
          </w:p>
        </w:tc>
        <w:tc>
          <w:tcPr>
            <w:tcW w:w="1445" w:type="dxa"/>
            <w:tcBorders>
              <w:top w:val="single" w:color="auto" w:sz="4" w:space="0"/>
              <w:left w:val="single" w:color="auto" w:sz="4" w:space="0"/>
              <w:bottom w:val="single" w:color="auto" w:sz="4" w:space="0"/>
              <w:right w:val="single" w:color="auto" w:sz="4" w:space="0"/>
            </w:tcBorders>
            <w:vAlign w:val="center"/>
          </w:tcPr>
          <w:p>
            <w:pPr>
              <w:widowControl/>
              <w:spacing w:line="360" w:lineRule="auto"/>
              <w:jc w:val="center"/>
              <w:textAlignment w:val="center"/>
              <w:rPr>
                <w:rFonts w:asciiTheme="minorEastAsia" w:hAnsiTheme="minorEastAsia" w:eastAsiaTheme="minorEastAsia" w:cstheme="minorEastAsia"/>
                <w:color w:val="auto"/>
                <w:sz w:val="21"/>
                <w:szCs w:val="21"/>
                <w:highlight w:val="none"/>
              </w:rPr>
            </w:pPr>
            <w:r>
              <w:rPr>
                <w:rFonts w:hint="eastAsia" w:asciiTheme="minorEastAsia" w:hAnsiTheme="minorEastAsia" w:eastAsiaTheme="minorEastAsia" w:cstheme="minorEastAsia"/>
                <w:color w:val="auto"/>
                <w:sz w:val="21"/>
                <w:szCs w:val="21"/>
                <w:highlight w:val="none"/>
              </w:rPr>
              <w:t>减少10%</w:t>
            </w:r>
          </w:p>
        </w:tc>
        <w:tc>
          <w:tcPr>
            <w:tcW w:w="131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rPr>
              <w:t>1</w:t>
            </w:r>
            <w:r>
              <w:rPr>
                <w:rFonts w:hint="eastAsia" w:asciiTheme="minorEastAsia" w:hAnsiTheme="minorEastAsia" w:eastAsiaTheme="minorEastAsia" w:cstheme="minorEastAsia"/>
                <w:color w:val="auto"/>
                <w:sz w:val="21"/>
                <w:szCs w:val="21"/>
                <w:highlight w:val="none"/>
                <w:lang w:val="en-US" w:eastAsia="zh-CN"/>
              </w:rPr>
              <w:t>1.49%</w:t>
            </w:r>
          </w:p>
        </w:tc>
        <w:tc>
          <w:tcPr>
            <w:tcW w:w="131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default"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rPr>
              <w:t>37</w:t>
            </w:r>
            <w:r>
              <w:rPr>
                <w:rFonts w:hint="eastAsia" w:asciiTheme="minorEastAsia" w:hAnsiTheme="minorEastAsia" w:eastAsiaTheme="minorEastAsia" w:cstheme="minorEastAsia"/>
                <w:color w:val="auto"/>
                <w:sz w:val="21"/>
                <w:szCs w:val="21"/>
                <w:highlight w:val="none"/>
                <w:lang w:val="en-US" w:eastAsia="zh-CN"/>
              </w:rPr>
              <w:t>490</w:t>
            </w:r>
          </w:p>
        </w:tc>
        <w:tc>
          <w:tcPr>
            <w:tcW w:w="131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Theme="minorEastAsia" w:hAnsiTheme="minorEastAsia" w:eastAsiaTheme="minorEastAsia" w:cstheme="minorEastAsia"/>
                <w:color w:val="auto"/>
                <w:sz w:val="21"/>
                <w:szCs w:val="21"/>
                <w:highlight w:val="none"/>
                <w:lang w:val="en-US" w:eastAsia="zh-CN"/>
              </w:rPr>
            </w:pPr>
            <w:r>
              <w:rPr>
                <w:rFonts w:hint="eastAsia" w:asciiTheme="minorEastAsia" w:hAnsiTheme="minorEastAsia" w:eastAsiaTheme="minorEastAsia" w:cstheme="minorEastAsia"/>
                <w:color w:val="auto"/>
                <w:sz w:val="21"/>
                <w:szCs w:val="21"/>
                <w:highlight w:val="none"/>
                <w:lang w:val="en-US"/>
              </w:rPr>
              <w:t>1.9</w:t>
            </w:r>
            <w:r>
              <w:rPr>
                <w:rFonts w:hint="eastAsia" w:asciiTheme="minorEastAsia" w:hAnsiTheme="minorEastAsia" w:eastAsiaTheme="minorEastAsia" w:cstheme="minorEastAsia"/>
                <w:color w:val="auto"/>
                <w:sz w:val="21"/>
                <w:szCs w:val="21"/>
                <w:highlight w:val="none"/>
                <w:lang w:val="en-US" w:eastAsia="zh-CN"/>
              </w:rPr>
              <w:t>7</w:t>
            </w:r>
          </w:p>
        </w:tc>
      </w:tr>
    </w:tbl>
    <w:p>
      <w:pPr>
        <w:pStyle w:val="10"/>
        <w:spacing w:line="500" w:lineRule="exact"/>
        <w:ind w:firstLine="448" w:firstLineChars="200"/>
        <w:jc w:val="both"/>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rPr>
        <w:t>本工程在投资、效益增加或减少10%的各种情况下，其经济内部收益率均大于社会折现率</w:t>
      </w:r>
      <w:r>
        <w:rPr>
          <w:rFonts w:hint="eastAsia" w:asciiTheme="minorEastAsia" w:hAnsiTheme="minorEastAsia" w:eastAsiaTheme="minorEastAsia" w:cstheme="minorEastAsia"/>
          <w:color w:val="auto"/>
          <w:spacing w:val="-8"/>
          <w:sz w:val="24"/>
          <w:szCs w:val="24"/>
          <w:lang w:val="en-US"/>
        </w:rPr>
        <w:t>8</w:t>
      </w:r>
      <w:r>
        <w:rPr>
          <w:rFonts w:hint="eastAsia" w:asciiTheme="minorEastAsia" w:hAnsiTheme="minorEastAsia" w:eastAsiaTheme="minorEastAsia" w:cstheme="minorEastAsia"/>
          <w:color w:val="auto"/>
          <w:spacing w:val="-8"/>
          <w:sz w:val="24"/>
          <w:szCs w:val="24"/>
        </w:rPr>
        <w:t>%，经济净现值大于零，经济效益费用比大于1。</w:t>
      </w:r>
    </w:p>
    <w:p>
      <w:pPr>
        <w:pStyle w:val="32"/>
        <w:numPr>
          <w:ilvl w:val="2"/>
          <w:numId w:val="0"/>
        </w:numPr>
        <w:tabs>
          <w:tab w:val="left" w:pos="1460"/>
        </w:tabs>
        <w:spacing w:line="500" w:lineRule="exact"/>
        <w:ind w:left="547" w:leftChars="0"/>
        <w:jc w:val="both"/>
        <w:rPr>
          <w:rFonts w:asciiTheme="minorEastAsia" w:hAnsiTheme="minorEastAsia" w:eastAsiaTheme="minorEastAsia" w:cstheme="minorEastAsia"/>
          <w:b/>
          <w:bCs/>
          <w:color w:val="auto"/>
          <w:spacing w:val="-11"/>
          <w:sz w:val="24"/>
          <w:szCs w:val="24"/>
        </w:rPr>
      </w:pPr>
      <w:r>
        <w:rPr>
          <w:rFonts w:hint="eastAsia" w:asciiTheme="minorEastAsia" w:hAnsiTheme="minorEastAsia" w:eastAsiaTheme="minorEastAsia" w:cstheme="minorEastAsia"/>
          <w:b/>
          <w:bCs/>
          <w:color w:val="auto"/>
          <w:spacing w:val="-11"/>
          <w:sz w:val="24"/>
          <w:szCs w:val="24"/>
          <w:lang w:val="en-US" w:eastAsia="zh-CN"/>
        </w:rPr>
        <w:t>15.4.4</w:t>
      </w:r>
      <w:r>
        <w:rPr>
          <w:rFonts w:hint="eastAsia" w:asciiTheme="minorEastAsia" w:hAnsiTheme="minorEastAsia" w:eastAsiaTheme="minorEastAsia" w:cstheme="minorEastAsia"/>
          <w:b/>
          <w:bCs/>
          <w:color w:val="auto"/>
          <w:spacing w:val="-11"/>
          <w:sz w:val="24"/>
          <w:szCs w:val="24"/>
        </w:rPr>
        <w:t>国民经济评价结论</w:t>
      </w:r>
    </w:p>
    <w:p>
      <w:pPr>
        <w:pStyle w:val="10"/>
        <w:spacing w:line="500" w:lineRule="exact"/>
        <w:ind w:firstLine="448" w:firstLineChars="200"/>
        <w:jc w:val="both"/>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rPr>
        <w:t>依据国民经济评价结果，罗定市农村生活污水治理设施的经济内部收益率为</w:t>
      </w:r>
      <w:r>
        <w:rPr>
          <w:rFonts w:hint="eastAsia" w:asciiTheme="minorEastAsia" w:hAnsiTheme="minorEastAsia" w:eastAsiaTheme="minorEastAsia" w:cstheme="minorEastAsia"/>
          <w:color w:val="auto"/>
          <w:spacing w:val="-8"/>
          <w:sz w:val="24"/>
          <w:szCs w:val="24"/>
          <w:lang w:val="en-US" w:eastAsia="zh-CN"/>
        </w:rPr>
        <w:t>11.64</w:t>
      </w:r>
      <w:r>
        <w:rPr>
          <w:rFonts w:hint="eastAsia" w:asciiTheme="minorEastAsia" w:hAnsiTheme="minorEastAsia" w:eastAsiaTheme="minorEastAsia" w:cstheme="minorEastAsia"/>
          <w:color w:val="auto"/>
          <w:spacing w:val="-8"/>
          <w:sz w:val="24"/>
          <w:szCs w:val="24"/>
        </w:rPr>
        <w:t>%，大于</w:t>
      </w:r>
      <w:r>
        <w:rPr>
          <w:rFonts w:hint="eastAsia" w:asciiTheme="minorEastAsia" w:hAnsiTheme="minorEastAsia" w:eastAsiaTheme="minorEastAsia" w:cstheme="minorEastAsia"/>
          <w:color w:val="auto"/>
          <w:spacing w:val="-8"/>
          <w:sz w:val="24"/>
          <w:szCs w:val="24"/>
          <w:lang w:val="en-US"/>
        </w:rPr>
        <w:t>8</w:t>
      </w:r>
      <w:r>
        <w:rPr>
          <w:rFonts w:hint="eastAsia" w:asciiTheme="minorEastAsia" w:hAnsiTheme="minorEastAsia" w:eastAsiaTheme="minorEastAsia" w:cstheme="minorEastAsia"/>
          <w:color w:val="auto"/>
          <w:spacing w:val="-8"/>
          <w:sz w:val="24"/>
          <w:szCs w:val="24"/>
        </w:rPr>
        <w:t>%的社会折现率，经济效益费用比为</w:t>
      </w:r>
      <w:r>
        <w:rPr>
          <w:rFonts w:hint="eastAsia" w:asciiTheme="minorEastAsia" w:hAnsiTheme="minorEastAsia" w:eastAsiaTheme="minorEastAsia" w:cstheme="minorEastAsia"/>
          <w:color w:val="auto"/>
          <w:spacing w:val="-8"/>
          <w:sz w:val="24"/>
          <w:szCs w:val="24"/>
          <w:lang w:val="en-US"/>
        </w:rPr>
        <w:t>2.</w:t>
      </w:r>
      <w:r>
        <w:rPr>
          <w:rFonts w:hint="eastAsia" w:asciiTheme="minorEastAsia" w:hAnsiTheme="minorEastAsia" w:eastAsiaTheme="minorEastAsia" w:cstheme="minorEastAsia"/>
          <w:color w:val="auto"/>
          <w:spacing w:val="-8"/>
          <w:sz w:val="24"/>
          <w:szCs w:val="24"/>
          <w:lang w:val="en-US" w:eastAsia="zh-CN"/>
        </w:rPr>
        <w:t>01</w:t>
      </w:r>
      <w:r>
        <w:rPr>
          <w:rFonts w:hint="eastAsia" w:asciiTheme="minorEastAsia" w:hAnsiTheme="minorEastAsia" w:eastAsiaTheme="minorEastAsia" w:cstheme="minorEastAsia"/>
          <w:color w:val="auto"/>
          <w:spacing w:val="-8"/>
          <w:sz w:val="24"/>
          <w:szCs w:val="24"/>
        </w:rPr>
        <w:t>，大于1.0，经济净现值为</w:t>
      </w:r>
      <w:r>
        <w:rPr>
          <w:rFonts w:hint="eastAsia" w:asciiTheme="minorEastAsia" w:hAnsiTheme="minorEastAsia" w:eastAsiaTheme="minorEastAsia" w:cstheme="minorEastAsia"/>
          <w:color w:val="auto"/>
          <w:spacing w:val="-8"/>
          <w:sz w:val="24"/>
          <w:szCs w:val="24"/>
          <w:lang w:val="en-US" w:eastAsia="zh-CN"/>
        </w:rPr>
        <w:t>42566</w:t>
      </w:r>
      <w:r>
        <w:rPr>
          <w:rFonts w:hint="eastAsia" w:asciiTheme="minorEastAsia" w:hAnsiTheme="minorEastAsia" w:eastAsiaTheme="minorEastAsia" w:cstheme="minorEastAsia"/>
          <w:color w:val="auto"/>
          <w:spacing w:val="-8"/>
          <w:sz w:val="24"/>
          <w:szCs w:val="24"/>
        </w:rPr>
        <w:t>万元，大于零，各项评价指标均能达到规定要求，因此罗定市农村生活污水治理设施在国民经济上是合理的，可行的。</w:t>
      </w:r>
    </w:p>
    <w:p>
      <w:pPr>
        <w:pStyle w:val="10"/>
        <w:spacing w:line="500" w:lineRule="exact"/>
        <w:ind w:firstLine="448" w:firstLineChars="200"/>
        <w:jc w:val="both"/>
        <w:rPr>
          <w:rFonts w:asciiTheme="minorEastAsia" w:hAnsiTheme="minorEastAsia" w:eastAsiaTheme="minorEastAsia" w:cstheme="minorEastAsia"/>
          <w:color w:val="auto"/>
          <w:spacing w:val="-8"/>
          <w:sz w:val="24"/>
          <w:szCs w:val="24"/>
        </w:rPr>
      </w:pPr>
      <w:r>
        <w:rPr>
          <w:rFonts w:hint="eastAsia" w:asciiTheme="minorEastAsia" w:hAnsiTheme="minorEastAsia" w:eastAsiaTheme="minorEastAsia" w:cstheme="minorEastAsia"/>
          <w:color w:val="auto"/>
          <w:spacing w:val="-8"/>
          <w:sz w:val="24"/>
          <w:szCs w:val="24"/>
        </w:rPr>
        <w:t>当投资、效益呈不利因素变化时，国民经济内部收益率大于</w:t>
      </w:r>
      <w:r>
        <w:rPr>
          <w:rFonts w:hint="eastAsia" w:asciiTheme="minorEastAsia" w:hAnsiTheme="minorEastAsia" w:eastAsiaTheme="minorEastAsia" w:cstheme="minorEastAsia"/>
          <w:color w:val="auto"/>
          <w:spacing w:val="-8"/>
          <w:sz w:val="24"/>
          <w:szCs w:val="24"/>
          <w:lang w:val="en-US"/>
        </w:rPr>
        <w:t>8</w:t>
      </w:r>
      <w:r>
        <w:rPr>
          <w:rFonts w:hint="eastAsia" w:asciiTheme="minorEastAsia" w:hAnsiTheme="minorEastAsia" w:eastAsiaTheme="minorEastAsia" w:cstheme="minorEastAsia"/>
          <w:color w:val="auto"/>
          <w:spacing w:val="-8"/>
          <w:sz w:val="24"/>
          <w:szCs w:val="24"/>
        </w:rPr>
        <w:t>%的社会折现率，效益费用比大于1，各项评价指标均能达到规定要求，说明本工程具有一定的抗风险能力。</w:t>
      </w:r>
    </w:p>
    <w:p>
      <w:pPr>
        <w:pStyle w:val="10"/>
        <w:spacing w:line="500" w:lineRule="exact"/>
        <w:ind w:firstLine="448" w:firstLineChars="200"/>
        <w:jc w:val="both"/>
        <w:rPr>
          <w:rFonts w:asciiTheme="minorEastAsia" w:hAnsiTheme="minorEastAsia" w:eastAsiaTheme="minorEastAsia" w:cstheme="minorEastAsia"/>
          <w:color w:val="auto"/>
          <w:spacing w:val="-8"/>
          <w:sz w:val="24"/>
          <w:szCs w:val="24"/>
        </w:rPr>
        <w:sectPr>
          <w:type w:val="nextColumn"/>
          <w:pgSz w:w="11910" w:h="16840"/>
          <w:pgMar w:top="1418" w:right="1418" w:bottom="1418" w:left="1701" w:header="0" w:footer="512" w:gutter="0"/>
          <w:cols w:space="720" w:num="1"/>
        </w:sectPr>
      </w:pPr>
      <w:r>
        <w:rPr>
          <w:rFonts w:hint="eastAsia" w:asciiTheme="minorEastAsia" w:hAnsiTheme="minorEastAsia" w:eastAsiaTheme="minorEastAsia" w:cstheme="minorEastAsia"/>
          <w:color w:val="auto"/>
          <w:spacing w:val="-8"/>
          <w:sz w:val="24"/>
          <w:szCs w:val="24"/>
        </w:rPr>
        <w:t>罗定市农村生活污水治理设施工程为社会公益性质的水利工程，对地区国民经济发展具有重要的促进作用。国民经济评价指标说明本工程在经济上是合理的，敏感性分析表明其具有一定的抗风险能力，建议罗定市农村生活污水治理设施早日实施，尽早发挥效益。</w:t>
      </w:r>
    </w:p>
    <w:p>
      <w:pPr>
        <w:spacing w:line="500" w:lineRule="exact"/>
        <w:ind w:firstLine="480" w:firstLineChars="200"/>
        <w:jc w:val="both"/>
        <w:rPr>
          <w:rFonts w:asciiTheme="minorEastAsia" w:hAnsiTheme="minorEastAsia" w:eastAsiaTheme="minorEastAsia" w:cstheme="minorEastAsia"/>
          <w:color w:val="auto"/>
          <w:sz w:val="24"/>
          <w:szCs w:val="24"/>
          <w:lang w:val="en-US"/>
        </w:rPr>
      </w:pPr>
    </w:p>
    <w:p>
      <w:pPr>
        <w:spacing w:line="500" w:lineRule="exact"/>
        <w:ind w:firstLine="422" w:firstLineChars="200"/>
        <w:jc w:val="center"/>
        <w:rPr>
          <w:rFonts w:ascii="Times New Roman" w:hAnsi="Times New Roman" w:eastAsia="宋体" w:cs="Times New Roman"/>
          <w:b/>
          <w:bCs/>
          <w:iCs/>
          <w:color w:val="auto"/>
          <w:sz w:val="21"/>
          <w:szCs w:val="20"/>
        </w:rPr>
      </w:pPr>
      <w:r>
        <w:rPr>
          <w:rFonts w:hint="eastAsia" w:ascii="Times New Roman" w:hAnsi="Times New Roman" w:eastAsia="宋体" w:cs="Times New Roman"/>
          <w:b/>
          <w:bCs/>
          <w:iCs/>
          <w:color w:val="auto"/>
          <w:sz w:val="21"/>
          <w:szCs w:val="20"/>
        </w:rPr>
        <w:t>表1</w:t>
      </w:r>
      <w:r>
        <w:rPr>
          <w:rFonts w:hint="eastAsia" w:ascii="Times New Roman" w:hAnsi="Times New Roman" w:eastAsia="宋体" w:cs="Times New Roman"/>
          <w:b/>
          <w:bCs/>
          <w:iCs/>
          <w:color w:val="auto"/>
          <w:sz w:val="21"/>
          <w:szCs w:val="20"/>
          <w:lang w:val="en-US" w:eastAsia="zh-CN"/>
        </w:rPr>
        <w:t>5</w:t>
      </w:r>
      <w:r>
        <w:rPr>
          <w:rFonts w:hint="eastAsia" w:ascii="Times New Roman" w:hAnsi="Times New Roman" w:eastAsia="宋体" w:cs="Times New Roman"/>
          <w:b/>
          <w:bCs/>
          <w:iCs/>
          <w:color w:val="auto"/>
          <w:sz w:val="21"/>
          <w:szCs w:val="20"/>
        </w:rPr>
        <w:t>.4-3</w:t>
      </w:r>
      <w:r>
        <w:rPr>
          <w:rFonts w:hint="eastAsia" w:ascii="Times New Roman" w:hAnsi="Times New Roman" w:eastAsia="宋体" w:cs="Times New Roman"/>
          <w:b/>
          <w:bCs/>
          <w:iCs/>
          <w:color w:val="auto"/>
          <w:sz w:val="21"/>
          <w:szCs w:val="20"/>
          <w:lang w:val="en-US"/>
        </w:rPr>
        <w:t xml:space="preserve"> </w:t>
      </w:r>
      <w:r>
        <w:rPr>
          <w:rFonts w:hint="eastAsia" w:ascii="Times New Roman" w:hAnsi="Times New Roman" w:eastAsia="宋体" w:cs="Times New Roman"/>
          <w:b/>
          <w:bCs/>
          <w:iCs/>
          <w:color w:val="auto"/>
          <w:sz w:val="21"/>
          <w:szCs w:val="20"/>
        </w:rPr>
        <w:t xml:space="preserve">  项目国民经济评价计算表</w:t>
      </w:r>
    </w:p>
    <w:tbl>
      <w:tblPr>
        <w:tblStyle w:val="27"/>
        <w:tblW w:w="4812"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02"/>
        <w:gridCol w:w="1896"/>
        <w:gridCol w:w="934"/>
        <w:gridCol w:w="934"/>
        <w:gridCol w:w="934"/>
        <w:gridCol w:w="982"/>
        <w:gridCol w:w="982"/>
        <w:gridCol w:w="982"/>
        <w:gridCol w:w="982"/>
        <w:gridCol w:w="982"/>
        <w:gridCol w:w="982"/>
        <w:gridCol w:w="982"/>
        <w:gridCol w:w="982"/>
        <w:gridCol w:w="1143"/>
        <w:gridCol w:w="1143"/>
        <w:gridCol w:w="1743"/>
        <w:gridCol w:w="1461"/>
        <w:gridCol w:w="117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序号</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项</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r>
              <w:rPr>
                <w:rFonts w:hint="eastAsia" w:ascii="宋体" w:hAnsi="宋体" w:eastAsia="宋体" w:cs="宋体"/>
                <w:i w:val="0"/>
                <w:iCs w:val="0"/>
                <w:color w:val="auto"/>
                <w:kern w:val="0"/>
                <w:sz w:val="21"/>
                <w:szCs w:val="21"/>
                <w:highlight w:val="none"/>
                <w:u w:val="none"/>
                <w:lang w:val="en-US" w:eastAsia="zh-CN" w:bidi="ar"/>
              </w:rPr>
              <w:t>目</w:t>
            </w:r>
          </w:p>
        </w:tc>
        <w:tc>
          <w:tcPr>
            <w:tcW w:w="94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建设期</w:t>
            </w:r>
          </w:p>
        </w:tc>
        <w:tc>
          <w:tcPr>
            <w:tcW w:w="3072" w:type="pct"/>
            <w:gridSpan w:val="11"/>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运行期</w:t>
            </w:r>
          </w:p>
        </w:tc>
        <w:tc>
          <w:tcPr>
            <w:tcW w:w="291"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合计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年</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r>
              <w:rPr>
                <w:rFonts w:hint="eastAsia" w:ascii="宋体" w:hAnsi="宋体" w:eastAsia="宋体" w:cs="宋体"/>
                <w:i w:val="0"/>
                <w:iCs w:val="0"/>
                <w:color w:val="auto"/>
                <w:kern w:val="0"/>
                <w:sz w:val="21"/>
                <w:szCs w:val="21"/>
                <w:highlight w:val="none"/>
                <w:u w:val="none"/>
                <w:lang w:val="en-US" w:eastAsia="zh-CN" w:bidi="ar"/>
              </w:rPr>
              <w:t>份</w:t>
            </w: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2023</w:t>
            </w: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2024</w:t>
            </w:r>
          </w:p>
        </w:tc>
        <w:tc>
          <w:tcPr>
            <w:tcW w:w="47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bidi="ar"/>
              </w:rPr>
              <w:t>2025</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w:t>
            </w:r>
            <w:r>
              <w:rPr>
                <w:rFonts w:hint="eastAsia" w:ascii="Times New Roman" w:hAnsi="Times New Roman" w:eastAsia="宋体" w:cs="Times New Roman"/>
                <w:i w:val="0"/>
                <w:iCs w:val="0"/>
                <w:color w:val="auto"/>
                <w:kern w:val="0"/>
                <w:sz w:val="21"/>
                <w:szCs w:val="21"/>
                <w:highlight w:val="none"/>
                <w:u w:val="none"/>
                <w:lang w:val="en-US" w:eastAsia="zh-CN" w:bidi="ar"/>
              </w:rPr>
              <w:t>6</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w:t>
            </w:r>
            <w:r>
              <w:rPr>
                <w:rFonts w:hint="eastAsia" w:ascii="Times New Roman" w:hAnsi="Times New Roman" w:eastAsia="宋体" w:cs="Times New Roman"/>
                <w:i w:val="0"/>
                <w:iCs w:val="0"/>
                <w:color w:val="auto"/>
                <w:kern w:val="0"/>
                <w:sz w:val="21"/>
                <w:szCs w:val="21"/>
                <w:highlight w:val="none"/>
                <w:u w:val="none"/>
                <w:lang w:val="en-US" w:eastAsia="zh-CN" w:bidi="ar"/>
              </w:rPr>
              <w:t>7</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w:t>
            </w:r>
            <w:r>
              <w:rPr>
                <w:rFonts w:hint="eastAsia" w:ascii="Times New Roman" w:hAnsi="Times New Roman" w:eastAsia="宋体" w:cs="Times New Roman"/>
                <w:i w:val="0"/>
                <w:iCs w:val="0"/>
                <w:color w:val="auto"/>
                <w:kern w:val="0"/>
                <w:sz w:val="21"/>
                <w:szCs w:val="21"/>
                <w:highlight w:val="none"/>
                <w:u w:val="none"/>
                <w:lang w:val="en-US" w:eastAsia="zh-CN" w:bidi="ar"/>
              </w:rPr>
              <w:t>8</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20</w:t>
            </w:r>
            <w:r>
              <w:rPr>
                <w:rFonts w:hint="eastAsia" w:ascii="Times New Roman" w:hAnsi="Times New Roman" w:eastAsia="宋体" w:cs="Times New Roman"/>
                <w:i w:val="0"/>
                <w:iCs w:val="0"/>
                <w:color w:val="auto"/>
                <w:kern w:val="0"/>
                <w:sz w:val="21"/>
                <w:szCs w:val="21"/>
                <w:highlight w:val="none"/>
                <w:u w:val="none"/>
                <w:lang w:val="en-US" w:eastAsia="zh-CN" w:bidi="ar"/>
              </w:rPr>
              <w:t>29</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203</w:t>
            </w:r>
            <w:r>
              <w:rPr>
                <w:rFonts w:hint="eastAsia" w:ascii="Times New Roman" w:hAnsi="Times New Roman" w:eastAsia="宋体" w:cs="Times New Roman"/>
                <w:i w:val="0"/>
                <w:iCs w:val="0"/>
                <w:color w:val="auto"/>
                <w:kern w:val="0"/>
                <w:sz w:val="21"/>
                <w:szCs w:val="21"/>
                <w:highlight w:val="none"/>
                <w:u w:val="none"/>
                <w:lang w:val="en-US" w:eastAsia="zh-CN" w:bidi="ar"/>
              </w:rPr>
              <w:t>0</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203</w:t>
            </w:r>
            <w:r>
              <w:rPr>
                <w:rFonts w:hint="eastAsia" w:ascii="Times New Roman" w:hAnsi="Times New Roman" w:eastAsia="宋体" w:cs="Times New Roman"/>
                <w:i w:val="0"/>
                <w:iCs w:val="0"/>
                <w:color w:val="auto"/>
                <w:kern w:val="0"/>
                <w:sz w:val="21"/>
                <w:szCs w:val="21"/>
                <w:highlight w:val="none"/>
                <w:u w:val="none"/>
                <w:lang w:val="en-US" w:eastAsia="zh-CN" w:bidi="ar"/>
              </w:rPr>
              <w:t>1</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203</w:t>
            </w:r>
            <w:r>
              <w:rPr>
                <w:rFonts w:hint="eastAsia" w:ascii="Times New Roman" w:hAnsi="Times New Roman" w:eastAsia="宋体" w:cs="Times New Roman"/>
                <w:i w:val="0"/>
                <w:iCs w:val="0"/>
                <w:color w:val="auto"/>
                <w:kern w:val="0"/>
                <w:sz w:val="21"/>
                <w:szCs w:val="21"/>
                <w:highlight w:val="none"/>
                <w:u w:val="none"/>
                <w:lang w:val="en-US" w:eastAsia="zh-CN" w:bidi="ar"/>
              </w:rPr>
              <w:t>2</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203</w:t>
            </w:r>
            <w:r>
              <w:rPr>
                <w:rFonts w:hint="eastAsia" w:ascii="Times New Roman" w:hAnsi="Times New Roman" w:eastAsia="宋体" w:cs="Times New Roman"/>
                <w:i w:val="0"/>
                <w:iCs w:val="0"/>
                <w:color w:val="auto"/>
                <w:kern w:val="0"/>
                <w:sz w:val="21"/>
                <w:szCs w:val="21"/>
                <w:highlight w:val="none"/>
                <w:u w:val="none"/>
                <w:lang w:val="en-US" w:eastAsia="zh-CN" w:bidi="ar"/>
              </w:rPr>
              <w:t>3</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203</w:t>
            </w:r>
            <w:r>
              <w:rPr>
                <w:rFonts w:hint="eastAsia" w:ascii="Times New Roman" w:hAnsi="Times New Roman" w:eastAsia="宋体" w:cs="Times New Roman"/>
                <w:i w:val="0"/>
                <w:iCs w:val="0"/>
                <w:color w:val="auto"/>
                <w:kern w:val="0"/>
                <w:sz w:val="21"/>
                <w:szCs w:val="21"/>
                <w:highlight w:val="none"/>
                <w:u w:val="none"/>
                <w:lang w:val="en-US" w:eastAsia="zh-CN" w:bidi="ar"/>
              </w:rPr>
              <w:t>4</w:t>
            </w:r>
          </w:p>
        </w:tc>
        <w:tc>
          <w:tcPr>
            <w:tcW w:w="4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203</w:t>
            </w:r>
            <w:r>
              <w:rPr>
                <w:rFonts w:hint="eastAsia" w:ascii="Times New Roman" w:hAnsi="Times New Roman" w:eastAsia="宋体" w:cs="Times New Roman"/>
                <w:i w:val="0"/>
                <w:iCs w:val="0"/>
                <w:color w:val="auto"/>
                <w:kern w:val="0"/>
                <w:sz w:val="21"/>
                <w:szCs w:val="21"/>
                <w:highlight w:val="none"/>
                <w:u w:val="none"/>
                <w:lang w:val="en-US" w:eastAsia="zh-CN" w:bidi="ar"/>
              </w:rPr>
              <w:t>5</w:t>
            </w:r>
            <w:r>
              <w:rPr>
                <w:rFonts w:hint="eastAsia" w:ascii="宋体" w:hAnsi="宋体" w:eastAsia="宋体" w:cs="宋体"/>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204</w:t>
            </w:r>
            <w:r>
              <w:rPr>
                <w:rFonts w:hint="eastAsia" w:ascii="Times New Roman" w:hAnsi="Times New Roman" w:eastAsia="宋体" w:cs="Times New Roman"/>
                <w:i w:val="0"/>
                <w:iCs w:val="0"/>
                <w:color w:val="auto"/>
                <w:kern w:val="0"/>
                <w:sz w:val="21"/>
                <w:szCs w:val="21"/>
                <w:highlight w:val="none"/>
                <w:u w:val="none"/>
                <w:lang w:val="en-US" w:eastAsia="zh-CN" w:bidi="ar"/>
              </w:rPr>
              <w:t>3</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204</w:t>
            </w:r>
            <w:r>
              <w:rPr>
                <w:rFonts w:hint="eastAsia" w:ascii="Times New Roman" w:hAnsi="Times New Roman" w:eastAsia="宋体" w:cs="Times New Roman"/>
                <w:i w:val="0"/>
                <w:iCs w:val="0"/>
                <w:color w:val="auto"/>
                <w:kern w:val="0"/>
                <w:sz w:val="21"/>
                <w:szCs w:val="21"/>
                <w:highlight w:val="none"/>
                <w:u w:val="none"/>
                <w:lang w:val="en-US" w:eastAsia="zh-CN" w:bidi="ar"/>
              </w:rPr>
              <w:t>4</w:t>
            </w:r>
          </w:p>
        </w:tc>
        <w:tc>
          <w:tcPr>
            <w:tcW w:w="291"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年</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r>
              <w:rPr>
                <w:rFonts w:hint="eastAsia" w:ascii="宋体" w:hAnsi="宋体" w:eastAsia="宋体" w:cs="宋体"/>
                <w:i w:val="0"/>
                <w:iCs w:val="0"/>
                <w:color w:val="auto"/>
                <w:kern w:val="0"/>
                <w:sz w:val="21"/>
                <w:szCs w:val="21"/>
                <w:highlight w:val="none"/>
                <w:u w:val="none"/>
                <w:lang w:val="en-US" w:eastAsia="zh-CN" w:bidi="ar"/>
              </w:rPr>
              <w:t>序</w:t>
            </w: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w:t>
            </w:r>
          </w:p>
        </w:tc>
        <w:tc>
          <w:tcPr>
            <w:tcW w:w="4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w:t>
            </w:r>
            <w:r>
              <w:rPr>
                <w:rFonts w:hint="eastAsia" w:ascii="宋体" w:hAnsi="宋体" w:eastAsia="宋体" w:cs="宋体"/>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39</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w:t>
            </w:r>
          </w:p>
        </w:tc>
        <w:tc>
          <w:tcPr>
            <w:tcW w:w="2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1</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效益流量</w:t>
            </w: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1500</w:t>
            </w: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1500</w:t>
            </w: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3151</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5627</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8254</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8501</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8756</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9019</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9290</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9568</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9855</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10151</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10456</w:t>
            </w:r>
          </w:p>
        </w:tc>
        <w:tc>
          <w:tcPr>
            <w:tcW w:w="4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10796～18884</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宋体" w:hAnsi="宋体" w:eastAsia="宋体" w:cs="宋体"/>
                <w:i w:val="0"/>
                <w:iCs w:val="0"/>
                <w:color w:val="auto"/>
                <w:sz w:val="21"/>
                <w:szCs w:val="21"/>
                <w:highlight w:val="none"/>
                <w:u w:val="none"/>
                <w:lang w:val="en-US"/>
              </w:rPr>
            </w:pPr>
            <w:r>
              <w:rPr>
                <w:rFonts w:hint="eastAsia" w:ascii="宋体" w:hAnsi="宋体" w:eastAsia="宋体" w:cs="宋体"/>
                <w:i w:val="0"/>
                <w:iCs w:val="0"/>
                <w:color w:val="auto"/>
                <w:kern w:val="0"/>
                <w:sz w:val="21"/>
                <w:szCs w:val="21"/>
                <w:highlight w:val="none"/>
                <w:u w:val="none"/>
                <w:lang w:val="en-US" w:eastAsia="zh-CN" w:bidi="ar"/>
              </w:rPr>
              <w:t>26805</w:t>
            </w:r>
          </w:p>
        </w:tc>
        <w:tc>
          <w:tcPr>
            <w:tcW w:w="2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宋体" w:hAnsi="宋体" w:eastAsia="宋体" w:cs="宋体"/>
                <w:i w:val="0"/>
                <w:iCs w:val="0"/>
                <w:color w:val="auto"/>
                <w:sz w:val="21"/>
                <w:szCs w:val="21"/>
                <w:highlight w:val="none"/>
                <w:u w:val="none"/>
                <w:lang w:val="en-US"/>
              </w:rPr>
            </w:pPr>
            <w:r>
              <w:rPr>
                <w:rFonts w:hint="eastAsia" w:ascii="宋体" w:hAnsi="宋体" w:eastAsia="宋体" w:cs="宋体"/>
                <w:i w:val="0"/>
                <w:iCs w:val="0"/>
                <w:color w:val="auto"/>
                <w:kern w:val="0"/>
                <w:sz w:val="21"/>
                <w:szCs w:val="21"/>
                <w:highlight w:val="none"/>
                <w:u w:val="none"/>
                <w:lang w:val="en-US" w:eastAsia="zh-CN" w:bidi="ar"/>
              </w:rPr>
              <w:t>411851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1.1</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污水处理费</w:t>
            </w: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0</w:t>
            </w: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0</w:t>
            </w: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1651</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4127</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8254</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8501</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8756</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9019</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9290</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9568</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9855</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10151</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10456</w:t>
            </w:r>
          </w:p>
        </w:tc>
        <w:tc>
          <w:tcPr>
            <w:tcW w:w="4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10796～18884</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19450</w:t>
            </w:r>
          </w:p>
        </w:tc>
        <w:tc>
          <w:tcPr>
            <w:tcW w:w="2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398450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1.2</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市财政补贴</w:t>
            </w: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500</w:t>
            </w: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500</w:t>
            </w: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500</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500</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0</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0</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0</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0</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0</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0</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0</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0</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0</w:t>
            </w:r>
          </w:p>
        </w:tc>
        <w:tc>
          <w:tcPr>
            <w:tcW w:w="4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0</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0</w:t>
            </w:r>
          </w:p>
        </w:tc>
        <w:tc>
          <w:tcPr>
            <w:tcW w:w="2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2000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1.3</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省级政府补贴</w:t>
            </w: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1000</w:t>
            </w: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1000</w:t>
            </w: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1000</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1000</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0</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0</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0</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0</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0</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0</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0</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0</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0</w:t>
            </w:r>
          </w:p>
        </w:tc>
        <w:tc>
          <w:tcPr>
            <w:tcW w:w="4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0</w:t>
            </w:r>
          </w:p>
        </w:tc>
        <w:tc>
          <w:tcPr>
            <w:tcW w:w="2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4000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1.4</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回收固定资产余值</w:t>
            </w: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4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宋体" w:hAnsi="宋体" w:eastAsia="宋体" w:cs="宋体"/>
                <w:i w:val="0"/>
                <w:iCs w:val="0"/>
                <w:color w:val="auto"/>
                <w:sz w:val="21"/>
                <w:szCs w:val="21"/>
                <w:highlight w:val="none"/>
                <w:u w:val="none"/>
                <w:lang w:val="en-US"/>
              </w:rPr>
            </w:pPr>
            <w:r>
              <w:rPr>
                <w:rFonts w:hint="eastAsia" w:ascii="宋体" w:hAnsi="宋体" w:eastAsia="宋体" w:cs="宋体"/>
                <w:i w:val="0"/>
                <w:iCs w:val="0"/>
                <w:color w:val="auto"/>
                <w:kern w:val="0"/>
                <w:sz w:val="21"/>
                <w:szCs w:val="21"/>
                <w:highlight w:val="none"/>
                <w:u w:val="none"/>
                <w:lang w:val="en-US" w:eastAsia="zh-CN" w:bidi="ar"/>
              </w:rPr>
              <w:t>7354</w:t>
            </w:r>
          </w:p>
        </w:tc>
        <w:tc>
          <w:tcPr>
            <w:tcW w:w="2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宋体" w:hAnsi="宋体" w:eastAsia="宋体" w:cs="宋体"/>
                <w:i w:val="0"/>
                <w:iCs w:val="0"/>
                <w:color w:val="auto"/>
                <w:sz w:val="21"/>
                <w:szCs w:val="21"/>
                <w:highlight w:val="none"/>
                <w:u w:val="none"/>
                <w:lang w:val="en-US"/>
              </w:rPr>
            </w:pPr>
            <w:r>
              <w:rPr>
                <w:rFonts w:hint="eastAsia" w:ascii="宋体" w:hAnsi="宋体" w:eastAsia="宋体" w:cs="宋体"/>
                <w:i w:val="0"/>
                <w:iCs w:val="0"/>
                <w:color w:val="auto"/>
                <w:kern w:val="0"/>
                <w:sz w:val="21"/>
                <w:szCs w:val="21"/>
                <w:highlight w:val="none"/>
                <w:u w:val="none"/>
                <w:lang w:val="en-US" w:eastAsia="zh-CN" w:bidi="ar"/>
              </w:rPr>
              <w:t>7354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1.5</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回收流动资金</w:t>
            </w: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4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47</w:t>
            </w:r>
          </w:p>
        </w:tc>
        <w:tc>
          <w:tcPr>
            <w:tcW w:w="2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47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2</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费用流量</w:t>
            </w: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14708</w:t>
            </w: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22063</w:t>
            </w: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22063</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14708</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485</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495</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505</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515</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宋体" w:hAnsi="宋体" w:eastAsia="宋体" w:cs="宋体"/>
                <w:i w:val="0"/>
                <w:iCs w:val="0"/>
                <w:color w:val="auto"/>
                <w:sz w:val="21"/>
                <w:szCs w:val="21"/>
                <w:highlight w:val="none"/>
                <w:u w:val="none"/>
                <w:lang w:val="en-US"/>
              </w:rPr>
            </w:pPr>
            <w:r>
              <w:rPr>
                <w:rFonts w:hint="eastAsia" w:ascii="宋体" w:hAnsi="宋体" w:eastAsia="宋体" w:cs="宋体"/>
                <w:i w:val="0"/>
                <w:iCs w:val="0"/>
                <w:color w:val="auto"/>
                <w:kern w:val="0"/>
                <w:sz w:val="21"/>
                <w:szCs w:val="21"/>
                <w:highlight w:val="none"/>
                <w:u w:val="none"/>
                <w:lang w:val="en-US" w:eastAsia="zh-CN" w:bidi="ar"/>
              </w:rPr>
              <w:t>525</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536</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546</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557</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568</w:t>
            </w:r>
          </w:p>
        </w:tc>
        <w:tc>
          <w:tcPr>
            <w:tcW w:w="4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567～826</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861</w:t>
            </w:r>
          </w:p>
        </w:tc>
        <w:tc>
          <w:tcPr>
            <w:tcW w:w="2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宋体" w:hAnsi="宋体" w:eastAsia="宋体" w:cs="宋体"/>
                <w:i w:val="0"/>
                <w:iCs w:val="0"/>
                <w:color w:val="auto"/>
                <w:sz w:val="21"/>
                <w:szCs w:val="21"/>
                <w:highlight w:val="none"/>
                <w:u w:val="none"/>
                <w:lang w:val="en-US"/>
              </w:rPr>
            </w:pPr>
            <w:r>
              <w:rPr>
                <w:rFonts w:hint="eastAsia" w:ascii="宋体" w:hAnsi="宋体" w:eastAsia="宋体" w:cs="宋体"/>
                <w:i w:val="0"/>
                <w:iCs w:val="0"/>
                <w:color w:val="auto"/>
                <w:kern w:val="0"/>
                <w:sz w:val="21"/>
                <w:szCs w:val="21"/>
                <w:highlight w:val="none"/>
                <w:u w:val="none"/>
                <w:lang w:val="en-US" w:eastAsia="zh-CN" w:bidi="ar"/>
              </w:rPr>
              <w:t>93477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2.1</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固定资产投资</w:t>
            </w: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宋体" w:hAnsi="宋体" w:eastAsia="宋体" w:cs="宋体"/>
                <w:i w:val="0"/>
                <w:iCs w:val="0"/>
                <w:color w:val="auto"/>
                <w:sz w:val="21"/>
                <w:szCs w:val="21"/>
                <w:highlight w:val="none"/>
                <w:u w:val="none"/>
                <w:lang w:val="en-US"/>
              </w:rPr>
            </w:pPr>
            <w:r>
              <w:rPr>
                <w:rFonts w:hint="eastAsia" w:ascii="宋体" w:hAnsi="宋体" w:eastAsia="宋体" w:cs="宋体"/>
                <w:i w:val="0"/>
                <w:iCs w:val="0"/>
                <w:color w:val="auto"/>
                <w:kern w:val="0"/>
                <w:sz w:val="21"/>
                <w:szCs w:val="21"/>
                <w:highlight w:val="none"/>
                <w:u w:val="none"/>
                <w:lang w:val="en-US" w:eastAsia="zh-CN" w:bidi="ar"/>
              </w:rPr>
              <w:t>14708</w:t>
            </w: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宋体" w:hAnsi="宋体" w:eastAsia="宋体" w:cs="宋体"/>
                <w:i w:val="0"/>
                <w:iCs w:val="0"/>
                <w:color w:val="auto"/>
                <w:sz w:val="21"/>
                <w:szCs w:val="21"/>
                <w:highlight w:val="none"/>
                <w:u w:val="none"/>
                <w:lang w:val="en-US"/>
              </w:rPr>
            </w:pPr>
            <w:r>
              <w:rPr>
                <w:rFonts w:hint="eastAsia" w:ascii="宋体" w:hAnsi="宋体" w:eastAsia="宋体" w:cs="宋体"/>
                <w:i w:val="0"/>
                <w:iCs w:val="0"/>
                <w:color w:val="auto"/>
                <w:kern w:val="0"/>
                <w:sz w:val="21"/>
                <w:szCs w:val="21"/>
                <w:highlight w:val="none"/>
                <w:u w:val="none"/>
                <w:lang w:val="en-US" w:eastAsia="zh-CN" w:bidi="ar"/>
              </w:rPr>
              <w:t>22063</w:t>
            </w: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宋体" w:hAnsi="宋体" w:eastAsia="宋体" w:cs="宋体"/>
                <w:i w:val="0"/>
                <w:iCs w:val="0"/>
                <w:color w:val="auto"/>
                <w:sz w:val="21"/>
                <w:szCs w:val="21"/>
                <w:highlight w:val="none"/>
                <w:u w:val="none"/>
                <w:lang w:val="en-US"/>
              </w:rPr>
            </w:pPr>
            <w:r>
              <w:rPr>
                <w:rFonts w:hint="eastAsia" w:ascii="宋体" w:hAnsi="宋体" w:eastAsia="宋体" w:cs="宋体"/>
                <w:i w:val="0"/>
                <w:iCs w:val="0"/>
                <w:color w:val="auto"/>
                <w:kern w:val="0"/>
                <w:sz w:val="21"/>
                <w:szCs w:val="21"/>
                <w:highlight w:val="none"/>
                <w:u w:val="none"/>
                <w:lang w:val="en-US" w:eastAsia="zh-CN" w:bidi="ar"/>
              </w:rPr>
              <w:t>22063</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宋体" w:hAnsi="宋体" w:eastAsia="宋体" w:cs="宋体"/>
                <w:i w:val="0"/>
                <w:iCs w:val="0"/>
                <w:color w:val="auto"/>
                <w:sz w:val="21"/>
                <w:szCs w:val="21"/>
                <w:highlight w:val="none"/>
                <w:u w:val="none"/>
                <w:lang w:val="en-US"/>
              </w:rPr>
            </w:pPr>
            <w:r>
              <w:rPr>
                <w:rFonts w:hint="eastAsia" w:ascii="宋体" w:hAnsi="宋体" w:eastAsia="宋体" w:cs="宋体"/>
                <w:i w:val="0"/>
                <w:iCs w:val="0"/>
                <w:color w:val="auto"/>
                <w:kern w:val="0"/>
                <w:sz w:val="21"/>
                <w:szCs w:val="21"/>
                <w:highlight w:val="none"/>
                <w:u w:val="none"/>
                <w:lang w:val="en-US" w:eastAsia="zh-CN" w:bidi="ar"/>
              </w:rPr>
              <w:t>14708</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4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宋体" w:hAnsi="宋体" w:eastAsia="宋体" w:cs="宋体"/>
                <w:i w:val="0"/>
                <w:iCs w:val="0"/>
                <w:color w:val="auto"/>
                <w:sz w:val="21"/>
                <w:szCs w:val="21"/>
                <w:highlight w:val="none"/>
                <w:u w:val="none"/>
                <w:lang w:val="en-US"/>
              </w:rPr>
            </w:pPr>
            <w:r>
              <w:rPr>
                <w:rFonts w:hint="eastAsia" w:ascii="宋体" w:hAnsi="宋体" w:eastAsia="宋体" w:cs="宋体"/>
                <w:i w:val="0"/>
                <w:iCs w:val="0"/>
                <w:color w:val="auto"/>
                <w:kern w:val="0"/>
                <w:sz w:val="21"/>
                <w:szCs w:val="21"/>
                <w:highlight w:val="none"/>
                <w:u w:val="none"/>
                <w:lang w:val="en-US" w:eastAsia="zh-CN" w:bidi="ar"/>
              </w:rPr>
              <w:t>73542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2.2</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流动资金</w:t>
            </w: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23</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4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2.3</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年运行费</w:t>
            </w: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233</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485</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495</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505</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515</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宋体" w:hAnsi="宋体" w:eastAsia="宋体" w:cs="宋体"/>
                <w:i w:val="0"/>
                <w:iCs w:val="0"/>
                <w:color w:val="auto"/>
                <w:sz w:val="21"/>
                <w:szCs w:val="21"/>
                <w:highlight w:val="none"/>
                <w:u w:val="none"/>
                <w:lang w:val="en-US"/>
              </w:rPr>
            </w:pPr>
            <w:r>
              <w:rPr>
                <w:rFonts w:hint="eastAsia" w:ascii="宋体" w:hAnsi="宋体" w:eastAsia="宋体" w:cs="宋体"/>
                <w:i w:val="0"/>
                <w:iCs w:val="0"/>
                <w:color w:val="auto"/>
                <w:kern w:val="0"/>
                <w:sz w:val="21"/>
                <w:szCs w:val="21"/>
                <w:highlight w:val="none"/>
                <w:u w:val="none"/>
                <w:lang w:val="en-US" w:eastAsia="zh-CN" w:bidi="ar"/>
              </w:rPr>
              <w:t>525</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536</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546</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557</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568</w:t>
            </w:r>
          </w:p>
        </w:tc>
        <w:tc>
          <w:tcPr>
            <w:tcW w:w="4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567～826</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861</w:t>
            </w:r>
          </w:p>
        </w:tc>
        <w:tc>
          <w:tcPr>
            <w:tcW w:w="2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19912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2.4</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其他费用</w:t>
            </w: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4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2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3</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现金流量</w:t>
            </w: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宋体" w:hAnsi="宋体" w:eastAsia="宋体" w:cs="宋体"/>
                <w:i w:val="0"/>
                <w:iCs w:val="0"/>
                <w:color w:val="auto"/>
                <w:sz w:val="21"/>
                <w:szCs w:val="21"/>
                <w:highlight w:val="none"/>
                <w:u w:val="none"/>
                <w:lang w:val="en-US"/>
              </w:rPr>
            </w:pPr>
            <w:r>
              <w:rPr>
                <w:rFonts w:hint="eastAsia" w:ascii="宋体" w:hAnsi="宋体" w:eastAsia="宋体" w:cs="宋体"/>
                <w:i w:val="0"/>
                <w:iCs w:val="0"/>
                <w:color w:val="auto"/>
                <w:kern w:val="0"/>
                <w:sz w:val="21"/>
                <w:szCs w:val="21"/>
                <w:highlight w:val="none"/>
                <w:u w:val="none"/>
                <w:lang w:val="en-US" w:eastAsia="zh-CN" w:bidi="ar"/>
              </w:rPr>
              <w:t>-13208</w:t>
            </w: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宋体" w:hAnsi="宋体" w:eastAsia="宋体" w:cs="宋体"/>
                <w:i w:val="0"/>
                <w:iCs w:val="0"/>
                <w:color w:val="auto"/>
                <w:sz w:val="21"/>
                <w:szCs w:val="21"/>
                <w:highlight w:val="none"/>
                <w:u w:val="none"/>
                <w:lang w:val="en-US"/>
              </w:rPr>
            </w:pPr>
            <w:r>
              <w:rPr>
                <w:rFonts w:hint="eastAsia" w:ascii="宋体" w:hAnsi="宋体" w:eastAsia="宋体" w:cs="宋体"/>
                <w:i w:val="0"/>
                <w:iCs w:val="0"/>
                <w:color w:val="auto"/>
                <w:kern w:val="0"/>
                <w:sz w:val="21"/>
                <w:szCs w:val="21"/>
                <w:highlight w:val="none"/>
                <w:u w:val="none"/>
                <w:lang w:val="en-US" w:eastAsia="zh-CN" w:bidi="ar"/>
              </w:rPr>
              <w:t>-20563</w:t>
            </w:r>
          </w:p>
        </w:tc>
        <w:tc>
          <w:tcPr>
            <w:tcW w:w="2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宋体" w:hAnsi="宋体" w:eastAsia="宋体" w:cs="宋体"/>
                <w:i w:val="0"/>
                <w:iCs w:val="0"/>
                <w:color w:val="auto"/>
                <w:sz w:val="21"/>
                <w:szCs w:val="21"/>
                <w:highlight w:val="none"/>
                <w:u w:val="none"/>
                <w:lang w:val="en-US"/>
              </w:rPr>
            </w:pPr>
            <w:r>
              <w:rPr>
                <w:rFonts w:hint="eastAsia" w:ascii="宋体" w:hAnsi="宋体" w:eastAsia="宋体" w:cs="宋体"/>
                <w:i w:val="0"/>
                <w:iCs w:val="0"/>
                <w:color w:val="auto"/>
                <w:kern w:val="0"/>
                <w:sz w:val="21"/>
                <w:szCs w:val="21"/>
                <w:highlight w:val="none"/>
                <w:u w:val="none"/>
                <w:lang w:val="en-US" w:eastAsia="zh-CN" w:bidi="ar"/>
              </w:rPr>
              <w:t>-18912</w:t>
            </w:r>
          </w:p>
        </w:tc>
        <w:tc>
          <w:tcPr>
            <w:tcW w:w="24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宋体" w:hAnsi="宋体" w:eastAsia="宋体" w:cs="宋体"/>
                <w:i w:val="0"/>
                <w:iCs w:val="0"/>
                <w:color w:val="auto"/>
                <w:sz w:val="21"/>
                <w:szCs w:val="21"/>
                <w:highlight w:val="none"/>
                <w:u w:val="none"/>
                <w:lang w:val="en-US"/>
              </w:rPr>
            </w:pPr>
            <w:r>
              <w:rPr>
                <w:rFonts w:hint="eastAsia" w:ascii="宋体" w:hAnsi="宋体" w:eastAsia="宋体" w:cs="宋体"/>
                <w:i w:val="0"/>
                <w:iCs w:val="0"/>
                <w:color w:val="auto"/>
                <w:kern w:val="0"/>
                <w:sz w:val="21"/>
                <w:szCs w:val="21"/>
                <w:highlight w:val="none"/>
                <w:u w:val="none"/>
                <w:lang w:val="en-US" w:eastAsia="zh-CN" w:bidi="ar"/>
              </w:rPr>
              <w:t>-9338</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7769</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8007</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8252</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8504</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8765</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9033</w:t>
            </w:r>
          </w:p>
        </w:tc>
        <w:tc>
          <w:tcPr>
            <w:tcW w:w="2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9309</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9594</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9887</w:t>
            </w:r>
          </w:p>
        </w:tc>
        <w:tc>
          <w:tcPr>
            <w:tcW w:w="43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10202～18058</w:t>
            </w:r>
          </w:p>
        </w:tc>
        <w:tc>
          <w:tcPr>
            <w:tcW w:w="3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宋体" w:hAnsi="宋体" w:eastAsia="宋体" w:cs="宋体"/>
                <w:i w:val="0"/>
                <w:iCs w:val="0"/>
                <w:color w:val="auto"/>
                <w:sz w:val="21"/>
                <w:szCs w:val="21"/>
                <w:highlight w:val="none"/>
                <w:u w:val="none"/>
                <w:lang w:val="en-US"/>
              </w:rPr>
            </w:pPr>
            <w:r>
              <w:rPr>
                <w:rFonts w:hint="eastAsia" w:ascii="宋体" w:hAnsi="宋体" w:eastAsia="宋体" w:cs="宋体"/>
                <w:i w:val="0"/>
                <w:iCs w:val="0"/>
                <w:color w:val="auto"/>
                <w:kern w:val="0"/>
                <w:sz w:val="21"/>
                <w:szCs w:val="21"/>
                <w:highlight w:val="none"/>
                <w:u w:val="none"/>
                <w:lang w:val="en-US" w:eastAsia="zh-CN" w:bidi="ar"/>
              </w:rPr>
              <w:t>25943</w:t>
            </w:r>
          </w:p>
        </w:tc>
        <w:tc>
          <w:tcPr>
            <w:tcW w:w="29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宋体" w:hAnsi="宋体" w:eastAsia="宋体" w:cs="宋体"/>
                <w:i w:val="0"/>
                <w:iCs w:val="0"/>
                <w:color w:val="auto"/>
                <w:sz w:val="21"/>
                <w:szCs w:val="21"/>
                <w:highlight w:val="none"/>
                <w:u w:val="none"/>
                <w:lang w:val="en-US"/>
              </w:rPr>
            </w:pPr>
            <w:r>
              <w:rPr>
                <w:rFonts w:hint="eastAsia" w:ascii="宋体" w:hAnsi="宋体" w:eastAsia="宋体" w:cs="宋体"/>
                <w:i w:val="0"/>
                <w:iCs w:val="0"/>
                <w:color w:val="auto"/>
                <w:kern w:val="0"/>
                <w:sz w:val="21"/>
                <w:szCs w:val="21"/>
                <w:highlight w:val="none"/>
                <w:u w:val="none"/>
                <w:lang w:val="en-US" w:eastAsia="zh-CN" w:bidi="ar"/>
              </w:rPr>
              <w:t>318327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经济内部收益率</w:t>
            </w:r>
          </w:p>
        </w:tc>
        <w:tc>
          <w:tcPr>
            <w:tcW w:w="94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auto"/>
                <w:sz w:val="21"/>
                <w:szCs w:val="21"/>
                <w:highlight w:val="none"/>
                <w:u w:val="none"/>
              </w:rPr>
            </w:pPr>
            <w:r>
              <w:rPr>
                <w:rFonts w:hint="eastAsia" w:ascii="Times New Roman" w:hAnsi="Times New Roman" w:eastAsia="宋体" w:cs="Times New Roman"/>
                <w:i w:val="0"/>
                <w:iCs w:val="0"/>
                <w:color w:val="auto"/>
                <w:kern w:val="0"/>
                <w:sz w:val="21"/>
                <w:szCs w:val="21"/>
                <w:highlight w:val="none"/>
                <w:u w:val="none"/>
                <w:lang w:val="en-US" w:eastAsia="zh-CN" w:bidi="ar"/>
              </w:rPr>
              <w:t>12.65</w:t>
            </w: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364" w:type="pct"/>
            <w:gridSpan w:val="12"/>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经济净现值(万元)</w:t>
            </w:r>
          </w:p>
        </w:tc>
        <w:tc>
          <w:tcPr>
            <w:tcW w:w="94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宋体" w:hAnsi="宋体" w:eastAsia="宋体" w:cs="宋体"/>
                <w:i w:val="0"/>
                <w:iCs w:val="0"/>
                <w:color w:val="auto"/>
                <w:sz w:val="21"/>
                <w:szCs w:val="21"/>
                <w:highlight w:val="none"/>
                <w:u w:val="none"/>
                <w:lang w:val="en-US"/>
              </w:rPr>
            </w:pPr>
            <w:r>
              <w:rPr>
                <w:rFonts w:hint="eastAsia" w:ascii="宋体" w:hAnsi="宋体" w:eastAsia="宋体" w:cs="宋体"/>
                <w:i w:val="0"/>
                <w:iCs w:val="0"/>
                <w:color w:val="auto"/>
                <w:kern w:val="0"/>
                <w:sz w:val="21"/>
                <w:szCs w:val="21"/>
                <w:highlight w:val="none"/>
                <w:u w:val="none"/>
                <w:lang w:val="en-US" w:eastAsia="zh-CN" w:bidi="ar"/>
              </w:rPr>
              <w:t>46688</w:t>
            </w:r>
          </w:p>
        </w:tc>
        <w:tc>
          <w:tcPr>
            <w:tcW w:w="3364" w:type="pct"/>
            <w:gridSpan w:val="12"/>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bottom"/>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经济效益费用比</w:t>
            </w:r>
          </w:p>
        </w:tc>
        <w:tc>
          <w:tcPr>
            <w:tcW w:w="940" w:type="pct"/>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bottom"/>
              <w:rPr>
                <w:rFonts w:hint="default" w:ascii="宋体" w:hAnsi="宋体" w:eastAsia="宋体" w:cs="宋体"/>
                <w:i w:val="0"/>
                <w:iCs w:val="0"/>
                <w:color w:val="auto"/>
                <w:sz w:val="21"/>
                <w:szCs w:val="21"/>
                <w:highlight w:val="none"/>
                <w:u w:val="none"/>
                <w:lang w:val="en-US"/>
              </w:rPr>
            </w:pPr>
            <w:r>
              <w:rPr>
                <w:rFonts w:hint="eastAsia" w:ascii="宋体" w:hAnsi="宋体" w:eastAsia="宋体" w:cs="宋体"/>
                <w:i w:val="0"/>
                <w:iCs w:val="0"/>
                <w:color w:val="auto"/>
                <w:kern w:val="0"/>
                <w:sz w:val="21"/>
                <w:szCs w:val="21"/>
                <w:highlight w:val="none"/>
                <w:u w:val="none"/>
                <w:lang w:val="en-US" w:eastAsia="zh-CN" w:bidi="ar"/>
              </w:rPr>
              <w:t>2.18</w:t>
            </w:r>
          </w:p>
        </w:tc>
        <w:tc>
          <w:tcPr>
            <w:tcW w:w="3364" w:type="pct"/>
            <w:gridSpan w:val="12"/>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auto"/>
                <w:sz w:val="21"/>
                <w:szCs w:val="21"/>
                <w:highlight w:val="none"/>
                <w:u w:val="none"/>
              </w:rPr>
            </w:pPr>
          </w:p>
        </w:tc>
      </w:tr>
    </w:tbl>
    <w:p>
      <w:pPr>
        <w:pStyle w:val="10"/>
        <w:spacing w:line="500" w:lineRule="exact"/>
        <w:ind w:firstLine="448" w:firstLineChars="200"/>
        <w:jc w:val="both"/>
        <w:rPr>
          <w:rFonts w:asciiTheme="minorEastAsia" w:hAnsiTheme="minorEastAsia" w:eastAsiaTheme="minorEastAsia" w:cstheme="minorEastAsia"/>
          <w:color w:val="auto"/>
          <w:spacing w:val="-8"/>
          <w:sz w:val="24"/>
          <w:szCs w:val="24"/>
        </w:rPr>
      </w:pPr>
    </w:p>
    <w:p>
      <w:pPr>
        <w:pStyle w:val="11"/>
        <w:rPr>
          <w:color w:val="auto"/>
        </w:rPr>
        <w:sectPr>
          <w:type w:val="nextColumn"/>
          <w:pgSz w:w="23811" w:h="16838" w:orient="landscape"/>
          <w:pgMar w:top="1418" w:right="1418" w:bottom="1418" w:left="1701" w:header="0" w:footer="512" w:gutter="0"/>
          <w:cols w:space="720" w:num="1"/>
        </w:sectPr>
      </w:pPr>
    </w:p>
    <w:p>
      <w:pPr>
        <w:pStyle w:val="2"/>
        <w:numPr>
          <w:ilvl w:val="0"/>
          <w:numId w:val="0"/>
        </w:numPr>
        <w:tabs>
          <w:tab w:val="left" w:pos="1016"/>
        </w:tabs>
        <w:spacing w:before="0" w:line="500" w:lineRule="exact"/>
        <w:ind w:leftChars="0"/>
        <w:jc w:val="both"/>
        <w:rPr>
          <w:rFonts w:asciiTheme="minorEastAsia" w:hAnsiTheme="minorEastAsia" w:eastAsiaTheme="minorEastAsia" w:cstheme="minorEastAsia"/>
          <w:color w:val="auto"/>
          <w:sz w:val="24"/>
          <w:szCs w:val="24"/>
        </w:rPr>
      </w:pPr>
      <w:bookmarkStart w:id="214" w:name="15.2环境效益"/>
      <w:bookmarkEnd w:id="214"/>
      <w:bookmarkStart w:id="215" w:name="_Toc463"/>
      <w:bookmarkStart w:id="216" w:name="_Toc839"/>
      <w:r>
        <w:rPr>
          <w:rFonts w:hint="eastAsia" w:asciiTheme="minorEastAsia" w:hAnsiTheme="minorEastAsia" w:eastAsiaTheme="minorEastAsia" w:cstheme="minorEastAsia"/>
          <w:color w:val="auto"/>
          <w:sz w:val="24"/>
          <w:szCs w:val="24"/>
          <w:lang w:val="en-US" w:eastAsia="zh-CN"/>
        </w:rPr>
        <w:t>15.5</w:t>
      </w:r>
      <w:r>
        <w:rPr>
          <w:rFonts w:hint="eastAsia" w:asciiTheme="minorEastAsia" w:hAnsiTheme="minorEastAsia" w:eastAsiaTheme="minorEastAsia" w:cstheme="minorEastAsia"/>
          <w:color w:val="auto"/>
          <w:sz w:val="24"/>
          <w:szCs w:val="24"/>
        </w:rPr>
        <w:t>环境效益</w:t>
      </w:r>
      <w:bookmarkEnd w:id="215"/>
      <w:bookmarkEnd w:id="216"/>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环境效益是本工程实施和完成后所能体现的最直接的工程效益。其主要表现在以下几个方面：</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本项目农村污水经处理后，将大幅度削减污染物的排放量， 从而可有效减轻水环境的污染。</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本项目实施后对水域的保护作用是显而易见的。</w:t>
      </w:r>
    </w:p>
    <w:p>
      <w:pPr>
        <w:pStyle w:val="10"/>
        <w:spacing w:line="500" w:lineRule="exact"/>
        <w:ind w:firstLine="428"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3"/>
          <w:sz w:val="24"/>
          <w:szCs w:val="24"/>
        </w:rPr>
        <w:t>作为一项重要的城市基础设施，污水处理工程的建设将有效地改善农村居住的环境条件，对改善村民生活条件、提供村民健</w:t>
      </w:r>
      <w:r>
        <w:rPr>
          <w:rFonts w:hint="eastAsia" w:asciiTheme="minorEastAsia" w:hAnsiTheme="minorEastAsia" w:eastAsiaTheme="minorEastAsia" w:cstheme="minorEastAsia"/>
          <w:color w:val="auto"/>
          <w:spacing w:val="-12"/>
          <w:sz w:val="24"/>
          <w:szCs w:val="24"/>
        </w:rPr>
        <w:t>康水平有十分重要的作用。</w:t>
      </w:r>
    </w:p>
    <w:p>
      <w:pPr>
        <w:pStyle w:val="2"/>
        <w:numPr>
          <w:ilvl w:val="0"/>
          <w:numId w:val="0"/>
        </w:numPr>
        <w:tabs>
          <w:tab w:val="left" w:pos="1016"/>
        </w:tabs>
        <w:spacing w:before="0" w:line="500" w:lineRule="exact"/>
        <w:ind w:leftChars="0"/>
        <w:jc w:val="both"/>
        <w:rPr>
          <w:rFonts w:asciiTheme="minorEastAsia" w:hAnsiTheme="minorEastAsia" w:eastAsiaTheme="minorEastAsia" w:cstheme="minorEastAsia"/>
          <w:color w:val="auto"/>
          <w:sz w:val="24"/>
          <w:szCs w:val="24"/>
        </w:rPr>
      </w:pPr>
      <w:bookmarkStart w:id="217" w:name="15.3社会效益"/>
      <w:bookmarkEnd w:id="217"/>
      <w:bookmarkStart w:id="218" w:name="_Toc410"/>
      <w:bookmarkStart w:id="219" w:name="_Toc3190"/>
      <w:r>
        <w:rPr>
          <w:rFonts w:hint="eastAsia" w:asciiTheme="minorEastAsia" w:hAnsiTheme="minorEastAsia" w:eastAsiaTheme="minorEastAsia" w:cstheme="minorEastAsia"/>
          <w:color w:val="auto"/>
          <w:sz w:val="24"/>
          <w:szCs w:val="24"/>
          <w:lang w:val="en-US" w:eastAsia="zh-CN"/>
        </w:rPr>
        <w:t>15.6</w:t>
      </w:r>
      <w:r>
        <w:rPr>
          <w:rFonts w:hint="eastAsia" w:asciiTheme="minorEastAsia" w:hAnsiTheme="minorEastAsia" w:eastAsiaTheme="minorEastAsia" w:cstheme="minorEastAsia"/>
          <w:color w:val="auto"/>
          <w:sz w:val="24"/>
          <w:szCs w:val="24"/>
        </w:rPr>
        <w:t>社会效益</w:t>
      </w:r>
      <w:bookmarkEnd w:id="218"/>
      <w:bookmarkEnd w:id="219"/>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在环境保护已成为一项基本国策的今天，水污染所引发的各</w:t>
      </w:r>
      <w:r>
        <w:rPr>
          <w:rFonts w:hint="eastAsia" w:asciiTheme="minorEastAsia" w:hAnsiTheme="minorEastAsia" w:eastAsiaTheme="minorEastAsia" w:cstheme="minorEastAsia"/>
          <w:color w:val="auto"/>
          <w:spacing w:val="-17"/>
          <w:sz w:val="24"/>
          <w:szCs w:val="24"/>
        </w:rPr>
        <w:t>种问题日益受到全社会的关注与重视，甚至对社会的安定、国民经济的持续稳定发展产生重要影响。本工程的实施，对罗定市的</w:t>
      </w:r>
      <w:r>
        <w:rPr>
          <w:rFonts w:hint="eastAsia" w:asciiTheme="minorEastAsia" w:hAnsiTheme="minorEastAsia" w:eastAsiaTheme="minorEastAsia" w:cstheme="minorEastAsia"/>
          <w:color w:val="auto"/>
          <w:spacing w:val="-13"/>
          <w:sz w:val="24"/>
          <w:szCs w:val="24"/>
        </w:rPr>
        <w:t>发展战略，具有深远的意义和影响。</w:t>
      </w:r>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此外，本项目的实施将使罗定市树立起更加良好的形象，城市环境条件的改善也将使人民更加安居乐业，吸引社会投资，这些都</w:t>
      </w:r>
      <w:r>
        <w:rPr>
          <w:rFonts w:hint="eastAsia" w:asciiTheme="minorEastAsia" w:hAnsiTheme="minorEastAsia" w:eastAsiaTheme="minorEastAsia" w:cstheme="minorEastAsia"/>
          <w:color w:val="auto"/>
          <w:sz w:val="24"/>
          <w:szCs w:val="24"/>
        </w:rPr>
        <w:t>对促进社会的安定团结、促进社会经济的发展进步起到重要作用。</w:t>
      </w:r>
    </w:p>
    <w:p>
      <w:pPr>
        <w:pStyle w:val="2"/>
        <w:numPr>
          <w:ilvl w:val="0"/>
          <w:numId w:val="0"/>
        </w:numPr>
        <w:tabs>
          <w:tab w:val="left" w:pos="1016"/>
        </w:tabs>
        <w:spacing w:before="0" w:line="500" w:lineRule="exact"/>
        <w:ind w:leftChars="0"/>
        <w:jc w:val="both"/>
        <w:rPr>
          <w:rFonts w:asciiTheme="minorEastAsia" w:hAnsiTheme="minorEastAsia" w:eastAsiaTheme="minorEastAsia" w:cstheme="minorEastAsia"/>
          <w:color w:val="auto"/>
          <w:sz w:val="24"/>
          <w:szCs w:val="24"/>
        </w:rPr>
      </w:pPr>
      <w:bookmarkStart w:id="220" w:name="15.4结论"/>
      <w:bookmarkEnd w:id="220"/>
      <w:bookmarkStart w:id="221" w:name="_Toc19426"/>
      <w:bookmarkStart w:id="222" w:name="_Toc8106"/>
      <w:r>
        <w:rPr>
          <w:rFonts w:hint="eastAsia" w:asciiTheme="minorEastAsia" w:hAnsiTheme="minorEastAsia" w:eastAsiaTheme="minorEastAsia" w:cstheme="minorEastAsia"/>
          <w:color w:val="auto"/>
          <w:sz w:val="24"/>
          <w:szCs w:val="24"/>
          <w:lang w:val="en-US" w:eastAsia="zh-CN"/>
        </w:rPr>
        <w:t>15.7</w:t>
      </w:r>
      <w:r>
        <w:rPr>
          <w:rFonts w:hint="eastAsia" w:asciiTheme="minorEastAsia" w:hAnsiTheme="minorEastAsia" w:eastAsiaTheme="minorEastAsia" w:cstheme="minorEastAsia"/>
          <w:color w:val="auto"/>
          <w:sz w:val="24"/>
          <w:szCs w:val="24"/>
        </w:rPr>
        <w:t>结论</w:t>
      </w:r>
      <w:bookmarkEnd w:id="221"/>
      <w:bookmarkEnd w:id="222"/>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本项目对罗定市城镇化建设、优化产业结构、实现经济社会持</w:t>
      </w:r>
      <w:r>
        <w:rPr>
          <w:rFonts w:hint="eastAsia" w:asciiTheme="minorEastAsia" w:hAnsiTheme="minorEastAsia" w:eastAsiaTheme="minorEastAsia" w:cstheme="minorEastAsia"/>
          <w:color w:val="auto"/>
          <w:spacing w:val="-17"/>
          <w:sz w:val="24"/>
          <w:szCs w:val="24"/>
        </w:rPr>
        <w:t>续发展和率先基本实现现代化有较大的推动作用；对保护环境、改</w:t>
      </w:r>
      <w:r>
        <w:rPr>
          <w:rFonts w:hint="eastAsia" w:asciiTheme="minorEastAsia" w:hAnsiTheme="minorEastAsia" w:eastAsiaTheme="minorEastAsia" w:cstheme="minorEastAsia"/>
          <w:color w:val="auto"/>
          <w:spacing w:val="-25"/>
          <w:sz w:val="24"/>
          <w:szCs w:val="24"/>
        </w:rPr>
        <w:t>善人民的生活环境、提高生活水平有重要的作用。项目有很好的经济</w:t>
      </w:r>
      <w:r>
        <w:rPr>
          <w:rFonts w:hint="eastAsia" w:asciiTheme="minorEastAsia" w:hAnsiTheme="minorEastAsia" w:eastAsiaTheme="minorEastAsia" w:cstheme="minorEastAsia"/>
          <w:color w:val="auto"/>
          <w:spacing w:val="-15"/>
          <w:sz w:val="24"/>
          <w:szCs w:val="24"/>
        </w:rPr>
        <w:t>效益，国民经济评价可行。</w:t>
      </w:r>
    </w:p>
    <w:p>
      <w:pPr>
        <w:spacing w:line="500" w:lineRule="exact"/>
        <w:ind w:firstLine="480" w:firstLineChars="200"/>
        <w:jc w:val="both"/>
        <w:rPr>
          <w:rFonts w:asciiTheme="minorEastAsia" w:hAnsiTheme="minorEastAsia" w:eastAsiaTheme="minorEastAsia" w:cstheme="minorEastAsia"/>
          <w:color w:val="auto"/>
          <w:sz w:val="24"/>
          <w:szCs w:val="24"/>
        </w:rPr>
        <w:sectPr>
          <w:type w:val="nextColumn"/>
          <w:pgSz w:w="11910" w:h="16840"/>
          <w:pgMar w:top="1418" w:right="1418" w:bottom="1418" w:left="1701" w:header="0" w:footer="512" w:gutter="0"/>
          <w:cols w:space="720" w:num="1"/>
        </w:sectPr>
      </w:pPr>
    </w:p>
    <w:p>
      <w:pPr>
        <w:pStyle w:val="2"/>
        <w:numPr>
          <w:ilvl w:val="0"/>
          <w:numId w:val="65"/>
        </w:numPr>
        <w:jc w:val="center"/>
        <w:rPr>
          <w:color w:val="auto"/>
        </w:rPr>
      </w:pPr>
      <w:bookmarkStart w:id="223" w:name="_Toc24381"/>
      <w:bookmarkStart w:id="224" w:name="_Toc8310"/>
      <w:r>
        <w:rPr>
          <w:rFonts w:hint="eastAsia"/>
          <w:color w:val="auto"/>
        </w:rPr>
        <w:t>工程招标</w:t>
      </w:r>
      <w:bookmarkEnd w:id="223"/>
      <w:bookmarkEnd w:id="224"/>
    </w:p>
    <w:p>
      <w:pPr>
        <w:pStyle w:val="32"/>
        <w:numPr>
          <w:ilvl w:val="0"/>
          <w:numId w:val="99"/>
        </w:numPr>
        <w:tabs>
          <w:tab w:val="left" w:pos="1016"/>
        </w:tabs>
        <w:spacing w:line="500" w:lineRule="exact"/>
        <w:jc w:val="both"/>
        <w:outlineLvl w:val="0"/>
        <w:rPr>
          <w:rFonts w:asciiTheme="minorEastAsia" w:hAnsiTheme="minorEastAsia" w:eastAsiaTheme="minorEastAsia" w:cstheme="minorEastAsia"/>
          <w:b/>
          <w:bCs/>
          <w:vanish/>
          <w:color w:val="auto"/>
          <w:sz w:val="24"/>
          <w:szCs w:val="24"/>
        </w:rPr>
      </w:pPr>
      <w:bookmarkStart w:id="225" w:name="16.1招投标方案"/>
      <w:bookmarkEnd w:id="225"/>
      <w:bookmarkStart w:id="226" w:name="_Toc23236"/>
    </w:p>
    <w:p>
      <w:pPr>
        <w:pStyle w:val="32"/>
        <w:numPr>
          <w:ilvl w:val="0"/>
          <w:numId w:val="99"/>
        </w:numPr>
        <w:tabs>
          <w:tab w:val="left" w:pos="1016"/>
        </w:tabs>
        <w:spacing w:line="500" w:lineRule="exact"/>
        <w:jc w:val="both"/>
        <w:outlineLvl w:val="0"/>
        <w:rPr>
          <w:rFonts w:asciiTheme="minorEastAsia" w:hAnsiTheme="minorEastAsia" w:eastAsiaTheme="minorEastAsia" w:cstheme="minorEastAsia"/>
          <w:b/>
          <w:bCs/>
          <w:vanish/>
          <w:color w:val="auto"/>
          <w:sz w:val="24"/>
          <w:szCs w:val="24"/>
        </w:rPr>
      </w:pPr>
    </w:p>
    <w:p>
      <w:pPr>
        <w:pStyle w:val="2"/>
        <w:numPr>
          <w:ilvl w:val="0"/>
          <w:numId w:val="0"/>
        </w:numPr>
        <w:tabs>
          <w:tab w:val="left" w:pos="1016"/>
        </w:tabs>
        <w:spacing w:before="0" w:line="500" w:lineRule="exact"/>
        <w:ind w:leftChars="0"/>
        <w:jc w:val="both"/>
        <w:rPr>
          <w:rFonts w:asciiTheme="minorEastAsia" w:hAnsiTheme="minorEastAsia" w:eastAsiaTheme="minorEastAsia" w:cstheme="minorEastAsia"/>
          <w:color w:val="auto"/>
          <w:sz w:val="24"/>
          <w:szCs w:val="24"/>
        </w:rPr>
      </w:pPr>
      <w:bookmarkStart w:id="227" w:name="_Toc8456"/>
      <w:r>
        <w:rPr>
          <w:rFonts w:hint="eastAsia" w:asciiTheme="minorEastAsia" w:hAnsiTheme="minorEastAsia" w:eastAsiaTheme="minorEastAsia" w:cstheme="minorEastAsia"/>
          <w:color w:val="auto"/>
          <w:sz w:val="24"/>
          <w:szCs w:val="24"/>
          <w:lang w:val="en-US" w:eastAsia="zh-CN"/>
        </w:rPr>
        <w:t>16.1</w:t>
      </w:r>
      <w:r>
        <w:rPr>
          <w:rFonts w:hint="eastAsia" w:asciiTheme="minorEastAsia" w:hAnsiTheme="minorEastAsia" w:eastAsiaTheme="minorEastAsia" w:cstheme="minorEastAsia"/>
          <w:color w:val="auto"/>
          <w:sz w:val="24"/>
          <w:szCs w:val="24"/>
        </w:rPr>
        <w:t>招投标方案</w:t>
      </w:r>
      <w:bookmarkEnd w:id="226"/>
      <w:bookmarkEnd w:id="227"/>
    </w:p>
    <w:p>
      <w:pPr>
        <w:pStyle w:val="10"/>
        <w:spacing w:line="500" w:lineRule="exact"/>
        <w:ind w:firstLine="412"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7"/>
          <w:sz w:val="24"/>
          <w:szCs w:val="24"/>
        </w:rPr>
        <w:t>根据《中华人民共和国招投标法》、国家发展计划委员会第</w:t>
      </w:r>
      <w:r>
        <w:rPr>
          <w:rFonts w:hint="eastAsia" w:asciiTheme="minorEastAsia" w:hAnsiTheme="minorEastAsia" w:eastAsiaTheme="minorEastAsia" w:cstheme="minorEastAsia"/>
          <w:color w:val="auto"/>
          <w:sz w:val="24"/>
          <w:szCs w:val="24"/>
        </w:rPr>
        <w:t>3</w:t>
      </w:r>
      <w:r>
        <w:rPr>
          <w:rFonts w:hint="eastAsia" w:asciiTheme="minorEastAsia" w:hAnsiTheme="minorEastAsia" w:eastAsiaTheme="minorEastAsia" w:cstheme="minorEastAsia"/>
          <w:color w:val="auto"/>
          <w:spacing w:val="-15"/>
          <w:sz w:val="24"/>
          <w:szCs w:val="24"/>
        </w:rPr>
        <w:t>号令以及云浮市有关工程招投标文件规定，为保护社会公共利益和业主的合法权益，提高本项目经济效益，保证项目质量，本项目建</w:t>
      </w:r>
      <w:r>
        <w:rPr>
          <w:rFonts w:hint="eastAsia" w:asciiTheme="minorEastAsia" w:hAnsiTheme="minorEastAsia" w:eastAsiaTheme="minorEastAsia" w:cstheme="minorEastAsia"/>
          <w:color w:val="auto"/>
          <w:spacing w:val="-14"/>
          <w:sz w:val="24"/>
          <w:szCs w:val="24"/>
        </w:rPr>
        <w:t>设应进行招投标。</w:t>
      </w:r>
    </w:p>
    <w:p>
      <w:pPr>
        <w:pStyle w:val="32"/>
        <w:numPr>
          <w:ilvl w:val="0"/>
          <w:numId w:val="97"/>
        </w:numPr>
        <w:tabs>
          <w:tab w:val="left" w:pos="1460"/>
        </w:tabs>
        <w:spacing w:line="500" w:lineRule="exact"/>
        <w:jc w:val="both"/>
        <w:rPr>
          <w:rFonts w:asciiTheme="minorEastAsia" w:hAnsiTheme="minorEastAsia" w:eastAsiaTheme="minorEastAsia" w:cstheme="minorEastAsia"/>
          <w:b/>
          <w:bCs/>
          <w:vanish/>
          <w:color w:val="auto"/>
          <w:spacing w:val="-11"/>
          <w:sz w:val="24"/>
          <w:szCs w:val="24"/>
        </w:rPr>
      </w:pPr>
    </w:p>
    <w:p>
      <w:pPr>
        <w:pStyle w:val="32"/>
        <w:numPr>
          <w:ilvl w:val="1"/>
          <w:numId w:val="97"/>
        </w:numPr>
        <w:tabs>
          <w:tab w:val="left" w:pos="1460"/>
        </w:tabs>
        <w:spacing w:line="500" w:lineRule="exact"/>
        <w:jc w:val="both"/>
        <w:rPr>
          <w:rFonts w:asciiTheme="minorEastAsia" w:hAnsiTheme="minorEastAsia" w:eastAsiaTheme="minorEastAsia" w:cstheme="minorEastAsia"/>
          <w:b/>
          <w:bCs/>
          <w:vanish/>
          <w:color w:val="auto"/>
          <w:spacing w:val="-11"/>
          <w:sz w:val="24"/>
          <w:szCs w:val="24"/>
        </w:rPr>
      </w:pPr>
    </w:p>
    <w:p>
      <w:pPr>
        <w:pStyle w:val="32"/>
        <w:numPr>
          <w:ilvl w:val="2"/>
          <w:numId w:val="0"/>
        </w:numPr>
        <w:tabs>
          <w:tab w:val="left" w:pos="1460"/>
        </w:tabs>
        <w:spacing w:line="500" w:lineRule="exact"/>
        <w:ind w:left="547" w:leftChars="0"/>
        <w:jc w:val="both"/>
        <w:rPr>
          <w:rFonts w:asciiTheme="minorEastAsia" w:hAnsiTheme="minorEastAsia" w:eastAsiaTheme="minorEastAsia" w:cstheme="minorEastAsia"/>
          <w:b/>
          <w:bCs/>
          <w:color w:val="auto"/>
          <w:spacing w:val="-11"/>
          <w:sz w:val="24"/>
          <w:szCs w:val="24"/>
        </w:rPr>
      </w:pPr>
      <w:r>
        <w:rPr>
          <w:rFonts w:hint="eastAsia" w:asciiTheme="minorEastAsia" w:hAnsiTheme="minorEastAsia" w:eastAsiaTheme="minorEastAsia" w:cstheme="minorEastAsia"/>
          <w:b/>
          <w:bCs/>
          <w:color w:val="auto"/>
          <w:spacing w:val="-11"/>
          <w:sz w:val="24"/>
          <w:szCs w:val="24"/>
          <w:lang w:val="en-US" w:eastAsia="zh-CN"/>
        </w:rPr>
        <w:t>16.1.1</w:t>
      </w:r>
      <w:r>
        <w:rPr>
          <w:rFonts w:hint="eastAsia" w:asciiTheme="minorEastAsia" w:hAnsiTheme="minorEastAsia" w:eastAsiaTheme="minorEastAsia" w:cstheme="minorEastAsia"/>
          <w:b/>
          <w:bCs/>
          <w:color w:val="auto"/>
          <w:spacing w:val="-11"/>
          <w:sz w:val="24"/>
          <w:szCs w:val="24"/>
        </w:rPr>
        <w:t>招标组织形式</w:t>
      </w:r>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 xml:space="preserve">由于本项目的建设单位为云浮市生态环境局罗定分局，本身不具备编制招标文件和组织评标能力，按照《中华人民共和国招标投标法》规定，可以委托有资质的招标代理机构进行招标事 </w:t>
      </w:r>
      <w:r>
        <w:rPr>
          <w:rFonts w:hint="eastAsia" w:asciiTheme="minorEastAsia" w:hAnsiTheme="minorEastAsia" w:eastAsiaTheme="minorEastAsia" w:cstheme="minorEastAsia"/>
          <w:color w:val="auto"/>
          <w:spacing w:val="-4"/>
          <w:sz w:val="24"/>
          <w:szCs w:val="24"/>
        </w:rPr>
        <w:t>宜。</w:t>
      </w:r>
    </w:p>
    <w:p>
      <w:pPr>
        <w:pStyle w:val="32"/>
        <w:numPr>
          <w:ilvl w:val="2"/>
          <w:numId w:val="0"/>
        </w:numPr>
        <w:tabs>
          <w:tab w:val="left" w:pos="1460"/>
        </w:tabs>
        <w:spacing w:line="500" w:lineRule="exact"/>
        <w:ind w:left="547" w:leftChars="0"/>
        <w:jc w:val="both"/>
        <w:rPr>
          <w:rFonts w:asciiTheme="minorEastAsia" w:hAnsiTheme="minorEastAsia" w:eastAsiaTheme="minorEastAsia" w:cstheme="minorEastAsia"/>
          <w:b/>
          <w:bCs/>
          <w:color w:val="auto"/>
          <w:spacing w:val="-11"/>
          <w:sz w:val="24"/>
          <w:szCs w:val="24"/>
        </w:rPr>
      </w:pPr>
      <w:r>
        <w:rPr>
          <w:rFonts w:hint="eastAsia" w:asciiTheme="minorEastAsia" w:hAnsiTheme="minorEastAsia" w:eastAsiaTheme="minorEastAsia" w:cstheme="minorEastAsia"/>
          <w:b/>
          <w:bCs/>
          <w:color w:val="auto"/>
          <w:spacing w:val="-11"/>
          <w:sz w:val="24"/>
          <w:szCs w:val="24"/>
          <w:lang w:val="en-US" w:eastAsia="zh-CN"/>
        </w:rPr>
        <w:t>16.1.2</w:t>
      </w:r>
      <w:r>
        <w:rPr>
          <w:rFonts w:hint="eastAsia" w:asciiTheme="minorEastAsia" w:hAnsiTheme="minorEastAsia" w:eastAsiaTheme="minorEastAsia" w:cstheme="minorEastAsia"/>
          <w:b/>
          <w:bCs/>
          <w:color w:val="auto"/>
          <w:spacing w:val="-11"/>
          <w:sz w:val="24"/>
          <w:szCs w:val="24"/>
        </w:rPr>
        <w:t xml:space="preserve"> 招投标工作组织</w:t>
      </w:r>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由业主委托具有资质的招标代理机构组织实施本项目的招投标工作，招标代理机构须按公平、公开、公正的原则组织完成公告、资质审查、编制招标文件、评标等工作。评标机构为评审委员会，由包括技术、经济、商务等方面的专家组成。招标信息发布应按政府要求在指定的媒体上公开发布。</w:t>
      </w:r>
    </w:p>
    <w:p>
      <w:pPr>
        <w:pStyle w:val="32"/>
        <w:numPr>
          <w:ilvl w:val="2"/>
          <w:numId w:val="0"/>
        </w:numPr>
        <w:tabs>
          <w:tab w:val="left" w:pos="1460"/>
        </w:tabs>
        <w:spacing w:line="500" w:lineRule="exact"/>
        <w:ind w:left="547" w:leftChars="0"/>
        <w:jc w:val="both"/>
        <w:rPr>
          <w:rFonts w:asciiTheme="minorEastAsia" w:hAnsiTheme="minorEastAsia" w:eastAsiaTheme="minorEastAsia" w:cstheme="minorEastAsia"/>
          <w:b/>
          <w:bCs/>
          <w:color w:val="auto"/>
          <w:spacing w:val="-11"/>
          <w:sz w:val="24"/>
          <w:szCs w:val="24"/>
        </w:rPr>
      </w:pPr>
      <w:r>
        <w:rPr>
          <w:rFonts w:hint="eastAsia" w:asciiTheme="minorEastAsia" w:hAnsiTheme="minorEastAsia" w:eastAsiaTheme="minorEastAsia" w:cstheme="minorEastAsia"/>
          <w:b/>
          <w:bCs/>
          <w:color w:val="auto"/>
          <w:spacing w:val="-11"/>
          <w:sz w:val="24"/>
          <w:szCs w:val="24"/>
          <w:lang w:val="en-US" w:eastAsia="zh-CN"/>
        </w:rPr>
        <w:t>16.1.3</w:t>
      </w:r>
      <w:r>
        <w:rPr>
          <w:rFonts w:hint="eastAsia" w:asciiTheme="minorEastAsia" w:hAnsiTheme="minorEastAsia" w:eastAsiaTheme="minorEastAsia" w:cstheme="minorEastAsia"/>
          <w:b/>
          <w:bCs/>
          <w:color w:val="auto"/>
          <w:spacing w:val="-11"/>
          <w:sz w:val="24"/>
          <w:szCs w:val="24"/>
        </w:rPr>
        <w:t>招投标方式</w:t>
      </w:r>
    </w:p>
    <w:p>
      <w:pPr>
        <w:pStyle w:val="10"/>
        <w:spacing w:line="500" w:lineRule="exact"/>
        <w:ind w:firstLine="42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pacing w:val="-15"/>
          <w:sz w:val="24"/>
          <w:szCs w:val="24"/>
        </w:rPr>
        <w:t>依据广东省实施《中华人民共和国招标投标法》办法“第十</w:t>
      </w:r>
      <w:r>
        <w:rPr>
          <w:rFonts w:hint="eastAsia" w:asciiTheme="minorEastAsia" w:hAnsiTheme="minorEastAsia" w:eastAsiaTheme="minorEastAsia" w:cstheme="minorEastAsia"/>
          <w:color w:val="auto"/>
          <w:spacing w:val="-14"/>
          <w:sz w:val="24"/>
          <w:szCs w:val="24"/>
        </w:rPr>
        <w:t>一条</w:t>
      </w:r>
      <w:r>
        <w:rPr>
          <w:rFonts w:hint="eastAsia" w:asciiTheme="minorEastAsia" w:hAnsiTheme="minorEastAsia" w:eastAsiaTheme="minorEastAsia" w:cstheme="minorEastAsia"/>
          <w:color w:val="auto"/>
          <w:spacing w:val="-15"/>
          <w:sz w:val="24"/>
          <w:szCs w:val="24"/>
        </w:rPr>
        <w:t>（</w:t>
      </w:r>
      <w:r>
        <w:rPr>
          <w:rFonts w:hint="eastAsia" w:asciiTheme="minorEastAsia" w:hAnsiTheme="minorEastAsia" w:eastAsiaTheme="minorEastAsia" w:cstheme="minorEastAsia"/>
          <w:color w:val="auto"/>
          <w:spacing w:val="-10"/>
          <w:sz w:val="24"/>
          <w:szCs w:val="24"/>
        </w:rPr>
        <w:t>一</w:t>
      </w:r>
      <w:r>
        <w:rPr>
          <w:rFonts w:hint="eastAsia" w:asciiTheme="minorEastAsia" w:hAnsiTheme="minorEastAsia" w:eastAsiaTheme="minorEastAsia" w:cstheme="minorEastAsia"/>
          <w:color w:val="auto"/>
          <w:spacing w:val="-15"/>
          <w:sz w:val="24"/>
          <w:szCs w:val="24"/>
        </w:rPr>
        <w:t>）列入国家计划的大中型基本建设和技术改造项目；（</w:t>
      </w:r>
      <w:r>
        <w:rPr>
          <w:rFonts w:hint="eastAsia" w:asciiTheme="minorEastAsia" w:hAnsiTheme="minorEastAsia" w:eastAsiaTheme="minorEastAsia" w:cstheme="minorEastAsia"/>
          <w:color w:val="auto"/>
          <w:spacing w:val="-10"/>
          <w:sz w:val="24"/>
          <w:szCs w:val="24"/>
        </w:rPr>
        <w:t>二</w:t>
      </w:r>
      <w:r>
        <w:rPr>
          <w:rFonts w:hint="eastAsia" w:asciiTheme="minorEastAsia" w:hAnsiTheme="minorEastAsia" w:eastAsiaTheme="minorEastAsia" w:cstheme="minorEastAsia"/>
          <w:color w:val="auto"/>
          <w:spacing w:val="-15"/>
          <w:sz w:val="24"/>
          <w:szCs w:val="24"/>
        </w:rPr>
        <w:t>）省重点基本建设项目和技术改造项目；</w:t>
      </w:r>
      <w:r>
        <w:rPr>
          <w:rFonts w:hint="eastAsia" w:asciiTheme="minorEastAsia" w:hAnsiTheme="minorEastAsia" w:eastAsiaTheme="minorEastAsia" w:cstheme="minorEastAsia"/>
          <w:color w:val="auto"/>
          <w:spacing w:val="-14"/>
          <w:sz w:val="24"/>
          <w:szCs w:val="24"/>
        </w:rPr>
        <w:t>（</w:t>
      </w:r>
      <w:r>
        <w:rPr>
          <w:rFonts w:hint="eastAsia" w:asciiTheme="minorEastAsia" w:hAnsiTheme="minorEastAsia" w:eastAsiaTheme="minorEastAsia" w:cstheme="minorEastAsia"/>
          <w:color w:val="auto"/>
          <w:spacing w:val="-13"/>
          <w:sz w:val="24"/>
          <w:szCs w:val="24"/>
        </w:rPr>
        <w:t>三</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pacing w:val="-5"/>
          <w:sz w:val="24"/>
          <w:szCs w:val="24"/>
        </w:rPr>
        <w:t xml:space="preserve"> 使用财政性</w:t>
      </w:r>
      <w:r>
        <w:rPr>
          <w:rFonts w:hint="eastAsia" w:asciiTheme="minorEastAsia" w:hAnsiTheme="minorEastAsia" w:eastAsiaTheme="minorEastAsia" w:cstheme="minorEastAsia"/>
          <w:color w:val="auto"/>
          <w:spacing w:val="-15"/>
          <w:sz w:val="24"/>
          <w:szCs w:val="24"/>
        </w:rPr>
        <w:t>资金投资的项目；</w:t>
      </w:r>
      <w:r>
        <w:rPr>
          <w:rFonts w:hint="eastAsia" w:asciiTheme="minorEastAsia" w:hAnsiTheme="minorEastAsia" w:eastAsiaTheme="minorEastAsia" w:cstheme="minorEastAsia"/>
          <w:color w:val="auto"/>
          <w:spacing w:val="-14"/>
          <w:sz w:val="24"/>
          <w:szCs w:val="24"/>
        </w:rPr>
        <w:t>（</w:t>
      </w:r>
      <w:r>
        <w:rPr>
          <w:rFonts w:hint="eastAsia" w:asciiTheme="minorEastAsia" w:hAnsiTheme="minorEastAsia" w:eastAsiaTheme="minorEastAsia" w:cstheme="minorEastAsia"/>
          <w:color w:val="auto"/>
          <w:spacing w:val="-13"/>
          <w:sz w:val="24"/>
          <w:szCs w:val="24"/>
        </w:rPr>
        <w:t>四</w:t>
      </w:r>
      <w:r>
        <w:rPr>
          <w:rFonts w:hint="eastAsia" w:asciiTheme="minorEastAsia" w:hAnsiTheme="minorEastAsia" w:eastAsiaTheme="minorEastAsia" w:cstheme="minorEastAsia"/>
          <w:color w:val="auto"/>
          <w:spacing w:val="-15"/>
          <w:sz w:val="24"/>
          <w:szCs w:val="24"/>
        </w:rPr>
        <w:t>）使用财政性资金采购货物、购置设备的</w:t>
      </w:r>
      <w:r>
        <w:rPr>
          <w:rFonts w:hint="eastAsia" w:asciiTheme="minorEastAsia" w:hAnsiTheme="minorEastAsia" w:eastAsiaTheme="minorEastAsia" w:cstheme="minorEastAsia"/>
          <w:color w:val="auto"/>
          <w:spacing w:val="-10"/>
          <w:sz w:val="24"/>
          <w:szCs w:val="24"/>
        </w:rPr>
        <w:t>项目；（</w:t>
      </w:r>
      <w:r>
        <w:rPr>
          <w:rFonts w:hint="eastAsia" w:asciiTheme="minorEastAsia" w:hAnsiTheme="minorEastAsia" w:eastAsiaTheme="minorEastAsia" w:cstheme="minorEastAsia"/>
          <w:color w:val="auto"/>
          <w:spacing w:val="-13"/>
          <w:sz w:val="24"/>
          <w:szCs w:val="24"/>
        </w:rPr>
        <w:t>五</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pacing w:val="-13"/>
          <w:sz w:val="24"/>
          <w:szCs w:val="24"/>
        </w:rPr>
        <w:t xml:space="preserve"> 使用财政性资金的勘察、设计、咨询、监理、管理等服务项目。全部使用国有资金投资， 以及国有资金投资占控股或者主导地位的工程建设项目进行公开招标，按照国家有关规 定</w:t>
      </w:r>
      <w:r>
        <w:rPr>
          <w:rFonts w:hint="eastAsia" w:asciiTheme="minorEastAsia" w:hAnsiTheme="minorEastAsia" w:eastAsiaTheme="minorEastAsia" w:cstheme="minorEastAsia"/>
          <w:color w:val="auto"/>
          <w:spacing w:val="-15"/>
          <w:sz w:val="24"/>
          <w:szCs w:val="24"/>
        </w:rPr>
        <w:t>执行”的原则，本项目的招标方式为公开招标。</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mc:AlternateContent>
          <mc:Choice Requires="wps">
            <w:drawing>
              <wp:anchor distT="0" distB="0" distL="114300" distR="114300" simplePos="0" relativeHeight="251679744" behindDoc="0" locked="0" layoutInCell="1" allowOverlap="1">
                <wp:simplePos x="0" y="0"/>
                <wp:positionH relativeFrom="page">
                  <wp:posOffset>1066800</wp:posOffset>
                </wp:positionH>
                <wp:positionV relativeFrom="paragraph">
                  <wp:posOffset>721360</wp:posOffset>
                </wp:positionV>
                <wp:extent cx="5497195" cy="4942205"/>
                <wp:effectExtent l="0" t="0" r="8255" b="11430"/>
                <wp:wrapNone/>
                <wp:docPr id="52" name="文本框 8"/>
                <wp:cNvGraphicFramePr/>
                <a:graphic xmlns:a="http://schemas.openxmlformats.org/drawingml/2006/main">
                  <a:graphicData uri="http://schemas.microsoft.com/office/word/2010/wordprocessingShape">
                    <wps:wsp>
                      <wps:cNvSpPr txBox="1"/>
                      <wps:spPr>
                        <a:xfrm>
                          <a:off x="0" y="0"/>
                          <a:ext cx="5497286" cy="4942115"/>
                        </a:xfrm>
                        <a:prstGeom prst="rect">
                          <a:avLst/>
                        </a:prstGeom>
                        <a:noFill/>
                        <a:ln>
                          <a:noFill/>
                        </a:ln>
                      </wps:spPr>
                      <wps:txbx>
                        <w:txbxContent>
                          <w:p>
                            <w:pPr>
                              <w:pStyle w:val="10"/>
                            </w:pPr>
                          </w:p>
                        </w:txbxContent>
                      </wps:txbx>
                      <wps:bodyPr wrap="square" lIns="0" tIns="0" rIns="0" bIns="0" upright="1">
                        <a:noAutofit/>
                      </wps:bodyPr>
                    </wps:wsp>
                  </a:graphicData>
                </a:graphic>
              </wp:anchor>
            </w:drawing>
          </mc:Choice>
          <mc:Fallback>
            <w:pict>
              <v:shape id="文本框 8" o:spid="_x0000_s1026" o:spt="202" type="#_x0000_t202" style="position:absolute;left:0pt;margin-left:84pt;margin-top:56.8pt;height:389.15pt;width:432.85pt;mso-position-horizontal-relative:page;z-index:251679744;mso-width-relative:page;mso-height-relative:page;" filled="f" stroked="f" coordsize="21600,21600" o:gfxdata="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B/lbZzaAAAADAEAAA8AAAAAAAAAAQAg&#10;AAAAIgAAAGRycy9kb3ducmV2LnhtbFBLAQIUABQAAAAIAIdO4kBg4zj+0wEAAJwDAAAOAAAAAAAA&#10;AAEAIAAAACkBAABkcnMvZTJvRG9jLnhtbFBLBQYAAAAABgAGAFkBAABuBQAAAAA=&#10;">
                <v:fill on="f" focussize="0,0"/>
                <v:stroke on="f"/>
                <v:imagedata o:title=""/>
                <o:lock v:ext="edit" aspectratio="f"/>
                <v:textbox inset="0mm,0mm,0mm,0mm">
                  <w:txbxContent>
                    <w:p>
                      <w:pPr>
                        <w:pStyle w:val="10"/>
                      </w:pPr>
                    </w:p>
                  </w:txbxContent>
                </v:textbox>
              </v:shape>
            </w:pict>
          </mc:Fallback>
        </mc:AlternateContent>
      </w:r>
      <w:r>
        <w:rPr>
          <w:rFonts w:hint="eastAsia" w:asciiTheme="minorEastAsia" w:hAnsiTheme="minorEastAsia" w:eastAsiaTheme="minorEastAsia" w:cstheme="minorEastAsia"/>
          <w:color w:val="auto"/>
          <w:spacing w:val="-15"/>
          <w:sz w:val="24"/>
          <w:szCs w:val="24"/>
        </w:rPr>
        <w:t>本项目工程的招标范围、组织形式、招标方式及具体要求由</w:t>
      </w:r>
      <w:r>
        <w:rPr>
          <w:rFonts w:hint="eastAsia" w:asciiTheme="minorEastAsia" w:hAnsiTheme="minorEastAsia" w:eastAsiaTheme="minorEastAsia" w:cstheme="minorEastAsia"/>
          <w:color w:val="auto"/>
          <w:spacing w:val="-14"/>
          <w:sz w:val="24"/>
          <w:szCs w:val="24"/>
        </w:rPr>
        <w:t>政府发改部门核准。</w:t>
      </w:r>
    </w:p>
    <w:p>
      <w:pPr>
        <w:pStyle w:val="10"/>
        <w:spacing w:line="500" w:lineRule="exact"/>
        <w:ind w:firstLine="480" w:firstLineChars="200"/>
        <w:jc w:val="both"/>
        <w:rPr>
          <w:rFonts w:asciiTheme="minorEastAsia" w:hAnsiTheme="minorEastAsia" w:eastAsiaTheme="minorEastAsia" w:cstheme="minorEastAsia"/>
          <w:color w:val="auto"/>
          <w:sz w:val="24"/>
          <w:szCs w:val="24"/>
        </w:rPr>
      </w:pPr>
    </w:p>
    <w:p>
      <w:pPr>
        <w:pStyle w:val="10"/>
        <w:spacing w:line="500" w:lineRule="exact"/>
        <w:ind w:firstLine="480" w:firstLineChars="200"/>
        <w:jc w:val="both"/>
        <w:rPr>
          <w:rFonts w:asciiTheme="minorEastAsia" w:hAnsiTheme="minorEastAsia" w:eastAsiaTheme="minorEastAsia" w:cstheme="minorEastAsia"/>
          <w:color w:val="auto"/>
          <w:sz w:val="24"/>
          <w:szCs w:val="24"/>
        </w:rPr>
      </w:pPr>
    </w:p>
    <w:p>
      <w:pPr>
        <w:pStyle w:val="10"/>
        <w:spacing w:line="500" w:lineRule="exact"/>
        <w:ind w:firstLine="480" w:firstLineChars="200"/>
        <w:jc w:val="both"/>
        <w:rPr>
          <w:rFonts w:asciiTheme="minorEastAsia" w:hAnsiTheme="minorEastAsia" w:eastAsiaTheme="minorEastAsia" w:cstheme="minorEastAsia"/>
          <w:color w:val="auto"/>
          <w:sz w:val="24"/>
          <w:szCs w:val="24"/>
        </w:rPr>
      </w:pPr>
    </w:p>
    <w:p>
      <w:pPr>
        <w:pStyle w:val="10"/>
        <w:spacing w:line="500" w:lineRule="exact"/>
        <w:ind w:firstLine="480" w:firstLineChars="200"/>
        <w:jc w:val="both"/>
        <w:rPr>
          <w:rFonts w:asciiTheme="minorEastAsia" w:hAnsiTheme="minorEastAsia" w:eastAsiaTheme="minorEastAsia" w:cstheme="minorEastAsia"/>
          <w:color w:val="auto"/>
          <w:sz w:val="24"/>
          <w:szCs w:val="24"/>
        </w:rPr>
      </w:pPr>
    </w:p>
    <w:p>
      <w:pPr>
        <w:pStyle w:val="10"/>
        <w:spacing w:line="500" w:lineRule="exact"/>
        <w:ind w:firstLine="480" w:firstLineChars="200"/>
        <w:jc w:val="both"/>
        <w:rPr>
          <w:rFonts w:asciiTheme="minorEastAsia" w:hAnsiTheme="minorEastAsia" w:eastAsiaTheme="minorEastAsia" w:cstheme="minorEastAsia"/>
          <w:color w:val="auto"/>
          <w:sz w:val="24"/>
          <w:szCs w:val="24"/>
        </w:rPr>
      </w:pPr>
    </w:p>
    <w:p>
      <w:pPr>
        <w:pStyle w:val="10"/>
        <w:spacing w:line="500" w:lineRule="exact"/>
        <w:ind w:firstLine="480" w:firstLineChars="200"/>
        <w:jc w:val="both"/>
        <w:rPr>
          <w:rFonts w:asciiTheme="minorEastAsia" w:hAnsiTheme="minorEastAsia" w:eastAsiaTheme="minorEastAsia" w:cstheme="minorEastAsia"/>
          <w:color w:val="auto"/>
          <w:sz w:val="24"/>
          <w:szCs w:val="24"/>
        </w:rPr>
      </w:pPr>
    </w:p>
    <w:p>
      <w:pPr>
        <w:pStyle w:val="10"/>
        <w:spacing w:line="500" w:lineRule="exact"/>
        <w:ind w:firstLine="422" w:firstLineChars="200"/>
        <w:jc w:val="center"/>
        <w:rPr>
          <w:rFonts w:asciiTheme="minorEastAsia" w:hAnsiTheme="minorEastAsia" w:eastAsiaTheme="minorEastAsia" w:cstheme="minorEastAsia"/>
          <w:b/>
          <w:color w:val="auto"/>
          <w:sz w:val="21"/>
          <w:szCs w:val="21"/>
        </w:rPr>
      </w:pPr>
      <w:r>
        <w:rPr>
          <w:rFonts w:hint="eastAsia" w:asciiTheme="minorEastAsia" w:hAnsiTheme="minorEastAsia" w:eastAsiaTheme="minorEastAsia" w:cstheme="minorEastAsia"/>
          <w:b/>
          <w:color w:val="auto"/>
          <w:sz w:val="21"/>
          <w:szCs w:val="21"/>
        </w:rPr>
        <w:t>表1</w:t>
      </w:r>
      <w:r>
        <w:rPr>
          <w:rFonts w:hint="eastAsia" w:asciiTheme="minorEastAsia" w:hAnsiTheme="minorEastAsia" w:eastAsiaTheme="minorEastAsia" w:cstheme="minorEastAsia"/>
          <w:b/>
          <w:color w:val="auto"/>
          <w:sz w:val="21"/>
          <w:szCs w:val="21"/>
          <w:lang w:val="en-US" w:eastAsia="zh-CN"/>
        </w:rPr>
        <w:t>6</w:t>
      </w:r>
      <w:r>
        <w:rPr>
          <w:rFonts w:hint="eastAsia" w:asciiTheme="minorEastAsia" w:hAnsiTheme="minorEastAsia" w:eastAsiaTheme="minorEastAsia" w:cstheme="minorEastAsia"/>
          <w:b/>
          <w:color w:val="auto"/>
          <w:sz w:val="21"/>
          <w:szCs w:val="21"/>
        </w:rPr>
        <w:t>.1-1  本项目工程的招标范围、组织形式、招标方式</w:t>
      </w:r>
    </w:p>
    <w:tbl>
      <w:tblPr>
        <w:tblStyle w:val="27"/>
        <w:tblW w:w="8519"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1295"/>
        <w:gridCol w:w="767"/>
        <w:gridCol w:w="802"/>
        <w:gridCol w:w="826"/>
        <w:gridCol w:w="1015"/>
        <w:gridCol w:w="896"/>
        <w:gridCol w:w="993"/>
        <w:gridCol w:w="1152"/>
        <w:gridCol w:w="773"/>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03" w:hRule="atLeast"/>
          <w:jc w:val="center"/>
        </w:trPr>
        <w:tc>
          <w:tcPr>
            <w:tcW w:w="1295" w:type="dxa"/>
            <w:vMerge w:val="restart"/>
            <w:tcBorders>
              <w:bottom w:val="single" w:color="000000" w:sz="4" w:space="0"/>
              <w:right w:val="single" w:color="000000" w:sz="4" w:space="0"/>
            </w:tcBorders>
          </w:tcPr>
          <w:p>
            <w:pPr>
              <w:pStyle w:val="33"/>
              <w:spacing w:line="360" w:lineRule="auto"/>
              <w:jc w:val="center"/>
              <w:rPr>
                <w:rFonts w:ascii="Times New Roman"/>
                <w:color w:val="auto"/>
                <w:sz w:val="21"/>
                <w:szCs w:val="21"/>
              </w:rPr>
            </w:pPr>
          </w:p>
        </w:tc>
        <w:tc>
          <w:tcPr>
            <w:tcW w:w="1569" w:type="dxa"/>
            <w:gridSpan w:val="2"/>
            <w:tcBorders>
              <w:left w:val="single" w:color="000000" w:sz="4" w:space="0"/>
              <w:bottom w:val="single" w:color="000000" w:sz="4" w:space="0"/>
              <w:right w:val="single" w:color="000000" w:sz="4" w:space="0"/>
            </w:tcBorders>
          </w:tcPr>
          <w:p>
            <w:pPr>
              <w:pStyle w:val="33"/>
              <w:spacing w:before="99" w:line="360" w:lineRule="auto"/>
              <w:ind w:left="324"/>
              <w:jc w:val="center"/>
              <w:rPr>
                <w:rFonts w:ascii="宋体" w:eastAsia="宋体"/>
                <w:color w:val="auto"/>
                <w:sz w:val="21"/>
                <w:szCs w:val="21"/>
              </w:rPr>
            </w:pPr>
            <w:r>
              <w:rPr>
                <w:rFonts w:hint="eastAsia" w:ascii="宋体" w:eastAsia="宋体"/>
                <w:color w:val="auto"/>
                <w:sz w:val="21"/>
                <w:szCs w:val="21"/>
              </w:rPr>
              <w:t>招标范围</w:t>
            </w:r>
          </w:p>
        </w:tc>
        <w:tc>
          <w:tcPr>
            <w:tcW w:w="1841" w:type="dxa"/>
            <w:gridSpan w:val="2"/>
            <w:tcBorders>
              <w:left w:val="single" w:color="000000" w:sz="4" w:space="0"/>
              <w:bottom w:val="single" w:color="000000" w:sz="4" w:space="0"/>
              <w:right w:val="single" w:color="000000" w:sz="4" w:space="0"/>
            </w:tcBorders>
          </w:tcPr>
          <w:p>
            <w:pPr>
              <w:pStyle w:val="33"/>
              <w:spacing w:before="99" w:line="360" w:lineRule="auto"/>
              <w:ind w:left="221"/>
              <w:jc w:val="center"/>
              <w:rPr>
                <w:rFonts w:ascii="宋体" w:eastAsia="宋体"/>
                <w:color w:val="auto"/>
                <w:sz w:val="21"/>
                <w:szCs w:val="21"/>
              </w:rPr>
            </w:pPr>
            <w:r>
              <w:rPr>
                <w:rFonts w:hint="eastAsia" w:ascii="宋体" w:eastAsia="宋体"/>
                <w:color w:val="auto"/>
                <w:sz w:val="21"/>
                <w:szCs w:val="21"/>
              </w:rPr>
              <w:t>招标组织形式</w:t>
            </w:r>
          </w:p>
        </w:tc>
        <w:tc>
          <w:tcPr>
            <w:tcW w:w="1889" w:type="dxa"/>
            <w:gridSpan w:val="2"/>
            <w:tcBorders>
              <w:left w:val="single" w:color="000000" w:sz="4" w:space="0"/>
              <w:bottom w:val="single" w:color="000000" w:sz="4" w:space="0"/>
              <w:right w:val="single" w:color="000000" w:sz="4" w:space="0"/>
            </w:tcBorders>
          </w:tcPr>
          <w:p>
            <w:pPr>
              <w:pStyle w:val="33"/>
              <w:spacing w:before="99" w:line="360" w:lineRule="auto"/>
              <w:ind w:left="485"/>
              <w:jc w:val="center"/>
              <w:rPr>
                <w:rFonts w:ascii="宋体" w:eastAsia="宋体"/>
                <w:color w:val="auto"/>
                <w:sz w:val="21"/>
                <w:szCs w:val="21"/>
              </w:rPr>
            </w:pPr>
            <w:r>
              <w:rPr>
                <w:rFonts w:hint="eastAsia" w:ascii="宋体" w:eastAsia="宋体"/>
                <w:color w:val="auto"/>
                <w:sz w:val="21"/>
                <w:szCs w:val="21"/>
              </w:rPr>
              <w:t>招标方式</w:t>
            </w:r>
          </w:p>
        </w:tc>
        <w:tc>
          <w:tcPr>
            <w:tcW w:w="1152" w:type="dxa"/>
            <w:vMerge w:val="restart"/>
            <w:tcBorders>
              <w:left w:val="single" w:color="000000" w:sz="4" w:space="0"/>
              <w:bottom w:val="single" w:color="000000" w:sz="4" w:space="0"/>
              <w:right w:val="single" w:color="000000" w:sz="4" w:space="0"/>
            </w:tcBorders>
          </w:tcPr>
          <w:p>
            <w:pPr>
              <w:pStyle w:val="33"/>
              <w:spacing w:before="169" w:line="360" w:lineRule="auto"/>
              <w:ind w:left="355" w:right="184"/>
              <w:jc w:val="center"/>
              <w:rPr>
                <w:rFonts w:ascii="宋体" w:eastAsia="宋体"/>
                <w:color w:val="auto"/>
                <w:sz w:val="21"/>
                <w:szCs w:val="21"/>
              </w:rPr>
            </w:pPr>
            <w:r>
              <w:rPr>
                <w:rFonts w:hint="eastAsia" w:ascii="宋体" w:eastAsia="宋体"/>
                <w:color w:val="auto"/>
                <w:sz w:val="21"/>
                <w:szCs w:val="21"/>
              </w:rPr>
              <w:t>不采用招标方式</w:t>
            </w:r>
          </w:p>
        </w:tc>
        <w:tc>
          <w:tcPr>
            <w:tcW w:w="773" w:type="dxa"/>
            <w:vMerge w:val="restart"/>
            <w:tcBorders>
              <w:left w:val="single" w:color="000000" w:sz="4" w:space="0"/>
              <w:bottom w:val="single" w:color="000000" w:sz="4" w:space="0"/>
            </w:tcBorders>
          </w:tcPr>
          <w:p>
            <w:pPr>
              <w:pStyle w:val="33"/>
              <w:spacing w:line="360" w:lineRule="auto"/>
              <w:jc w:val="center"/>
              <w:rPr>
                <w:color w:val="auto"/>
                <w:sz w:val="21"/>
                <w:szCs w:val="21"/>
              </w:rPr>
            </w:pPr>
          </w:p>
          <w:p>
            <w:pPr>
              <w:pStyle w:val="33"/>
              <w:spacing w:before="178" w:line="360" w:lineRule="auto"/>
              <w:ind w:left="127"/>
              <w:jc w:val="center"/>
              <w:rPr>
                <w:rFonts w:ascii="宋体" w:eastAsia="宋体"/>
                <w:color w:val="auto"/>
                <w:sz w:val="21"/>
                <w:szCs w:val="21"/>
              </w:rPr>
            </w:pPr>
            <w:r>
              <w:rPr>
                <w:rFonts w:hint="eastAsia" w:ascii="宋体" w:eastAsia="宋体"/>
                <w:color w:val="auto"/>
                <w:sz w:val="21"/>
                <w:szCs w:val="21"/>
              </w:rPr>
              <w:t>备注</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752" w:hRule="atLeast"/>
          <w:jc w:val="center"/>
        </w:trPr>
        <w:tc>
          <w:tcPr>
            <w:tcW w:w="1295" w:type="dxa"/>
            <w:vMerge w:val="continue"/>
            <w:tcBorders>
              <w:top w:val="nil"/>
              <w:bottom w:val="single" w:color="000000" w:sz="4" w:space="0"/>
              <w:right w:val="single" w:color="000000" w:sz="4" w:space="0"/>
            </w:tcBorders>
          </w:tcPr>
          <w:p>
            <w:pPr>
              <w:spacing w:line="360" w:lineRule="auto"/>
              <w:jc w:val="center"/>
              <w:rPr>
                <w:color w:val="auto"/>
                <w:sz w:val="21"/>
                <w:szCs w:val="21"/>
              </w:rPr>
            </w:pPr>
          </w:p>
        </w:tc>
        <w:tc>
          <w:tcPr>
            <w:tcW w:w="767" w:type="dxa"/>
            <w:tcBorders>
              <w:top w:val="single" w:color="000000" w:sz="4" w:space="0"/>
              <w:left w:val="single" w:color="000000" w:sz="4" w:space="0"/>
              <w:bottom w:val="single" w:color="000000" w:sz="4" w:space="0"/>
              <w:right w:val="single" w:color="000000" w:sz="4" w:space="0"/>
            </w:tcBorders>
          </w:tcPr>
          <w:p>
            <w:pPr>
              <w:pStyle w:val="33"/>
              <w:spacing w:before="78" w:line="360" w:lineRule="auto"/>
              <w:ind w:left="163" w:right="111"/>
              <w:jc w:val="center"/>
              <w:rPr>
                <w:rFonts w:ascii="宋体" w:eastAsia="宋体"/>
                <w:color w:val="auto"/>
                <w:sz w:val="21"/>
                <w:szCs w:val="21"/>
              </w:rPr>
            </w:pPr>
            <w:r>
              <w:rPr>
                <w:rFonts w:hint="eastAsia" w:ascii="宋体" w:eastAsia="宋体"/>
                <w:color w:val="auto"/>
                <w:sz w:val="21"/>
                <w:szCs w:val="21"/>
              </w:rPr>
              <w:t>全部招标</w:t>
            </w:r>
          </w:p>
        </w:tc>
        <w:tc>
          <w:tcPr>
            <w:tcW w:w="802" w:type="dxa"/>
            <w:tcBorders>
              <w:top w:val="single" w:color="000000" w:sz="4" w:space="0"/>
              <w:left w:val="single" w:color="000000" w:sz="4" w:space="0"/>
              <w:bottom w:val="single" w:color="000000" w:sz="4" w:space="0"/>
              <w:right w:val="single" w:color="000000" w:sz="4" w:space="0"/>
            </w:tcBorders>
          </w:tcPr>
          <w:p>
            <w:pPr>
              <w:pStyle w:val="33"/>
              <w:spacing w:before="78" w:line="360" w:lineRule="auto"/>
              <w:ind w:left="181" w:right="128"/>
              <w:jc w:val="center"/>
              <w:rPr>
                <w:rFonts w:ascii="宋体" w:eastAsia="宋体"/>
                <w:color w:val="auto"/>
                <w:sz w:val="21"/>
                <w:szCs w:val="21"/>
              </w:rPr>
            </w:pPr>
            <w:r>
              <w:rPr>
                <w:rFonts w:hint="eastAsia" w:ascii="宋体" w:eastAsia="宋体"/>
                <w:color w:val="auto"/>
                <w:sz w:val="21"/>
                <w:szCs w:val="21"/>
              </w:rPr>
              <w:t>部分招标</w:t>
            </w:r>
          </w:p>
        </w:tc>
        <w:tc>
          <w:tcPr>
            <w:tcW w:w="826" w:type="dxa"/>
            <w:tcBorders>
              <w:top w:val="single" w:color="000000" w:sz="4" w:space="0"/>
              <w:left w:val="single" w:color="000000" w:sz="4" w:space="0"/>
              <w:bottom w:val="single" w:color="000000" w:sz="4" w:space="0"/>
              <w:right w:val="single" w:color="000000" w:sz="4" w:space="0"/>
            </w:tcBorders>
          </w:tcPr>
          <w:p>
            <w:pPr>
              <w:pStyle w:val="33"/>
              <w:spacing w:before="78" w:line="360" w:lineRule="auto"/>
              <w:ind w:left="192" w:right="141"/>
              <w:jc w:val="center"/>
              <w:rPr>
                <w:rFonts w:ascii="宋体" w:eastAsia="宋体"/>
                <w:color w:val="auto"/>
                <w:sz w:val="21"/>
                <w:szCs w:val="21"/>
              </w:rPr>
            </w:pPr>
            <w:r>
              <w:rPr>
                <w:rFonts w:hint="eastAsia" w:ascii="宋体" w:eastAsia="宋体"/>
                <w:color w:val="auto"/>
                <w:sz w:val="21"/>
                <w:szCs w:val="21"/>
              </w:rPr>
              <w:t>自行招标</w:t>
            </w:r>
          </w:p>
        </w:tc>
        <w:tc>
          <w:tcPr>
            <w:tcW w:w="1015" w:type="dxa"/>
            <w:tcBorders>
              <w:top w:val="single" w:color="000000" w:sz="4" w:space="0"/>
              <w:left w:val="single" w:color="000000" w:sz="4" w:space="0"/>
              <w:bottom w:val="single" w:color="000000" w:sz="4" w:space="0"/>
              <w:right w:val="single" w:color="000000" w:sz="4" w:space="0"/>
            </w:tcBorders>
          </w:tcPr>
          <w:p>
            <w:pPr>
              <w:pStyle w:val="33"/>
              <w:spacing w:before="78" w:line="360" w:lineRule="auto"/>
              <w:ind w:left="408" w:right="114"/>
              <w:jc w:val="center"/>
              <w:rPr>
                <w:rFonts w:ascii="宋体" w:eastAsia="宋体"/>
                <w:color w:val="auto"/>
                <w:sz w:val="21"/>
                <w:szCs w:val="21"/>
              </w:rPr>
            </w:pPr>
            <w:r>
              <w:rPr>
                <w:rFonts w:hint="eastAsia" w:ascii="宋体" w:eastAsia="宋体"/>
                <w:color w:val="auto"/>
                <w:sz w:val="21"/>
                <w:szCs w:val="21"/>
              </w:rPr>
              <w:t>委托招标</w:t>
            </w:r>
          </w:p>
        </w:tc>
        <w:tc>
          <w:tcPr>
            <w:tcW w:w="896" w:type="dxa"/>
            <w:tcBorders>
              <w:top w:val="single" w:color="000000" w:sz="4" w:space="0"/>
              <w:left w:val="single" w:color="000000" w:sz="4" w:space="0"/>
              <w:bottom w:val="single" w:color="000000" w:sz="4" w:space="0"/>
              <w:right w:val="single" w:color="000000" w:sz="4" w:space="0"/>
            </w:tcBorders>
          </w:tcPr>
          <w:p>
            <w:pPr>
              <w:pStyle w:val="33"/>
              <w:spacing w:before="78" w:line="360" w:lineRule="auto"/>
              <w:ind w:left="228" w:right="175"/>
              <w:jc w:val="center"/>
              <w:rPr>
                <w:rFonts w:ascii="宋体" w:eastAsia="宋体"/>
                <w:color w:val="auto"/>
                <w:sz w:val="21"/>
                <w:szCs w:val="21"/>
              </w:rPr>
            </w:pPr>
            <w:r>
              <w:rPr>
                <w:rFonts w:hint="eastAsia" w:ascii="宋体" w:eastAsia="宋体"/>
                <w:color w:val="auto"/>
                <w:sz w:val="21"/>
                <w:szCs w:val="21"/>
              </w:rPr>
              <w:t>公开招标</w:t>
            </w:r>
          </w:p>
        </w:tc>
        <w:tc>
          <w:tcPr>
            <w:tcW w:w="993" w:type="dxa"/>
            <w:tcBorders>
              <w:top w:val="single" w:color="000000" w:sz="4" w:space="0"/>
              <w:left w:val="single" w:color="000000" w:sz="4" w:space="0"/>
              <w:bottom w:val="single" w:color="000000" w:sz="4" w:space="0"/>
              <w:right w:val="single" w:color="000000" w:sz="4" w:space="0"/>
            </w:tcBorders>
          </w:tcPr>
          <w:p>
            <w:pPr>
              <w:pStyle w:val="33"/>
              <w:spacing w:before="78" w:line="360" w:lineRule="auto"/>
              <w:ind w:left="275" w:right="225"/>
              <w:jc w:val="center"/>
              <w:rPr>
                <w:rFonts w:ascii="宋体" w:eastAsia="宋体"/>
                <w:color w:val="auto"/>
                <w:sz w:val="21"/>
                <w:szCs w:val="21"/>
              </w:rPr>
            </w:pPr>
            <w:r>
              <w:rPr>
                <w:rFonts w:hint="eastAsia" w:ascii="宋体" w:eastAsia="宋体"/>
                <w:color w:val="auto"/>
                <w:sz w:val="21"/>
                <w:szCs w:val="21"/>
              </w:rPr>
              <w:t>邀请招标</w:t>
            </w:r>
          </w:p>
        </w:tc>
        <w:tc>
          <w:tcPr>
            <w:tcW w:w="1152" w:type="dxa"/>
            <w:vMerge w:val="continue"/>
            <w:tcBorders>
              <w:top w:val="nil"/>
              <w:left w:val="single" w:color="000000" w:sz="4" w:space="0"/>
              <w:bottom w:val="single" w:color="000000" w:sz="4" w:space="0"/>
              <w:right w:val="single" w:color="000000" w:sz="4" w:space="0"/>
            </w:tcBorders>
          </w:tcPr>
          <w:p>
            <w:pPr>
              <w:spacing w:line="360" w:lineRule="auto"/>
              <w:jc w:val="center"/>
              <w:rPr>
                <w:color w:val="auto"/>
                <w:sz w:val="21"/>
                <w:szCs w:val="21"/>
              </w:rPr>
            </w:pPr>
          </w:p>
        </w:tc>
        <w:tc>
          <w:tcPr>
            <w:tcW w:w="773" w:type="dxa"/>
            <w:vMerge w:val="continue"/>
            <w:tcBorders>
              <w:top w:val="nil"/>
              <w:left w:val="single" w:color="000000" w:sz="4" w:space="0"/>
              <w:bottom w:val="single" w:color="000000" w:sz="4" w:space="0"/>
            </w:tcBorders>
          </w:tcPr>
          <w:p>
            <w:pPr>
              <w:spacing w:line="360" w:lineRule="auto"/>
              <w:jc w:val="center"/>
              <w:rPr>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53" w:hRule="atLeast"/>
          <w:jc w:val="center"/>
        </w:trPr>
        <w:tc>
          <w:tcPr>
            <w:tcW w:w="1295" w:type="dxa"/>
            <w:tcBorders>
              <w:top w:val="single" w:color="000000" w:sz="4" w:space="0"/>
              <w:bottom w:val="single" w:color="000000" w:sz="4" w:space="0"/>
              <w:right w:val="single" w:color="000000" w:sz="4" w:space="0"/>
            </w:tcBorders>
          </w:tcPr>
          <w:p>
            <w:pPr>
              <w:pStyle w:val="33"/>
              <w:spacing w:before="23" w:line="360" w:lineRule="auto"/>
              <w:ind w:left="158" w:right="116"/>
              <w:jc w:val="center"/>
              <w:rPr>
                <w:rFonts w:ascii="宋体" w:eastAsia="宋体"/>
                <w:color w:val="auto"/>
                <w:sz w:val="21"/>
                <w:szCs w:val="21"/>
              </w:rPr>
            </w:pPr>
            <w:r>
              <w:rPr>
                <w:rFonts w:hint="eastAsia" w:ascii="宋体" w:eastAsia="宋体"/>
                <w:color w:val="auto"/>
                <w:sz w:val="21"/>
                <w:szCs w:val="21"/>
              </w:rPr>
              <w:t>勘察</w:t>
            </w:r>
          </w:p>
        </w:tc>
        <w:tc>
          <w:tcPr>
            <w:tcW w:w="767" w:type="dxa"/>
            <w:tcBorders>
              <w:top w:val="single" w:color="000000" w:sz="4" w:space="0"/>
              <w:left w:val="single" w:color="000000" w:sz="4" w:space="0"/>
              <w:bottom w:val="single" w:color="000000" w:sz="4" w:space="0"/>
              <w:right w:val="single" w:color="000000" w:sz="4" w:space="0"/>
            </w:tcBorders>
          </w:tcPr>
          <w:p>
            <w:pPr>
              <w:pStyle w:val="33"/>
              <w:spacing w:before="23" w:line="360" w:lineRule="auto"/>
              <w:ind w:right="229"/>
              <w:jc w:val="center"/>
              <w:rPr>
                <w:rFonts w:ascii="宋体" w:hAnsi="宋体"/>
                <w:color w:val="auto"/>
                <w:sz w:val="21"/>
                <w:szCs w:val="21"/>
              </w:rPr>
            </w:pPr>
            <w:r>
              <w:rPr>
                <w:rFonts w:ascii="宋体" w:hAnsi="宋体"/>
                <w:color w:val="auto"/>
                <w:sz w:val="21"/>
                <w:szCs w:val="21"/>
              </w:rPr>
              <w:t>√</w:t>
            </w:r>
          </w:p>
        </w:tc>
        <w:tc>
          <w:tcPr>
            <w:tcW w:w="802" w:type="dxa"/>
            <w:tcBorders>
              <w:top w:val="single" w:color="000000" w:sz="4" w:space="0"/>
              <w:left w:val="single" w:color="000000" w:sz="4" w:space="0"/>
              <w:bottom w:val="single" w:color="000000" w:sz="4" w:space="0"/>
              <w:right w:val="single" w:color="000000" w:sz="4" w:space="0"/>
            </w:tcBorders>
          </w:tcPr>
          <w:p>
            <w:pPr>
              <w:pStyle w:val="33"/>
              <w:spacing w:line="360" w:lineRule="auto"/>
              <w:jc w:val="center"/>
              <w:rPr>
                <w:rFonts w:ascii="Times New Roman"/>
                <w:color w:val="auto"/>
                <w:sz w:val="21"/>
                <w:szCs w:val="21"/>
              </w:rPr>
            </w:pPr>
          </w:p>
        </w:tc>
        <w:tc>
          <w:tcPr>
            <w:tcW w:w="826" w:type="dxa"/>
            <w:tcBorders>
              <w:top w:val="single" w:color="000000" w:sz="4" w:space="0"/>
              <w:left w:val="single" w:color="000000" w:sz="4" w:space="0"/>
              <w:bottom w:val="single" w:color="000000" w:sz="4" w:space="0"/>
              <w:right w:val="single" w:color="000000" w:sz="4" w:space="0"/>
            </w:tcBorders>
          </w:tcPr>
          <w:p>
            <w:pPr>
              <w:pStyle w:val="33"/>
              <w:spacing w:line="360" w:lineRule="auto"/>
              <w:jc w:val="center"/>
              <w:rPr>
                <w:rFonts w:ascii="Times New Roman"/>
                <w:color w:val="auto"/>
                <w:sz w:val="21"/>
                <w:szCs w:val="21"/>
              </w:rPr>
            </w:pPr>
          </w:p>
        </w:tc>
        <w:tc>
          <w:tcPr>
            <w:tcW w:w="1015" w:type="dxa"/>
            <w:tcBorders>
              <w:top w:val="single" w:color="000000" w:sz="4" w:space="0"/>
              <w:left w:val="single" w:color="000000" w:sz="4" w:space="0"/>
              <w:bottom w:val="single" w:color="000000" w:sz="4" w:space="0"/>
              <w:right w:val="single" w:color="000000" w:sz="4" w:space="0"/>
            </w:tcBorders>
          </w:tcPr>
          <w:p>
            <w:pPr>
              <w:pStyle w:val="33"/>
              <w:spacing w:before="23" w:line="360" w:lineRule="auto"/>
              <w:ind w:left="51"/>
              <w:jc w:val="center"/>
              <w:rPr>
                <w:rFonts w:ascii="宋体" w:hAnsi="宋体"/>
                <w:color w:val="auto"/>
                <w:sz w:val="21"/>
                <w:szCs w:val="21"/>
              </w:rPr>
            </w:pPr>
            <w:r>
              <w:rPr>
                <w:rFonts w:ascii="宋体" w:hAnsi="宋体"/>
                <w:color w:val="auto"/>
                <w:sz w:val="21"/>
                <w:szCs w:val="21"/>
              </w:rPr>
              <w:t>√</w:t>
            </w:r>
          </w:p>
        </w:tc>
        <w:tc>
          <w:tcPr>
            <w:tcW w:w="896" w:type="dxa"/>
            <w:tcBorders>
              <w:top w:val="single" w:color="000000" w:sz="4" w:space="0"/>
              <w:left w:val="single" w:color="000000" w:sz="4" w:space="0"/>
              <w:bottom w:val="single" w:color="000000" w:sz="4" w:space="0"/>
              <w:right w:val="single" w:color="000000" w:sz="4" w:space="0"/>
            </w:tcBorders>
          </w:tcPr>
          <w:p>
            <w:pPr>
              <w:pStyle w:val="33"/>
              <w:spacing w:before="23" w:line="360" w:lineRule="auto"/>
              <w:ind w:left="51"/>
              <w:jc w:val="center"/>
              <w:rPr>
                <w:rFonts w:ascii="宋体" w:hAnsi="宋体"/>
                <w:color w:val="auto"/>
                <w:sz w:val="21"/>
                <w:szCs w:val="21"/>
              </w:rPr>
            </w:pPr>
            <w:r>
              <w:rPr>
                <w:rFonts w:ascii="宋体" w:hAnsi="宋体"/>
                <w:color w:val="auto"/>
                <w:sz w:val="21"/>
                <w:szCs w:val="21"/>
              </w:rPr>
              <w:t>√</w:t>
            </w:r>
          </w:p>
        </w:tc>
        <w:tc>
          <w:tcPr>
            <w:tcW w:w="993" w:type="dxa"/>
            <w:tcBorders>
              <w:top w:val="single" w:color="000000" w:sz="4" w:space="0"/>
              <w:left w:val="single" w:color="000000" w:sz="4" w:space="0"/>
              <w:bottom w:val="single" w:color="000000" w:sz="4" w:space="0"/>
              <w:right w:val="single" w:color="000000" w:sz="4" w:space="0"/>
            </w:tcBorders>
          </w:tcPr>
          <w:p>
            <w:pPr>
              <w:pStyle w:val="33"/>
              <w:spacing w:line="360" w:lineRule="auto"/>
              <w:jc w:val="center"/>
              <w:rPr>
                <w:rFonts w:ascii="Times New Roman"/>
                <w:color w:val="auto"/>
                <w:sz w:val="21"/>
                <w:szCs w:val="21"/>
              </w:rPr>
            </w:pPr>
          </w:p>
        </w:tc>
        <w:tc>
          <w:tcPr>
            <w:tcW w:w="1152" w:type="dxa"/>
            <w:tcBorders>
              <w:top w:val="single" w:color="000000" w:sz="4" w:space="0"/>
              <w:left w:val="single" w:color="000000" w:sz="4" w:space="0"/>
              <w:bottom w:val="single" w:color="000000" w:sz="4" w:space="0"/>
              <w:right w:val="single" w:color="000000" w:sz="4" w:space="0"/>
            </w:tcBorders>
          </w:tcPr>
          <w:p>
            <w:pPr>
              <w:pStyle w:val="33"/>
              <w:spacing w:line="360" w:lineRule="auto"/>
              <w:jc w:val="center"/>
              <w:rPr>
                <w:rFonts w:ascii="Times New Roman"/>
                <w:color w:val="auto"/>
                <w:sz w:val="21"/>
                <w:szCs w:val="21"/>
              </w:rPr>
            </w:pPr>
          </w:p>
        </w:tc>
        <w:tc>
          <w:tcPr>
            <w:tcW w:w="773" w:type="dxa"/>
            <w:tcBorders>
              <w:top w:val="single" w:color="000000" w:sz="4" w:space="0"/>
              <w:left w:val="single" w:color="000000" w:sz="4" w:space="0"/>
              <w:bottom w:val="single" w:color="000000" w:sz="4" w:space="0"/>
            </w:tcBorders>
          </w:tcPr>
          <w:p>
            <w:pPr>
              <w:pStyle w:val="33"/>
              <w:spacing w:line="360" w:lineRule="auto"/>
              <w:jc w:val="center"/>
              <w:rPr>
                <w:rFonts w:ascii="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52" w:hRule="atLeast"/>
          <w:jc w:val="center"/>
        </w:trPr>
        <w:tc>
          <w:tcPr>
            <w:tcW w:w="1295" w:type="dxa"/>
            <w:tcBorders>
              <w:top w:val="single" w:color="000000" w:sz="4" w:space="0"/>
              <w:bottom w:val="single" w:color="000000" w:sz="4" w:space="0"/>
              <w:right w:val="single" w:color="000000" w:sz="4" w:space="0"/>
            </w:tcBorders>
          </w:tcPr>
          <w:p>
            <w:pPr>
              <w:pStyle w:val="33"/>
              <w:spacing w:before="25" w:line="360" w:lineRule="auto"/>
              <w:ind w:left="158" w:right="116"/>
              <w:jc w:val="center"/>
              <w:rPr>
                <w:rFonts w:ascii="宋体" w:eastAsia="宋体"/>
                <w:color w:val="auto"/>
                <w:sz w:val="21"/>
                <w:szCs w:val="21"/>
              </w:rPr>
            </w:pPr>
            <w:r>
              <w:rPr>
                <w:rFonts w:hint="eastAsia" w:ascii="宋体" w:eastAsia="宋体"/>
                <w:color w:val="auto"/>
                <w:sz w:val="21"/>
                <w:szCs w:val="21"/>
              </w:rPr>
              <w:t>设计</w:t>
            </w:r>
          </w:p>
        </w:tc>
        <w:tc>
          <w:tcPr>
            <w:tcW w:w="767" w:type="dxa"/>
            <w:tcBorders>
              <w:top w:val="single" w:color="000000" w:sz="4" w:space="0"/>
              <w:left w:val="single" w:color="000000" w:sz="4" w:space="0"/>
              <w:bottom w:val="single" w:color="000000" w:sz="4" w:space="0"/>
              <w:right w:val="single" w:color="000000" w:sz="4" w:space="0"/>
            </w:tcBorders>
          </w:tcPr>
          <w:p>
            <w:pPr>
              <w:pStyle w:val="33"/>
              <w:spacing w:before="25" w:line="360" w:lineRule="auto"/>
              <w:ind w:right="229"/>
              <w:jc w:val="center"/>
              <w:rPr>
                <w:rFonts w:ascii="宋体" w:hAnsi="宋体"/>
                <w:color w:val="auto"/>
                <w:sz w:val="21"/>
                <w:szCs w:val="21"/>
              </w:rPr>
            </w:pPr>
            <w:r>
              <w:rPr>
                <w:rFonts w:ascii="宋体" w:hAnsi="宋体"/>
                <w:color w:val="auto"/>
                <w:sz w:val="21"/>
                <w:szCs w:val="21"/>
              </w:rPr>
              <w:t>√</w:t>
            </w:r>
          </w:p>
        </w:tc>
        <w:tc>
          <w:tcPr>
            <w:tcW w:w="802" w:type="dxa"/>
            <w:tcBorders>
              <w:top w:val="single" w:color="000000" w:sz="4" w:space="0"/>
              <w:left w:val="single" w:color="000000" w:sz="4" w:space="0"/>
              <w:bottom w:val="single" w:color="000000" w:sz="4" w:space="0"/>
              <w:right w:val="single" w:color="000000" w:sz="4" w:space="0"/>
            </w:tcBorders>
          </w:tcPr>
          <w:p>
            <w:pPr>
              <w:pStyle w:val="33"/>
              <w:spacing w:line="360" w:lineRule="auto"/>
              <w:jc w:val="center"/>
              <w:rPr>
                <w:rFonts w:ascii="Times New Roman"/>
                <w:color w:val="auto"/>
                <w:sz w:val="21"/>
                <w:szCs w:val="21"/>
              </w:rPr>
            </w:pPr>
          </w:p>
        </w:tc>
        <w:tc>
          <w:tcPr>
            <w:tcW w:w="826" w:type="dxa"/>
            <w:tcBorders>
              <w:top w:val="single" w:color="000000" w:sz="4" w:space="0"/>
              <w:left w:val="single" w:color="000000" w:sz="4" w:space="0"/>
              <w:bottom w:val="single" w:color="000000" w:sz="4" w:space="0"/>
              <w:right w:val="single" w:color="000000" w:sz="4" w:space="0"/>
            </w:tcBorders>
          </w:tcPr>
          <w:p>
            <w:pPr>
              <w:pStyle w:val="33"/>
              <w:spacing w:line="360" w:lineRule="auto"/>
              <w:jc w:val="center"/>
              <w:rPr>
                <w:rFonts w:ascii="Times New Roman"/>
                <w:color w:val="auto"/>
                <w:sz w:val="21"/>
                <w:szCs w:val="21"/>
              </w:rPr>
            </w:pPr>
          </w:p>
        </w:tc>
        <w:tc>
          <w:tcPr>
            <w:tcW w:w="1015" w:type="dxa"/>
            <w:tcBorders>
              <w:top w:val="single" w:color="000000" w:sz="4" w:space="0"/>
              <w:left w:val="single" w:color="000000" w:sz="4" w:space="0"/>
              <w:bottom w:val="single" w:color="000000" w:sz="4" w:space="0"/>
              <w:right w:val="single" w:color="000000" w:sz="4" w:space="0"/>
            </w:tcBorders>
          </w:tcPr>
          <w:p>
            <w:pPr>
              <w:pStyle w:val="33"/>
              <w:spacing w:before="25" w:line="360" w:lineRule="auto"/>
              <w:ind w:left="51"/>
              <w:jc w:val="center"/>
              <w:rPr>
                <w:rFonts w:ascii="宋体" w:hAnsi="宋体"/>
                <w:color w:val="auto"/>
                <w:sz w:val="21"/>
                <w:szCs w:val="21"/>
              </w:rPr>
            </w:pPr>
            <w:r>
              <w:rPr>
                <w:rFonts w:ascii="宋体" w:hAnsi="宋体"/>
                <w:color w:val="auto"/>
                <w:sz w:val="21"/>
                <w:szCs w:val="21"/>
              </w:rPr>
              <w:t>√</w:t>
            </w:r>
          </w:p>
        </w:tc>
        <w:tc>
          <w:tcPr>
            <w:tcW w:w="896" w:type="dxa"/>
            <w:tcBorders>
              <w:top w:val="single" w:color="000000" w:sz="4" w:space="0"/>
              <w:left w:val="single" w:color="000000" w:sz="4" w:space="0"/>
              <w:bottom w:val="single" w:color="000000" w:sz="4" w:space="0"/>
              <w:right w:val="single" w:color="000000" w:sz="4" w:space="0"/>
            </w:tcBorders>
          </w:tcPr>
          <w:p>
            <w:pPr>
              <w:pStyle w:val="33"/>
              <w:spacing w:before="25" w:line="360" w:lineRule="auto"/>
              <w:ind w:left="51"/>
              <w:jc w:val="center"/>
              <w:rPr>
                <w:rFonts w:ascii="宋体" w:hAnsi="宋体"/>
                <w:color w:val="auto"/>
                <w:sz w:val="21"/>
                <w:szCs w:val="21"/>
              </w:rPr>
            </w:pPr>
            <w:r>
              <w:rPr>
                <w:rFonts w:ascii="宋体" w:hAnsi="宋体"/>
                <w:color w:val="auto"/>
                <w:sz w:val="21"/>
                <w:szCs w:val="21"/>
              </w:rPr>
              <w:t>√</w:t>
            </w:r>
          </w:p>
        </w:tc>
        <w:tc>
          <w:tcPr>
            <w:tcW w:w="993" w:type="dxa"/>
            <w:tcBorders>
              <w:top w:val="single" w:color="000000" w:sz="4" w:space="0"/>
              <w:left w:val="single" w:color="000000" w:sz="4" w:space="0"/>
              <w:bottom w:val="single" w:color="000000" w:sz="4" w:space="0"/>
              <w:right w:val="single" w:color="000000" w:sz="4" w:space="0"/>
            </w:tcBorders>
          </w:tcPr>
          <w:p>
            <w:pPr>
              <w:pStyle w:val="33"/>
              <w:spacing w:line="360" w:lineRule="auto"/>
              <w:jc w:val="center"/>
              <w:rPr>
                <w:rFonts w:ascii="Times New Roman"/>
                <w:color w:val="auto"/>
                <w:sz w:val="21"/>
                <w:szCs w:val="21"/>
              </w:rPr>
            </w:pPr>
          </w:p>
        </w:tc>
        <w:tc>
          <w:tcPr>
            <w:tcW w:w="1152" w:type="dxa"/>
            <w:tcBorders>
              <w:top w:val="single" w:color="000000" w:sz="4" w:space="0"/>
              <w:left w:val="single" w:color="000000" w:sz="4" w:space="0"/>
              <w:bottom w:val="single" w:color="000000" w:sz="4" w:space="0"/>
              <w:right w:val="single" w:color="000000" w:sz="4" w:space="0"/>
            </w:tcBorders>
          </w:tcPr>
          <w:p>
            <w:pPr>
              <w:pStyle w:val="33"/>
              <w:spacing w:line="360" w:lineRule="auto"/>
              <w:jc w:val="center"/>
              <w:rPr>
                <w:rFonts w:ascii="Times New Roman"/>
                <w:color w:val="auto"/>
                <w:sz w:val="21"/>
                <w:szCs w:val="21"/>
              </w:rPr>
            </w:pPr>
          </w:p>
        </w:tc>
        <w:tc>
          <w:tcPr>
            <w:tcW w:w="773" w:type="dxa"/>
            <w:tcBorders>
              <w:top w:val="single" w:color="000000" w:sz="4" w:space="0"/>
              <w:left w:val="single" w:color="000000" w:sz="4" w:space="0"/>
              <w:bottom w:val="single" w:color="000000" w:sz="4" w:space="0"/>
            </w:tcBorders>
          </w:tcPr>
          <w:p>
            <w:pPr>
              <w:pStyle w:val="33"/>
              <w:spacing w:line="360" w:lineRule="auto"/>
              <w:jc w:val="center"/>
              <w:rPr>
                <w:rFonts w:ascii="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707" w:hRule="atLeast"/>
          <w:jc w:val="center"/>
        </w:trPr>
        <w:tc>
          <w:tcPr>
            <w:tcW w:w="1295" w:type="dxa"/>
            <w:tcBorders>
              <w:top w:val="single" w:color="000000" w:sz="4" w:space="0"/>
              <w:bottom w:val="single" w:color="000000" w:sz="4" w:space="0"/>
              <w:right w:val="single" w:color="000000" w:sz="4" w:space="0"/>
            </w:tcBorders>
          </w:tcPr>
          <w:p>
            <w:pPr>
              <w:pStyle w:val="33"/>
              <w:spacing w:before="46" w:line="360" w:lineRule="auto"/>
              <w:ind w:left="418" w:right="134"/>
              <w:jc w:val="center"/>
              <w:rPr>
                <w:rFonts w:ascii="宋体" w:eastAsia="宋体"/>
                <w:color w:val="auto"/>
                <w:sz w:val="21"/>
                <w:szCs w:val="21"/>
              </w:rPr>
            </w:pPr>
            <w:r>
              <w:rPr>
                <w:rFonts w:hint="eastAsia" w:ascii="宋体" w:eastAsia="宋体"/>
                <w:color w:val="auto"/>
                <w:sz w:val="21"/>
                <w:szCs w:val="21"/>
              </w:rPr>
              <w:t>建筑安装工程</w:t>
            </w:r>
          </w:p>
        </w:tc>
        <w:tc>
          <w:tcPr>
            <w:tcW w:w="767" w:type="dxa"/>
            <w:tcBorders>
              <w:top w:val="single" w:color="000000" w:sz="4" w:space="0"/>
              <w:left w:val="single" w:color="000000" w:sz="4" w:space="0"/>
              <w:bottom w:val="single" w:color="000000" w:sz="4" w:space="0"/>
              <w:right w:val="single" w:color="000000" w:sz="4" w:space="0"/>
            </w:tcBorders>
          </w:tcPr>
          <w:p>
            <w:pPr>
              <w:pStyle w:val="33"/>
              <w:spacing w:before="1" w:line="360" w:lineRule="auto"/>
              <w:jc w:val="center"/>
              <w:rPr>
                <w:color w:val="auto"/>
                <w:sz w:val="21"/>
                <w:szCs w:val="21"/>
              </w:rPr>
            </w:pPr>
          </w:p>
          <w:p>
            <w:pPr>
              <w:pStyle w:val="33"/>
              <w:spacing w:line="360" w:lineRule="auto"/>
              <w:ind w:right="229"/>
              <w:jc w:val="center"/>
              <w:rPr>
                <w:rFonts w:ascii="宋体" w:hAnsi="宋体"/>
                <w:color w:val="auto"/>
                <w:sz w:val="21"/>
                <w:szCs w:val="21"/>
              </w:rPr>
            </w:pPr>
            <w:r>
              <w:rPr>
                <w:rFonts w:ascii="宋体" w:hAnsi="宋体"/>
                <w:color w:val="auto"/>
                <w:sz w:val="21"/>
                <w:szCs w:val="21"/>
              </w:rPr>
              <w:t>√</w:t>
            </w:r>
          </w:p>
        </w:tc>
        <w:tc>
          <w:tcPr>
            <w:tcW w:w="802" w:type="dxa"/>
            <w:tcBorders>
              <w:top w:val="single" w:color="000000" w:sz="4" w:space="0"/>
              <w:left w:val="single" w:color="000000" w:sz="4" w:space="0"/>
              <w:bottom w:val="single" w:color="000000" w:sz="4" w:space="0"/>
              <w:right w:val="single" w:color="000000" w:sz="4" w:space="0"/>
            </w:tcBorders>
          </w:tcPr>
          <w:p>
            <w:pPr>
              <w:pStyle w:val="33"/>
              <w:spacing w:line="360" w:lineRule="auto"/>
              <w:jc w:val="center"/>
              <w:rPr>
                <w:rFonts w:ascii="Times New Roman"/>
                <w:color w:val="auto"/>
                <w:sz w:val="21"/>
                <w:szCs w:val="21"/>
              </w:rPr>
            </w:pPr>
          </w:p>
        </w:tc>
        <w:tc>
          <w:tcPr>
            <w:tcW w:w="826" w:type="dxa"/>
            <w:tcBorders>
              <w:top w:val="single" w:color="000000" w:sz="4" w:space="0"/>
              <w:left w:val="single" w:color="000000" w:sz="4" w:space="0"/>
              <w:bottom w:val="single" w:color="000000" w:sz="4" w:space="0"/>
              <w:right w:val="single" w:color="000000" w:sz="4" w:space="0"/>
            </w:tcBorders>
          </w:tcPr>
          <w:p>
            <w:pPr>
              <w:pStyle w:val="33"/>
              <w:spacing w:line="360" w:lineRule="auto"/>
              <w:jc w:val="center"/>
              <w:rPr>
                <w:rFonts w:ascii="Times New Roman"/>
                <w:color w:val="auto"/>
                <w:sz w:val="21"/>
                <w:szCs w:val="21"/>
              </w:rPr>
            </w:pPr>
          </w:p>
        </w:tc>
        <w:tc>
          <w:tcPr>
            <w:tcW w:w="1015" w:type="dxa"/>
            <w:tcBorders>
              <w:top w:val="single" w:color="000000" w:sz="4" w:space="0"/>
              <w:left w:val="single" w:color="000000" w:sz="4" w:space="0"/>
              <w:bottom w:val="single" w:color="000000" w:sz="4" w:space="0"/>
              <w:right w:val="single" w:color="000000" w:sz="4" w:space="0"/>
            </w:tcBorders>
          </w:tcPr>
          <w:p>
            <w:pPr>
              <w:pStyle w:val="33"/>
              <w:spacing w:before="1" w:line="360" w:lineRule="auto"/>
              <w:jc w:val="center"/>
              <w:rPr>
                <w:color w:val="auto"/>
                <w:sz w:val="21"/>
                <w:szCs w:val="21"/>
              </w:rPr>
            </w:pPr>
          </w:p>
          <w:p>
            <w:pPr>
              <w:pStyle w:val="33"/>
              <w:spacing w:line="360" w:lineRule="auto"/>
              <w:ind w:left="51"/>
              <w:jc w:val="center"/>
              <w:rPr>
                <w:rFonts w:ascii="宋体" w:hAnsi="宋体"/>
                <w:color w:val="auto"/>
                <w:sz w:val="21"/>
                <w:szCs w:val="21"/>
              </w:rPr>
            </w:pPr>
            <w:r>
              <w:rPr>
                <w:rFonts w:ascii="宋体" w:hAnsi="宋体"/>
                <w:color w:val="auto"/>
                <w:sz w:val="21"/>
                <w:szCs w:val="21"/>
              </w:rPr>
              <w:t>√</w:t>
            </w:r>
          </w:p>
        </w:tc>
        <w:tc>
          <w:tcPr>
            <w:tcW w:w="896" w:type="dxa"/>
            <w:tcBorders>
              <w:top w:val="single" w:color="000000" w:sz="4" w:space="0"/>
              <w:left w:val="single" w:color="000000" w:sz="4" w:space="0"/>
              <w:bottom w:val="single" w:color="000000" w:sz="4" w:space="0"/>
              <w:right w:val="single" w:color="000000" w:sz="4" w:space="0"/>
            </w:tcBorders>
          </w:tcPr>
          <w:p>
            <w:pPr>
              <w:pStyle w:val="33"/>
              <w:spacing w:before="1" w:line="360" w:lineRule="auto"/>
              <w:jc w:val="center"/>
              <w:rPr>
                <w:color w:val="auto"/>
                <w:sz w:val="21"/>
                <w:szCs w:val="21"/>
              </w:rPr>
            </w:pPr>
          </w:p>
          <w:p>
            <w:pPr>
              <w:pStyle w:val="33"/>
              <w:spacing w:line="360" w:lineRule="auto"/>
              <w:ind w:left="51"/>
              <w:jc w:val="center"/>
              <w:rPr>
                <w:rFonts w:ascii="宋体" w:hAnsi="宋体"/>
                <w:color w:val="auto"/>
                <w:sz w:val="21"/>
                <w:szCs w:val="21"/>
              </w:rPr>
            </w:pPr>
            <w:r>
              <w:rPr>
                <w:rFonts w:ascii="宋体" w:hAnsi="宋体"/>
                <w:color w:val="auto"/>
                <w:sz w:val="21"/>
                <w:szCs w:val="21"/>
              </w:rPr>
              <w:t>√</w:t>
            </w:r>
          </w:p>
        </w:tc>
        <w:tc>
          <w:tcPr>
            <w:tcW w:w="993" w:type="dxa"/>
            <w:tcBorders>
              <w:top w:val="single" w:color="000000" w:sz="4" w:space="0"/>
              <w:left w:val="single" w:color="000000" w:sz="4" w:space="0"/>
              <w:bottom w:val="single" w:color="000000" w:sz="4" w:space="0"/>
              <w:right w:val="single" w:color="000000" w:sz="4" w:space="0"/>
            </w:tcBorders>
          </w:tcPr>
          <w:p>
            <w:pPr>
              <w:pStyle w:val="33"/>
              <w:spacing w:line="360" w:lineRule="auto"/>
              <w:jc w:val="center"/>
              <w:rPr>
                <w:rFonts w:ascii="Times New Roman"/>
                <w:color w:val="auto"/>
                <w:sz w:val="21"/>
                <w:szCs w:val="21"/>
              </w:rPr>
            </w:pPr>
          </w:p>
        </w:tc>
        <w:tc>
          <w:tcPr>
            <w:tcW w:w="1152" w:type="dxa"/>
            <w:tcBorders>
              <w:top w:val="single" w:color="000000" w:sz="4" w:space="0"/>
              <w:left w:val="single" w:color="000000" w:sz="4" w:space="0"/>
              <w:bottom w:val="single" w:color="000000" w:sz="4" w:space="0"/>
              <w:right w:val="single" w:color="000000" w:sz="4" w:space="0"/>
            </w:tcBorders>
          </w:tcPr>
          <w:p>
            <w:pPr>
              <w:pStyle w:val="33"/>
              <w:spacing w:line="360" w:lineRule="auto"/>
              <w:jc w:val="center"/>
              <w:rPr>
                <w:rFonts w:ascii="Times New Roman"/>
                <w:color w:val="auto"/>
                <w:sz w:val="21"/>
                <w:szCs w:val="21"/>
              </w:rPr>
            </w:pPr>
          </w:p>
        </w:tc>
        <w:tc>
          <w:tcPr>
            <w:tcW w:w="773" w:type="dxa"/>
            <w:tcBorders>
              <w:top w:val="single" w:color="000000" w:sz="4" w:space="0"/>
              <w:left w:val="single" w:color="000000" w:sz="4" w:space="0"/>
              <w:bottom w:val="single" w:color="000000" w:sz="4" w:space="0"/>
            </w:tcBorders>
          </w:tcPr>
          <w:p>
            <w:pPr>
              <w:pStyle w:val="33"/>
              <w:spacing w:line="360" w:lineRule="auto"/>
              <w:jc w:val="center"/>
              <w:rPr>
                <w:rFonts w:ascii="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52" w:hRule="atLeast"/>
          <w:jc w:val="center"/>
        </w:trPr>
        <w:tc>
          <w:tcPr>
            <w:tcW w:w="1295" w:type="dxa"/>
            <w:tcBorders>
              <w:top w:val="single" w:color="000000" w:sz="4" w:space="0"/>
              <w:bottom w:val="single" w:color="000000" w:sz="4" w:space="0"/>
              <w:right w:val="single" w:color="000000" w:sz="4" w:space="0"/>
            </w:tcBorders>
          </w:tcPr>
          <w:p>
            <w:pPr>
              <w:pStyle w:val="33"/>
              <w:spacing w:before="24" w:line="360" w:lineRule="auto"/>
              <w:ind w:left="158" w:right="116"/>
              <w:jc w:val="center"/>
              <w:rPr>
                <w:rFonts w:ascii="宋体" w:eastAsia="宋体"/>
                <w:color w:val="auto"/>
                <w:sz w:val="21"/>
                <w:szCs w:val="21"/>
              </w:rPr>
            </w:pPr>
            <w:r>
              <w:rPr>
                <w:rFonts w:hint="eastAsia" w:ascii="宋体" w:eastAsia="宋体"/>
                <w:color w:val="auto"/>
                <w:sz w:val="21"/>
                <w:szCs w:val="21"/>
              </w:rPr>
              <w:t>监理</w:t>
            </w:r>
          </w:p>
        </w:tc>
        <w:tc>
          <w:tcPr>
            <w:tcW w:w="767" w:type="dxa"/>
            <w:tcBorders>
              <w:top w:val="single" w:color="000000" w:sz="4" w:space="0"/>
              <w:left w:val="single" w:color="000000" w:sz="4" w:space="0"/>
              <w:bottom w:val="single" w:color="000000" w:sz="4" w:space="0"/>
              <w:right w:val="single" w:color="000000" w:sz="4" w:space="0"/>
            </w:tcBorders>
          </w:tcPr>
          <w:p>
            <w:pPr>
              <w:pStyle w:val="33"/>
              <w:spacing w:before="24" w:line="360" w:lineRule="auto"/>
              <w:ind w:right="229"/>
              <w:jc w:val="center"/>
              <w:rPr>
                <w:rFonts w:ascii="宋体" w:hAnsi="宋体"/>
                <w:color w:val="auto"/>
                <w:sz w:val="21"/>
                <w:szCs w:val="21"/>
              </w:rPr>
            </w:pPr>
            <w:r>
              <w:rPr>
                <w:rFonts w:ascii="宋体" w:hAnsi="宋体"/>
                <w:color w:val="auto"/>
                <w:sz w:val="21"/>
                <w:szCs w:val="21"/>
              </w:rPr>
              <w:t>√</w:t>
            </w:r>
          </w:p>
        </w:tc>
        <w:tc>
          <w:tcPr>
            <w:tcW w:w="802" w:type="dxa"/>
            <w:tcBorders>
              <w:top w:val="single" w:color="000000" w:sz="4" w:space="0"/>
              <w:left w:val="single" w:color="000000" w:sz="4" w:space="0"/>
              <w:bottom w:val="single" w:color="000000" w:sz="4" w:space="0"/>
              <w:right w:val="single" w:color="000000" w:sz="4" w:space="0"/>
            </w:tcBorders>
          </w:tcPr>
          <w:p>
            <w:pPr>
              <w:pStyle w:val="33"/>
              <w:spacing w:line="360" w:lineRule="auto"/>
              <w:jc w:val="center"/>
              <w:rPr>
                <w:rFonts w:ascii="Times New Roman"/>
                <w:color w:val="auto"/>
                <w:sz w:val="21"/>
                <w:szCs w:val="21"/>
              </w:rPr>
            </w:pPr>
          </w:p>
        </w:tc>
        <w:tc>
          <w:tcPr>
            <w:tcW w:w="826" w:type="dxa"/>
            <w:tcBorders>
              <w:top w:val="single" w:color="000000" w:sz="4" w:space="0"/>
              <w:left w:val="single" w:color="000000" w:sz="4" w:space="0"/>
              <w:bottom w:val="single" w:color="000000" w:sz="4" w:space="0"/>
              <w:right w:val="single" w:color="000000" w:sz="4" w:space="0"/>
            </w:tcBorders>
          </w:tcPr>
          <w:p>
            <w:pPr>
              <w:pStyle w:val="33"/>
              <w:spacing w:line="360" w:lineRule="auto"/>
              <w:jc w:val="center"/>
              <w:rPr>
                <w:rFonts w:ascii="Times New Roman"/>
                <w:color w:val="auto"/>
                <w:sz w:val="21"/>
                <w:szCs w:val="21"/>
              </w:rPr>
            </w:pPr>
          </w:p>
        </w:tc>
        <w:tc>
          <w:tcPr>
            <w:tcW w:w="1015" w:type="dxa"/>
            <w:tcBorders>
              <w:top w:val="single" w:color="000000" w:sz="4" w:space="0"/>
              <w:left w:val="single" w:color="000000" w:sz="4" w:space="0"/>
              <w:bottom w:val="single" w:color="000000" w:sz="4" w:space="0"/>
              <w:right w:val="single" w:color="000000" w:sz="4" w:space="0"/>
            </w:tcBorders>
          </w:tcPr>
          <w:p>
            <w:pPr>
              <w:pStyle w:val="33"/>
              <w:spacing w:before="24" w:line="360" w:lineRule="auto"/>
              <w:ind w:left="51"/>
              <w:jc w:val="center"/>
              <w:rPr>
                <w:rFonts w:ascii="宋体" w:hAnsi="宋体"/>
                <w:color w:val="auto"/>
                <w:sz w:val="21"/>
                <w:szCs w:val="21"/>
              </w:rPr>
            </w:pPr>
            <w:r>
              <w:rPr>
                <w:rFonts w:ascii="宋体" w:hAnsi="宋体"/>
                <w:color w:val="auto"/>
                <w:sz w:val="21"/>
                <w:szCs w:val="21"/>
              </w:rPr>
              <w:t>√</w:t>
            </w:r>
          </w:p>
        </w:tc>
        <w:tc>
          <w:tcPr>
            <w:tcW w:w="896" w:type="dxa"/>
            <w:tcBorders>
              <w:top w:val="single" w:color="000000" w:sz="4" w:space="0"/>
              <w:left w:val="single" w:color="000000" w:sz="4" w:space="0"/>
              <w:bottom w:val="single" w:color="000000" w:sz="4" w:space="0"/>
              <w:right w:val="single" w:color="000000" w:sz="4" w:space="0"/>
            </w:tcBorders>
          </w:tcPr>
          <w:p>
            <w:pPr>
              <w:pStyle w:val="33"/>
              <w:spacing w:before="24" w:line="360" w:lineRule="auto"/>
              <w:ind w:left="51"/>
              <w:jc w:val="center"/>
              <w:rPr>
                <w:rFonts w:ascii="宋体" w:hAnsi="宋体"/>
                <w:color w:val="auto"/>
                <w:sz w:val="21"/>
                <w:szCs w:val="21"/>
              </w:rPr>
            </w:pPr>
            <w:r>
              <w:rPr>
                <w:rFonts w:ascii="宋体" w:hAnsi="宋体"/>
                <w:color w:val="auto"/>
                <w:sz w:val="21"/>
                <w:szCs w:val="21"/>
              </w:rPr>
              <w:t>√</w:t>
            </w:r>
          </w:p>
        </w:tc>
        <w:tc>
          <w:tcPr>
            <w:tcW w:w="993" w:type="dxa"/>
            <w:tcBorders>
              <w:top w:val="single" w:color="000000" w:sz="4" w:space="0"/>
              <w:left w:val="single" w:color="000000" w:sz="4" w:space="0"/>
              <w:bottom w:val="single" w:color="000000" w:sz="4" w:space="0"/>
              <w:right w:val="single" w:color="000000" w:sz="4" w:space="0"/>
            </w:tcBorders>
          </w:tcPr>
          <w:p>
            <w:pPr>
              <w:pStyle w:val="33"/>
              <w:spacing w:line="360" w:lineRule="auto"/>
              <w:jc w:val="center"/>
              <w:rPr>
                <w:rFonts w:ascii="Times New Roman"/>
                <w:color w:val="auto"/>
                <w:sz w:val="21"/>
                <w:szCs w:val="21"/>
              </w:rPr>
            </w:pPr>
          </w:p>
        </w:tc>
        <w:tc>
          <w:tcPr>
            <w:tcW w:w="1152" w:type="dxa"/>
            <w:tcBorders>
              <w:top w:val="single" w:color="000000" w:sz="4" w:space="0"/>
              <w:left w:val="single" w:color="000000" w:sz="4" w:space="0"/>
              <w:bottom w:val="single" w:color="000000" w:sz="4" w:space="0"/>
              <w:right w:val="single" w:color="000000" w:sz="4" w:space="0"/>
            </w:tcBorders>
          </w:tcPr>
          <w:p>
            <w:pPr>
              <w:pStyle w:val="33"/>
              <w:spacing w:line="360" w:lineRule="auto"/>
              <w:jc w:val="center"/>
              <w:rPr>
                <w:rFonts w:ascii="Times New Roman"/>
                <w:color w:val="auto"/>
                <w:sz w:val="21"/>
                <w:szCs w:val="21"/>
              </w:rPr>
            </w:pPr>
          </w:p>
        </w:tc>
        <w:tc>
          <w:tcPr>
            <w:tcW w:w="773" w:type="dxa"/>
            <w:tcBorders>
              <w:top w:val="single" w:color="000000" w:sz="4" w:space="0"/>
              <w:left w:val="single" w:color="000000" w:sz="4" w:space="0"/>
              <w:bottom w:val="single" w:color="000000" w:sz="4" w:space="0"/>
            </w:tcBorders>
          </w:tcPr>
          <w:p>
            <w:pPr>
              <w:pStyle w:val="33"/>
              <w:spacing w:line="360" w:lineRule="auto"/>
              <w:jc w:val="center"/>
              <w:rPr>
                <w:rFonts w:ascii="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66" w:hRule="atLeast"/>
          <w:jc w:val="center"/>
        </w:trPr>
        <w:tc>
          <w:tcPr>
            <w:tcW w:w="1295" w:type="dxa"/>
            <w:tcBorders>
              <w:top w:val="single" w:color="000000" w:sz="4" w:space="0"/>
              <w:bottom w:val="single" w:color="000000" w:sz="4" w:space="0"/>
              <w:right w:val="single" w:color="000000" w:sz="4" w:space="0"/>
            </w:tcBorders>
          </w:tcPr>
          <w:p>
            <w:pPr>
              <w:pStyle w:val="33"/>
              <w:spacing w:before="82" w:line="360" w:lineRule="auto"/>
              <w:ind w:left="158" w:right="116"/>
              <w:jc w:val="center"/>
              <w:rPr>
                <w:rFonts w:ascii="宋体" w:eastAsia="宋体"/>
                <w:color w:val="auto"/>
                <w:sz w:val="21"/>
                <w:szCs w:val="21"/>
              </w:rPr>
            </w:pPr>
            <w:r>
              <w:rPr>
                <w:rFonts w:hint="eastAsia" w:ascii="宋体" w:eastAsia="宋体"/>
                <w:color w:val="auto"/>
                <w:sz w:val="21"/>
                <w:szCs w:val="21"/>
              </w:rPr>
              <w:t>主要设备</w:t>
            </w:r>
          </w:p>
        </w:tc>
        <w:tc>
          <w:tcPr>
            <w:tcW w:w="767" w:type="dxa"/>
            <w:tcBorders>
              <w:top w:val="single" w:color="000000" w:sz="4" w:space="0"/>
              <w:left w:val="single" w:color="000000" w:sz="4" w:space="0"/>
              <w:bottom w:val="single" w:color="000000" w:sz="4" w:space="0"/>
              <w:right w:val="single" w:color="000000" w:sz="4" w:space="0"/>
            </w:tcBorders>
          </w:tcPr>
          <w:p>
            <w:pPr>
              <w:pStyle w:val="33"/>
              <w:spacing w:before="82" w:line="360" w:lineRule="auto"/>
              <w:ind w:right="229"/>
              <w:jc w:val="center"/>
              <w:rPr>
                <w:rFonts w:ascii="宋体" w:hAnsi="宋体"/>
                <w:color w:val="auto"/>
                <w:sz w:val="21"/>
                <w:szCs w:val="21"/>
              </w:rPr>
            </w:pPr>
            <w:r>
              <w:rPr>
                <w:rFonts w:ascii="宋体" w:hAnsi="宋体"/>
                <w:color w:val="auto"/>
                <w:sz w:val="21"/>
                <w:szCs w:val="21"/>
              </w:rPr>
              <w:t>√</w:t>
            </w:r>
          </w:p>
        </w:tc>
        <w:tc>
          <w:tcPr>
            <w:tcW w:w="802" w:type="dxa"/>
            <w:tcBorders>
              <w:top w:val="single" w:color="000000" w:sz="4" w:space="0"/>
              <w:left w:val="single" w:color="000000" w:sz="4" w:space="0"/>
              <w:bottom w:val="single" w:color="000000" w:sz="4" w:space="0"/>
              <w:right w:val="single" w:color="000000" w:sz="4" w:space="0"/>
            </w:tcBorders>
          </w:tcPr>
          <w:p>
            <w:pPr>
              <w:pStyle w:val="33"/>
              <w:spacing w:line="360" w:lineRule="auto"/>
              <w:jc w:val="center"/>
              <w:rPr>
                <w:rFonts w:ascii="Times New Roman"/>
                <w:color w:val="auto"/>
                <w:sz w:val="21"/>
                <w:szCs w:val="21"/>
              </w:rPr>
            </w:pPr>
          </w:p>
        </w:tc>
        <w:tc>
          <w:tcPr>
            <w:tcW w:w="826" w:type="dxa"/>
            <w:tcBorders>
              <w:top w:val="single" w:color="000000" w:sz="4" w:space="0"/>
              <w:left w:val="single" w:color="000000" w:sz="4" w:space="0"/>
              <w:bottom w:val="single" w:color="000000" w:sz="4" w:space="0"/>
              <w:right w:val="single" w:color="000000" w:sz="4" w:space="0"/>
            </w:tcBorders>
          </w:tcPr>
          <w:p>
            <w:pPr>
              <w:pStyle w:val="33"/>
              <w:spacing w:line="360" w:lineRule="auto"/>
              <w:jc w:val="center"/>
              <w:rPr>
                <w:rFonts w:ascii="Times New Roman"/>
                <w:color w:val="auto"/>
                <w:sz w:val="21"/>
                <w:szCs w:val="21"/>
              </w:rPr>
            </w:pPr>
          </w:p>
        </w:tc>
        <w:tc>
          <w:tcPr>
            <w:tcW w:w="1015" w:type="dxa"/>
            <w:tcBorders>
              <w:top w:val="single" w:color="000000" w:sz="4" w:space="0"/>
              <w:left w:val="single" w:color="000000" w:sz="4" w:space="0"/>
              <w:bottom w:val="single" w:color="000000" w:sz="4" w:space="0"/>
              <w:right w:val="single" w:color="000000" w:sz="4" w:space="0"/>
            </w:tcBorders>
          </w:tcPr>
          <w:p>
            <w:pPr>
              <w:pStyle w:val="33"/>
              <w:spacing w:before="82" w:line="360" w:lineRule="auto"/>
              <w:ind w:left="51"/>
              <w:jc w:val="center"/>
              <w:rPr>
                <w:rFonts w:ascii="宋体" w:hAnsi="宋体"/>
                <w:color w:val="auto"/>
                <w:sz w:val="21"/>
                <w:szCs w:val="21"/>
              </w:rPr>
            </w:pPr>
            <w:r>
              <w:rPr>
                <w:rFonts w:ascii="宋体" w:hAnsi="宋体"/>
                <w:color w:val="auto"/>
                <w:sz w:val="21"/>
                <w:szCs w:val="21"/>
              </w:rPr>
              <w:t>√</w:t>
            </w:r>
          </w:p>
        </w:tc>
        <w:tc>
          <w:tcPr>
            <w:tcW w:w="896" w:type="dxa"/>
            <w:tcBorders>
              <w:top w:val="single" w:color="000000" w:sz="4" w:space="0"/>
              <w:left w:val="single" w:color="000000" w:sz="4" w:space="0"/>
              <w:bottom w:val="single" w:color="000000" w:sz="4" w:space="0"/>
              <w:right w:val="single" w:color="000000" w:sz="4" w:space="0"/>
            </w:tcBorders>
          </w:tcPr>
          <w:p>
            <w:pPr>
              <w:pStyle w:val="33"/>
              <w:spacing w:before="82" w:line="360" w:lineRule="auto"/>
              <w:ind w:left="51"/>
              <w:jc w:val="center"/>
              <w:rPr>
                <w:rFonts w:ascii="宋体" w:hAnsi="宋体"/>
                <w:color w:val="auto"/>
                <w:sz w:val="21"/>
                <w:szCs w:val="21"/>
              </w:rPr>
            </w:pPr>
            <w:r>
              <w:rPr>
                <w:rFonts w:ascii="宋体" w:hAnsi="宋体"/>
                <w:color w:val="auto"/>
                <w:sz w:val="21"/>
                <w:szCs w:val="21"/>
              </w:rPr>
              <w:t>√</w:t>
            </w:r>
          </w:p>
        </w:tc>
        <w:tc>
          <w:tcPr>
            <w:tcW w:w="993" w:type="dxa"/>
            <w:tcBorders>
              <w:top w:val="single" w:color="000000" w:sz="4" w:space="0"/>
              <w:left w:val="single" w:color="000000" w:sz="4" w:space="0"/>
              <w:bottom w:val="single" w:color="000000" w:sz="4" w:space="0"/>
              <w:right w:val="single" w:color="000000" w:sz="4" w:space="0"/>
            </w:tcBorders>
          </w:tcPr>
          <w:p>
            <w:pPr>
              <w:pStyle w:val="33"/>
              <w:spacing w:line="360" w:lineRule="auto"/>
              <w:jc w:val="center"/>
              <w:rPr>
                <w:rFonts w:ascii="Times New Roman"/>
                <w:color w:val="auto"/>
                <w:sz w:val="21"/>
                <w:szCs w:val="21"/>
              </w:rPr>
            </w:pPr>
          </w:p>
        </w:tc>
        <w:tc>
          <w:tcPr>
            <w:tcW w:w="1152" w:type="dxa"/>
            <w:tcBorders>
              <w:top w:val="single" w:color="000000" w:sz="4" w:space="0"/>
              <w:left w:val="single" w:color="000000" w:sz="4" w:space="0"/>
              <w:bottom w:val="single" w:color="000000" w:sz="4" w:space="0"/>
              <w:right w:val="single" w:color="000000" w:sz="4" w:space="0"/>
            </w:tcBorders>
          </w:tcPr>
          <w:p>
            <w:pPr>
              <w:pStyle w:val="33"/>
              <w:spacing w:line="360" w:lineRule="auto"/>
              <w:jc w:val="center"/>
              <w:rPr>
                <w:rFonts w:ascii="Times New Roman"/>
                <w:color w:val="auto"/>
                <w:sz w:val="21"/>
                <w:szCs w:val="21"/>
              </w:rPr>
            </w:pPr>
          </w:p>
        </w:tc>
        <w:tc>
          <w:tcPr>
            <w:tcW w:w="773" w:type="dxa"/>
            <w:tcBorders>
              <w:top w:val="single" w:color="000000" w:sz="4" w:space="0"/>
              <w:left w:val="single" w:color="000000" w:sz="4" w:space="0"/>
              <w:bottom w:val="single" w:color="000000" w:sz="4" w:space="0"/>
            </w:tcBorders>
          </w:tcPr>
          <w:p>
            <w:pPr>
              <w:pStyle w:val="33"/>
              <w:spacing w:line="360" w:lineRule="auto"/>
              <w:jc w:val="center"/>
              <w:rPr>
                <w:rFonts w:ascii="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52" w:hRule="atLeast"/>
          <w:jc w:val="center"/>
        </w:trPr>
        <w:tc>
          <w:tcPr>
            <w:tcW w:w="1295" w:type="dxa"/>
            <w:tcBorders>
              <w:top w:val="single" w:color="000000" w:sz="4" w:space="0"/>
              <w:bottom w:val="single" w:color="000000" w:sz="4" w:space="0"/>
              <w:right w:val="single" w:color="000000" w:sz="4" w:space="0"/>
            </w:tcBorders>
          </w:tcPr>
          <w:p>
            <w:pPr>
              <w:pStyle w:val="33"/>
              <w:spacing w:before="175" w:line="360" w:lineRule="auto"/>
              <w:ind w:left="158" w:right="116"/>
              <w:jc w:val="center"/>
              <w:rPr>
                <w:rFonts w:ascii="宋体" w:eastAsia="宋体"/>
                <w:color w:val="auto"/>
                <w:sz w:val="21"/>
                <w:szCs w:val="21"/>
              </w:rPr>
            </w:pPr>
            <w:r>
              <w:rPr>
                <w:rFonts w:hint="eastAsia" w:ascii="宋体" w:eastAsia="宋体"/>
                <w:color w:val="auto"/>
                <w:sz w:val="21"/>
                <w:szCs w:val="21"/>
              </w:rPr>
              <w:t>重要材料</w:t>
            </w:r>
          </w:p>
        </w:tc>
        <w:tc>
          <w:tcPr>
            <w:tcW w:w="767" w:type="dxa"/>
            <w:tcBorders>
              <w:top w:val="single" w:color="000000" w:sz="4" w:space="0"/>
              <w:left w:val="single" w:color="000000" w:sz="4" w:space="0"/>
              <w:bottom w:val="single" w:color="000000" w:sz="4" w:space="0"/>
              <w:right w:val="single" w:color="000000" w:sz="4" w:space="0"/>
            </w:tcBorders>
          </w:tcPr>
          <w:p>
            <w:pPr>
              <w:pStyle w:val="33"/>
              <w:spacing w:before="175" w:line="360" w:lineRule="auto"/>
              <w:ind w:right="229"/>
              <w:jc w:val="center"/>
              <w:rPr>
                <w:rFonts w:ascii="宋体" w:hAnsi="宋体"/>
                <w:color w:val="auto"/>
                <w:sz w:val="21"/>
                <w:szCs w:val="21"/>
              </w:rPr>
            </w:pPr>
            <w:r>
              <w:rPr>
                <w:rFonts w:ascii="宋体" w:hAnsi="宋体"/>
                <w:color w:val="auto"/>
                <w:sz w:val="21"/>
                <w:szCs w:val="21"/>
              </w:rPr>
              <w:t>√</w:t>
            </w:r>
          </w:p>
        </w:tc>
        <w:tc>
          <w:tcPr>
            <w:tcW w:w="802" w:type="dxa"/>
            <w:tcBorders>
              <w:top w:val="single" w:color="000000" w:sz="4" w:space="0"/>
              <w:left w:val="single" w:color="000000" w:sz="4" w:space="0"/>
              <w:bottom w:val="single" w:color="000000" w:sz="4" w:space="0"/>
              <w:right w:val="single" w:color="000000" w:sz="4" w:space="0"/>
            </w:tcBorders>
          </w:tcPr>
          <w:p>
            <w:pPr>
              <w:pStyle w:val="33"/>
              <w:spacing w:line="360" w:lineRule="auto"/>
              <w:jc w:val="center"/>
              <w:rPr>
                <w:rFonts w:ascii="Times New Roman"/>
                <w:color w:val="auto"/>
                <w:sz w:val="21"/>
                <w:szCs w:val="21"/>
              </w:rPr>
            </w:pPr>
          </w:p>
        </w:tc>
        <w:tc>
          <w:tcPr>
            <w:tcW w:w="826" w:type="dxa"/>
            <w:tcBorders>
              <w:top w:val="single" w:color="000000" w:sz="4" w:space="0"/>
              <w:left w:val="single" w:color="000000" w:sz="4" w:space="0"/>
              <w:bottom w:val="single" w:color="000000" w:sz="4" w:space="0"/>
              <w:right w:val="single" w:color="000000" w:sz="4" w:space="0"/>
            </w:tcBorders>
          </w:tcPr>
          <w:p>
            <w:pPr>
              <w:pStyle w:val="33"/>
              <w:spacing w:line="360" w:lineRule="auto"/>
              <w:jc w:val="center"/>
              <w:rPr>
                <w:rFonts w:ascii="Times New Roman"/>
                <w:color w:val="auto"/>
                <w:sz w:val="21"/>
                <w:szCs w:val="21"/>
              </w:rPr>
            </w:pPr>
          </w:p>
        </w:tc>
        <w:tc>
          <w:tcPr>
            <w:tcW w:w="1015" w:type="dxa"/>
            <w:tcBorders>
              <w:top w:val="single" w:color="000000" w:sz="4" w:space="0"/>
              <w:left w:val="single" w:color="000000" w:sz="4" w:space="0"/>
              <w:bottom w:val="single" w:color="000000" w:sz="4" w:space="0"/>
              <w:right w:val="single" w:color="000000" w:sz="4" w:space="0"/>
            </w:tcBorders>
          </w:tcPr>
          <w:p>
            <w:pPr>
              <w:pStyle w:val="33"/>
              <w:spacing w:before="175" w:line="360" w:lineRule="auto"/>
              <w:ind w:left="51"/>
              <w:jc w:val="center"/>
              <w:rPr>
                <w:rFonts w:ascii="宋体" w:hAnsi="宋体"/>
                <w:color w:val="auto"/>
                <w:sz w:val="21"/>
                <w:szCs w:val="21"/>
              </w:rPr>
            </w:pPr>
            <w:r>
              <w:rPr>
                <w:rFonts w:ascii="宋体" w:hAnsi="宋体"/>
                <w:color w:val="auto"/>
                <w:sz w:val="21"/>
                <w:szCs w:val="21"/>
              </w:rPr>
              <w:t>√</w:t>
            </w:r>
          </w:p>
        </w:tc>
        <w:tc>
          <w:tcPr>
            <w:tcW w:w="896" w:type="dxa"/>
            <w:tcBorders>
              <w:top w:val="single" w:color="000000" w:sz="4" w:space="0"/>
              <w:left w:val="single" w:color="000000" w:sz="4" w:space="0"/>
              <w:bottom w:val="single" w:color="000000" w:sz="4" w:space="0"/>
              <w:right w:val="single" w:color="000000" w:sz="4" w:space="0"/>
            </w:tcBorders>
          </w:tcPr>
          <w:p>
            <w:pPr>
              <w:pStyle w:val="33"/>
              <w:spacing w:before="175" w:line="360" w:lineRule="auto"/>
              <w:ind w:left="51"/>
              <w:jc w:val="center"/>
              <w:rPr>
                <w:rFonts w:ascii="宋体" w:hAnsi="宋体"/>
                <w:color w:val="auto"/>
                <w:sz w:val="21"/>
                <w:szCs w:val="21"/>
              </w:rPr>
            </w:pPr>
            <w:r>
              <w:rPr>
                <w:rFonts w:ascii="宋体" w:hAnsi="宋体"/>
                <w:color w:val="auto"/>
                <w:sz w:val="21"/>
                <w:szCs w:val="21"/>
              </w:rPr>
              <w:t>√</w:t>
            </w:r>
          </w:p>
        </w:tc>
        <w:tc>
          <w:tcPr>
            <w:tcW w:w="993" w:type="dxa"/>
            <w:tcBorders>
              <w:top w:val="single" w:color="000000" w:sz="4" w:space="0"/>
              <w:left w:val="single" w:color="000000" w:sz="4" w:space="0"/>
              <w:bottom w:val="single" w:color="000000" w:sz="4" w:space="0"/>
              <w:right w:val="single" w:color="000000" w:sz="4" w:space="0"/>
            </w:tcBorders>
          </w:tcPr>
          <w:p>
            <w:pPr>
              <w:pStyle w:val="33"/>
              <w:spacing w:line="360" w:lineRule="auto"/>
              <w:jc w:val="center"/>
              <w:rPr>
                <w:rFonts w:ascii="Times New Roman"/>
                <w:color w:val="auto"/>
                <w:sz w:val="21"/>
                <w:szCs w:val="21"/>
              </w:rPr>
            </w:pPr>
          </w:p>
        </w:tc>
        <w:tc>
          <w:tcPr>
            <w:tcW w:w="1152" w:type="dxa"/>
            <w:tcBorders>
              <w:top w:val="single" w:color="000000" w:sz="4" w:space="0"/>
              <w:left w:val="single" w:color="000000" w:sz="4" w:space="0"/>
              <w:bottom w:val="single" w:color="000000" w:sz="4" w:space="0"/>
              <w:right w:val="single" w:color="000000" w:sz="4" w:space="0"/>
            </w:tcBorders>
          </w:tcPr>
          <w:p>
            <w:pPr>
              <w:pStyle w:val="33"/>
              <w:spacing w:line="360" w:lineRule="auto"/>
              <w:jc w:val="center"/>
              <w:rPr>
                <w:rFonts w:ascii="Times New Roman"/>
                <w:color w:val="auto"/>
                <w:sz w:val="21"/>
                <w:szCs w:val="21"/>
              </w:rPr>
            </w:pPr>
          </w:p>
        </w:tc>
        <w:tc>
          <w:tcPr>
            <w:tcW w:w="773" w:type="dxa"/>
            <w:tcBorders>
              <w:top w:val="single" w:color="000000" w:sz="4" w:space="0"/>
              <w:left w:val="single" w:color="000000" w:sz="4" w:space="0"/>
              <w:bottom w:val="single" w:color="000000" w:sz="4" w:space="0"/>
            </w:tcBorders>
          </w:tcPr>
          <w:p>
            <w:pPr>
              <w:pStyle w:val="33"/>
              <w:spacing w:line="360" w:lineRule="auto"/>
              <w:jc w:val="center"/>
              <w:rPr>
                <w:rFonts w:ascii="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61" w:hRule="atLeast"/>
          <w:jc w:val="center"/>
        </w:trPr>
        <w:tc>
          <w:tcPr>
            <w:tcW w:w="1295" w:type="dxa"/>
            <w:tcBorders>
              <w:top w:val="single" w:color="000000" w:sz="4" w:space="0"/>
              <w:bottom w:val="single" w:color="000000" w:sz="4" w:space="0"/>
              <w:right w:val="single" w:color="000000" w:sz="4" w:space="0"/>
            </w:tcBorders>
          </w:tcPr>
          <w:p>
            <w:pPr>
              <w:pStyle w:val="33"/>
              <w:spacing w:before="3" w:line="360" w:lineRule="auto"/>
              <w:ind w:left="158" w:right="116"/>
              <w:jc w:val="center"/>
              <w:rPr>
                <w:rFonts w:ascii="宋体" w:eastAsia="宋体"/>
                <w:color w:val="auto"/>
                <w:sz w:val="21"/>
                <w:szCs w:val="21"/>
              </w:rPr>
            </w:pPr>
            <w:r>
              <w:rPr>
                <w:rFonts w:hint="eastAsia" w:ascii="宋体" w:eastAsia="宋体"/>
                <w:color w:val="auto"/>
                <w:sz w:val="21"/>
                <w:szCs w:val="21"/>
              </w:rPr>
              <w:t>全过程</w:t>
            </w:r>
          </w:p>
        </w:tc>
        <w:tc>
          <w:tcPr>
            <w:tcW w:w="767" w:type="dxa"/>
            <w:tcBorders>
              <w:top w:val="single" w:color="000000" w:sz="4" w:space="0"/>
              <w:left w:val="single" w:color="000000" w:sz="4" w:space="0"/>
              <w:bottom w:val="single" w:color="000000" w:sz="4" w:space="0"/>
              <w:right w:val="single" w:color="000000" w:sz="4" w:space="0"/>
            </w:tcBorders>
          </w:tcPr>
          <w:p>
            <w:pPr>
              <w:pStyle w:val="33"/>
              <w:spacing w:before="27" w:line="360" w:lineRule="auto"/>
              <w:ind w:right="229"/>
              <w:jc w:val="center"/>
              <w:rPr>
                <w:rFonts w:ascii="宋体" w:hAnsi="宋体"/>
                <w:color w:val="auto"/>
                <w:sz w:val="21"/>
                <w:szCs w:val="21"/>
              </w:rPr>
            </w:pPr>
            <w:r>
              <w:rPr>
                <w:rFonts w:ascii="宋体" w:hAnsi="宋体"/>
                <w:color w:val="auto"/>
                <w:sz w:val="21"/>
                <w:szCs w:val="21"/>
              </w:rPr>
              <w:t>√</w:t>
            </w:r>
          </w:p>
        </w:tc>
        <w:tc>
          <w:tcPr>
            <w:tcW w:w="802" w:type="dxa"/>
            <w:tcBorders>
              <w:top w:val="single" w:color="000000" w:sz="4" w:space="0"/>
              <w:left w:val="single" w:color="000000" w:sz="4" w:space="0"/>
              <w:bottom w:val="single" w:color="000000" w:sz="4" w:space="0"/>
              <w:right w:val="single" w:color="000000" w:sz="4" w:space="0"/>
            </w:tcBorders>
          </w:tcPr>
          <w:p>
            <w:pPr>
              <w:pStyle w:val="33"/>
              <w:spacing w:line="360" w:lineRule="auto"/>
              <w:jc w:val="center"/>
              <w:rPr>
                <w:rFonts w:ascii="Times New Roman"/>
                <w:color w:val="auto"/>
                <w:sz w:val="21"/>
                <w:szCs w:val="21"/>
              </w:rPr>
            </w:pPr>
          </w:p>
        </w:tc>
        <w:tc>
          <w:tcPr>
            <w:tcW w:w="826" w:type="dxa"/>
            <w:tcBorders>
              <w:top w:val="single" w:color="000000" w:sz="4" w:space="0"/>
              <w:left w:val="single" w:color="000000" w:sz="4" w:space="0"/>
              <w:bottom w:val="single" w:color="000000" w:sz="4" w:space="0"/>
              <w:right w:val="single" w:color="000000" w:sz="4" w:space="0"/>
            </w:tcBorders>
          </w:tcPr>
          <w:p>
            <w:pPr>
              <w:pStyle w:val="33"/>
              <w:spacing w:line="360" w:lineRule="auto"/>
              <w:jc w:val="center"/>
              <w:rPr>
                <w:rFonts w:ascii="Times New Roman"/>
                <w:color w:val="auto"/>
                <w:sz w:val="21"/>
                <w:szCs w:val="21"/>
              </w:rPr>
            </w:pPr>
          </w:p>
        </w:tc>
        <w:tc>
          <w:tcPr>
            <w:tcW w:w="1015" w:type="dxa"/>
            <w:tcBorders>
              <w:top w:val="single" w:color="000000" w:sz="4" w:space="0"/>
              <w:left w:val="single" w:color="000000" w:sz="4" w:space="0"/>
              <w:bottom w:val="single" w:color="000000" w:sz="4" w:space="0"/>
              <w:right w:val="single" w:color="000000" w:sz="4" w:space="0"/>
            </w:tcBorders>
          </w:tcPr>
          <w:p>
            <w:pPr>
              <w:pStyle w:val="33"/>
              <w:spacing w:before="27" w:line="360" w:lineRule="auto"/>
              <w:ind w:left="51"/>
              <w:jc w:val="center"/>
              <w:rPr>
                <w:rFonts w:ascii="宋体" w:hAnsi="宋体"/>
                <w:color w:val="auto"/>
                <w:sz w:val="21"/>
                <w:szCs w:val="21"/>
              </w:rPr>
            </w:pPr>
            <w:r>
              <w:rPr>
                <w:rFonts w:ascii="宋体" w:hAnsi="宋体"/>
                <w:color w:val="auto"/>
                <w:sz w:val="21"/>
                <w:szCs w:val="21"/>
              </w:rPr>
              <w:t>√</w:t>
            </w:r>
          </w:p>
        </w:tc>
        <w:tc>
          <w:tcPr>
            <w:tcW w:w="896" w:type="dxa"/>
            <w:tcBorders>
              <w:top w:val="single" w:color="000000" w:sz="4" w:space="0"/>
              <w:left w:val="single" w:color="000000" w:sz="4" w:space="0"/>
              <w:bottom w:val="single" w:color="000000" w:sz="4" w:space="0"/>
              <w:right w:val="single" w:color="000000" w:sz="4" w:space="0"/>
            </w:tcBorders>
          </w:tcPr>
          <w:p>
            <w:pPr>
              <w:pStyle w:val="33"/>
              <w:spacing w:before="27" w:line="360" w:lineRule="auto"/>
              <w:ind w:left="51"/>
              <w:jc w:val="center"/>
              <w:rPr>
                <w:rFonts w:ascii="宋体" w:hAnsi="宋体"/>
                <w:color w:val="auto"/>
                <w:sz w:val="21"/>
                <w:szCs w:val="21"/>
              </w:rPr>
            </w:pPr>
            <w:r>
              <w:rPr>
                <w:rFonts w:ascii="宋体" w:hAnsi="宋体"/>
                <w:color w:val="auto"/>
                <w:sz w:val="21"/>
                <w:szCs w:val="21"/>
              </w:rPr>
              <w:t>√</w:t>
            </w:r>
          </w:p>
        </w:tc>
        <w:tc>
          <w:tcPr>
            <w:tcW w:w="993" w:type="dxa"/>
            <w:tcBorders>
              <w:top w:val="single" w:color="000000" w:sz="4" w:space="0"/>
              <w:left w:val="single" w:color="000000" w:sz="4" w:space="0"/>
              <w:bottom w:val="single" w:color="000000" w:sz="4" w:space="0"/>
              <w:right w:val="single" w:color="000000" w:sz="4" w:space="0"/>
            </w:tcBorders>
          </w:tcPr>
          <w:p>
            <w:pPr>
              <w:pStyle w:val="33"/>
              <w:spacing w:line="360" w:lineRule="auto"/>
              <w:jc w:val="center"/>
              <w:rPr>
                <w:rFonts w:ascii="Times New Roman"/>
                <w:color w:val="auto"/>
                <w:sz w:val="21"/>
                <w:szCs w:val="21"/>
              </w:rPr>
            </w:pPr>
          </w:p>
        </w:tc>
        <w:tc>
          <w:tcPr>
            <w:tcW w:w="1152" w:type="dxa"/>
            <w:tcBorders>
              <w:top w:val="single" w:color="000000" w:sz="4" w:space="0"/>
              <w:left w:val="single" w:color="000000" w:sz="4" w:space="0"/>
              <w:bottom w:val="single" w:color="000000" w:sz="4" w:space="0"/>
              <w:right w:val="single" w:color="000000" w:sz="4" w:space="0"/>
            </w:tcBorders>
          </w:tcPr>
          <w:p>
            <w:pPr>
              <w:pStyle w:val="33"/>
              <w:spacing w:line="360" w:lineRule="auto"/>
              <w:jc w:val="center"/>
              <w:rPr>
                <w:rFonts w:ascii="Times New Roman"/>
                <w:color w:val="auto"/>
                <w:sz w:val="21"/>
                <w:szCs w:val="21"/>
              </w:rPr>
            </w:pPr>
          </w:p>
        </w:tc>
        <w:tc>
          <w:tcPr>
            <w:tcW w:w="773" w:type="dxa"/>
            <w:tcBorders>
              <w:top w:val="single" w:color="000000" w:sz="4" w:space="0"/>
              <w:left w:val="single" w:color="000000" w:sz="4" w:space="0"/>
              <w:bottom w:val="single" w:color="000000" w:sz="4" w:space="0"/>
            </w:tcBorders>
          </w:tcPr>
          <w:p>
            <w:pPr>
              <w:pStyle w:val="33"/>
              <w:spacing w:line="360" w:lineRule="auto"/>
              <w:jc w:val="center"/>
              <w:rPr>
                <w:rFonts w:ascii="Times New Roman"/>
                <w:color w:val="auto"/>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265" w:hRule="atLeast"/>
          <w:jc w:val="center"/>
        </w:trPr>
        <w:tc>
          <w:tcPr>
            <w:tcW w:w="8519" w:type="dxa"/>
            <w:gridSpan w:val="9"/>
            <w:tcBorders>
              <w:top w:val="single" w:color="000000" w:sz="4" w:space="0"/>
              <w:bottom w:val="single" w:color="000000" w:sz="4" w:space="0"/>
            </w:tcBorders>
          </w:tcPr>
          <w:p>
            <w:pPr>
              <w:pStyle w:val="33"/>
              <w:spacing w:before="45" w:line="360" w:lineRule="auto"/>
              <w:ind w:left="118"/>
              <w:rPr>
                <w:rFonts w:ascii="宋体" w:eastAsia="宋体"/>
                <w:color w:val="auto"/>
                <w:sz w:val="21"/>
                <w:szCs w:val="21"/>
              </w:rPr>
            </w:pPr>
            <w:r>
              <w:rPr>
                <w:rFonts w:hint="eastAsia" w:ascii="宋体" w:eastAsia="宋体"/>
                <w:color w:val="auto"/>
                <w:sz w:val="21"/>
                <w:szCs w:val="21"/>
              </w:rPr>
              <w:t>情况说明：</w:t>
            </w:r>
          </w:p>
          <w:p>
            <w:pPr>
              <w:pStyle w:val="33"/>
              <w:spacing w:before="10" w:line="360" w:lineRule="auto"/>
              <w:ind w:left="550"/>
              <w:rPr>
                <w:rFonts w:ascii="宋体" w:hAnsi="宋体" w:eastAsia="宋体"/>
                <w:color w:val="auto"/>
                <w:sz w:val="21"/>
                <w:szCs w:val="21"/>
              </w:rPr>
            </w:pPr>
            <w:r>
              <w:rPr>
                <w:rFonts w:hint="eastAsia" w:ascii="宋体" w:hAnsi="宋体" w:eastAsia="宋体"/>
                <w:color w:val="auto"/>
                <w:sz w:val="21"/>
                <w:szCs w:val="21"/>
              </w:rPr>
              <w:t>表中打“√”者表示拟采用的招标范围、招标组织形式、招标方式等。</w:t>
            </w:r>
          </w:p>
          <w:p>
            <w:pPr>
              <w:pStyle w:val="33"/>
              <w:spacing w:line="360" w:lineRule="auto"/>
              <w:jc w:val="center"/>
              <w:rPr>
                <w:color w:val="auto"/>
                <w:sz w:val="21"/>
                <w:szCs w:val="21"/>
              </w:rPr>
            </w:pPr>
          </w:p>
          <w:p>
            <w:pPr>
              <w:pStyle w:val="33"/>
              <w:spacing w:line="360" w:lineRule="auto"/>
              <w:jc w:val="center"/>
              <w:rPr>
                <w:color w:val="auto"/>
                <w:sz w:val="21"/>
                <w:szCs w:val="21"/>
              </w:rPr>
            </w:pPr>
          </w:p>
          <w:p>
            <w:pPr>
              <w:pStyle w:val="33"/>
              <w:spacing w:before="1" w:line="360" w:lineRule="auto"/>
              <w:jc w:val="center"/>
              <w:rPr>
                <w:color w:val="auto"/>
                <w:sz w:val="21"/>
                <w:szCs w:val="21"/>
              </w:rPr>
            </w:pPr>
          </w:p>
          <w:p>
            <w:pPr>
              <w:pStyle w:val="33"/>
              <w:spacing w:before="1" w:line="360" w:lineRule="auto"/>
              <w:jc w:val="center"/>
              <w:rPr>
                <w:color w:val="auto"/>
                <w:sz w:val="21"/>
                <w:szCs w:val="21"/>
              </w:rPr>
            </w:pPr>
          </w:p>
          <w:p>
            <w:pPr>
              <w:pStyle w:val="33"/>
              <w:tabs>
                <w:tab w:val="left" w:pos="7585"/>
                <w:tab w:val="left" w:pos="8204"/>
              </w:tabs>
              <w:wordWrap w:val="0"/>
              <w:spacing w:line="360" w:lineRule="auto"/>
              <w:ind w:right="522"/>
              <w:jc w:val="right"/>
              <w:rPr>
                <w:rFonts w:ascii="宋体" w:eastAsia="宋体"/>
                <w:color w:val="auto"/>
                <w:sz w:val="21"/>
                <w:szCs w:val="21"/>
              </w:rPr>
            </w:pPr>
            <w:r>
              <w:rPr>
                <w:rFonts w:hint="eastAsia" w:ascii="宋体" w:eastAsia="宋体"/>
                <w:color w:val="auto"/>
                <w:sz w:val="21"/>
                <w:szCs w:val="21"/>
              </w:rPr>
              <w:t xml:space="preserve">建设单位 </w:t>
            </w:r>
            <w:r>
              <w:rPr>
                <w:rFonts w:ascii="宋体" w:eastAsia="宋体"/>
                <w:color w:val="auto"/>
                <w:sz w:val="21"/>
                <w:szCs w:val="21"/>
              </w:rPr>
              <w:t xml:space="preserve"> </w:t>
            </w:r>
          </w:p>
          <w:p>
            <w:pPr>
              <w:pStyle w:val="33"/>
              <w:tabs>
                <w:tab w:val="left" w:pos="7585"/>
                <w:tab w:val="left" w:pos="8204"/>
              </w:tabs>
              <w:wordWrap w:val="0"/>
              <w:spacing w:line="360" w:lineRule="auto"/>
              <w:ind w:right="522"/>
              <w:jc w:val="right"/>
              <w:rPr>
                <w:rFonts w:ascii="宋体" w:eastAsia="宋体"/>
                <w:color w:val="auto"/>
                <w:spacing w:val="-14"/>
                <w:sz w:val="21"/>
                <w:szCs w:val="21"/>
              </w:rPr>
            </w:pPr>
            <w:r>
              <w:rPr>
                <w:rFonts w:hint="eastAsia" w:ascii="宋体" w:eastAsia="宋体"/>
                <w:color w:val="auto"/>
                <w:sz w:val="21"/>
                <w:szCs w:val="21"/>
              </w:rPr>
              <w:t>（盖章</w:t>
            </w:r>
            <w:r>
              <w:rPr>
                <w:rFonts w:hint="eastAsia" w:ascii="宋体" w:eastAsia="宋体"/>
                <w:color w:val="auto"/>
                <w:spacing w:val="-14"/>
                <w:sz w:val="21"/>
                <w:szCs w:val="21"/>
              </w:rPr>
              <w:t xml:space="preserve">） </w:t>
            </w:r>
            <w:r>
              <w:rPr>
                <w:rFonts w:ascii="宋体" w:eastAsia="宋体"/>
                <w:color w:val="auto"/>
                <w:spacing w:val="-14"/>
                <w:sz w:val="21"/>
                <w:szCs w:val="21"/>
              </w:rPr>
              <w:t xml:space="preserve"> </w:t>
            </w:r>
          </w:p>
          <w:p>
            <w:pPr>
              <w:pStyle w:val="33"/>
              <w:tabs>
                <w:tab w:val="left" w:pos="7585"/>
                <w:tab w:val="left" w:pos="8204"/>
              </w:tabs>
              <w:spacing w:line="360" w:lineRule="auto"/>
              <w:ind w:right="522"/>
              <w:jc w:val="right"/>
              <w:rPr>
                <w:rFonts w:ascii="宋体" w:eastAsia="宋体"/>
                <w:color w:val="auto"/>
                <w:sz w:val="21"/>
                <w:szCs w:val="21"/>
              </w:rPr>
            </w:pPr>
            <w:r>
              <w:rPr>
                <w:rFonts w:hint="eastAsia" w:ascii="宋体" w:eastAsia="宋体"/>
                <w:color w:val="auto"/>
                <w:sz w:val="21"/>
                <w:szCs w:val="21"/>
              </w:rPr>
              <w:t xml:space="preserve">年 </w:t>
            </w:r>
            <w:r>
              <w:rPr>
                <w:rFonts w:ascii="宋体" w:eastAsia="宋体"/>
                <w:color w:val="auto"/>
                <w:sz w:val="21"/>
                <w:szCs w:val="21"/>
              </w:rPr>
              <w:t xml:space="preserve">   </w:t>
            </w:r>
            <w:r>
              <w:rPr>
                <w:rFonts w:hint="eastAsia" w:ascii="宋体" w:eastAsia="宋体"/>
                <w:color w:val="auto"/>
                <w:sz w:val="21"/>
                <w:szCs w:val="21"/>
              </w:rPr>
              <w:t xml:space="preserve">月 </w:t>
            </w:r>
            <w:r>
              <w:rPr>
                <w:rFonts w:ascii="宋体" w:eastAsia="宋体"/>
                <w:color w:val="auto"/>
                <w:sz w:val="21"/>
                <w:szCs w:val="21"/>
              </w:rPr>
              <w:t xml:space="preserve">   </w:t>
            </w:r>
            <w:r>
              <w:rPr>
                <w:rFonts w:hint="eastAsia" w:ascii="宋体" w:eastAsia="宋体"/>
                <w:color w:val="auto"/>
                <w:spacing w:val="-17"/>
                <w:sz w:val="21"/>
                <w:szCs w:val="21"/>
              </w:rPr>
              <w:t>日</w:t>
            </w:r>
          </w:p>
        </w:tc>
      </w:tr>
    </w:tbl>
    <w:p>
      <w:pPr>
        <w:pStyle w:val="10"/>
        <w:spacing w:line="500" w:lineRule="exact"/>
        <w:ind w:firstLine="480" w:firstLineChars="200"/>
        <w:jc w:val="both"/>
        <w:rPr>
          <w:rFonts w:asciiTheme="minorEastAsia" w:hAnsiTheme="minorEastAsia" w:eastAsiaTheme="minorEastAsia" w:cstheme="minorEastAsia"/>
          <w:color w:val="auto"/>
          <w:sz w:val="24"/>
          <w:szCs w:val="24"/>
        </w:rPr>
      </w:pPr>
    </w:p>
    <w:p>
      <w:pPr>
        <w:pStyle w:val="32"/>
        <w:numPr>
          <w:ilvl w:val="2"/>
          <w:numId w:val="0"/>
        </w:numPr>
        <w:tabs>
          <w:tab w:val="left" w:pos="1460"/>
        </w:tabs>
        <w:spacing w:line="500" w:lineRule="exact"/>
        <w:ind w:left="547" w:leftChars="0"/>
        <w:jc w:val="both"/>
        <w:rPr>
          <w:rFonts w:asciiTheme="minorEastAsia" w:hAnsiTheme="minorEastAsia" w:eastAsiaTheme="minorEastAsia" w:cstheme="minorEastAsia"/>
          <w:b/>
          <w:bCs/>
          <w:color w:val="auto"/>
          <w:spacing w:val="-11"/>
          <w:sz w:val="24"/>
          <w:szCs w:val="24"/>
        </w:rPr>
      </w:pPr>
      <w:r>
        <w:rPr>
          <w:rFonts w:hint="eastAsia" w:asciiTheme="minorEastAsia" w:hAnsiTheme="minorEastAsia" w:eastAsiaTheme="minorEastAsia" w:cstheme="minorEastAsia"/>
          <w:b/>
          <w:bCs/>
          <w:color w:val="auto"/>
          <w:spacing w:val="-11"/>
          <w:sz w:val="24"/>
          <w:szCs w:val="24"/>
          <w:lang w:val="en-US" w:eastAsia="zh-CN"/>
        </w:rPr>
        <w:t>16.1.4</w:t>
      </w:r>
      <w:r>
        <w:rPr>
          <w:rFonts w:hint="eastAsia" w:asciiTheme="minorEastAsia" w:hAnsiTheme="minorEastAsia" w:eastAsiaTheme="minorEastAsia" w:cstheme="minorEastAsia"/>
          <w:b/>
          <w:bCs/>
          <w:color w:val="auto"/>
          <w:spacing w:val="-11"/>
          <w:sz w:val="24"/>
          <w:szCs w:val="24"/>
        </w:rPr>
        <w:t>勘察、设计、施工合同的划分</w:t>
      </w:r>
    </w:p>
    <w:p>
      <w:pPr>
        <w:pStyle w:val="21"/>
        <w:spacing w:line="500" w:lineRule="exact"/>
        <w:ind w:firstLine="636" w:firstLineChars="300"/>
        <w:rPr>
          <w:rFonts w:hint="eastAsia" w:asciiTheme="minorEastAsia" w:hAnsiTheme="minorEastAsia" w:eastAsiaTheme="minorEastAsia" w:cstheme="minorEastAsia"/>
          <w:color w:val="auto"/>
          <w:spacing w:val="-15"/>
          <w:sz w:val="24"/>
          <w:szCs w:val="24"/>
          <w:highlight w:val="none"/>
          <w:lang w:eastAsia="zh-CN"/>
        </w:rPr>
      </w:pPr>
      <w:r>
        <w:rPr>
          <w:rFonts w:hint="eastAsia" w:asciiTheme="minorEastAsia" w:hAnsiTheme="minorEastAsia" w:eastAsiaTheme="minorEastAsia" w:cstheme="minorEastAsia"/>
          <w:color w:val="auto"/>
          <w:spacing w:val="-14"/>
          <w:sz w:val="24"/>
          <w:szCs w:val="24"/>
        </w:rPr>
        <w:t>由于本项目包含</w:t>
      </w:r>
      <w:r>
        <w:rPr>
          <w:rFonts w:hint="eastAsia" w:asciiTheme="minorEastAsia" w:hAnsiTheme="minorEastAsia" w:eastAsiaTheme="minorEastAsia" w:cstheme="minorEastAsia"/>
          <w:color w:val="auto"/>
          <w:sz w:val="24"/>
          <w:szCs w:val="24"/>
        </w:rPr>
        <w:t>20</w:t>
      </w:r>
      <w:r>
        <w:rPr>
          <w:rFonts w:hint="eastAsia" w:asciiTheme="minorEastAsia" w:hAnsiTheme="minorEastAsia" w:eastAsiaTheme="minorEastAsia" w:cstheme="minorEastAsia"/>
          <w:color w:val="auto"/>
          <w:spacing w:val="-5"/>
          <w:sz w:val="24"/>
          <w:szCs w:val="24"/>
        </w:rPr>
        <w:t>个镇街的镇</w:t>
      </w:r>
      <w:r>
        <w:rPr>
          <w:rFonts w:hint="eastAsia" w:asciiTheme="minorEastAsia" w:hAnsiTheme="minorEastAsia" w:eastAsiaTheme="minorEastAsia" w:cstheme="minorEastAsia"/>
          <w:color w:val="auto"/>
          <w:sz w:val="24"/>
          <w:szCs w:val="24"/>
        </w:rPr>
        <w:t>（城</w:t>
      </w:r>
      <w:r>
        <w:rPr>
          <w:rFonts w:hint="eastAsia" w:asciiTheme="minorEastAsia" w:hAnsiTheme="minorEastAsia" w:eastAsiaTheme="minorEastAsia" w:cstheme="minorEastAsia"/>
          <w:color w:val="auto"/>
          <w:spacing w:val="-5"/>
          <w:sz w:val="24"/>
          <w:szCs w:val="24"/>
        </w:rPr>
        <w:t>）</w:t>
      </w:r>
      <w:r>
        <w:rPr>
          <w:rFonts w:hint="eastAsia" w:asciiTheme="minorEastAsia" w:hAnsiTheme="minorEastAsia" w:eastAsiaTheme="minorEastAsia" w:cstheme="minorEastAsia"/>
          <w:color w:val="auto"/>
          <w:spacing w:val="-4"/>
          <w:sz w:val="24"/>
          <w:szCs w:val="24"/>
        </w:rPr>
        <w:t>区范围及全市各镇街镇</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pacing w:val="-5"/>
          <w:sz w:val="24"/>
          <w:szCs w:val="24"/>
        </w:rPr>
        <w:t>城</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pacing w:val="-4"/>
          <w:sz w:val="24"/>
          <w:szCs w:val="24"/>
        </w:rPr>
        <w:t>区范围以内</w:t>
      </w:r>
      <w:r>
        <w:rPr>
          <w:rFonts w:hint="eastAsia" w:asciiTheme="minorEastAsia" w:hAnsiTheme="minorEastAsia" w:eastAsiaTheme="minorEastAsia" w:cstheme="minorEastAsia"/>
          <w:color w:val="auto"/>
          <w:sz w:val="24"/>
          <w:szCs w:val="24"/>
        </w:rPr>
        <w:t>（</w:t>
      </w:r>
      <w:r>
        <w:rPr>
          <w:rFonts w:hint="eastAsia" w:asciiTheme="minorEastAsia" w:hAnsiTheme="minorEastAsia" w:eastAsiaTheme="minorEastAsia" w:cstheme="minorEastAsia"/>
          <w:color w:val="auto"/>
          <w:spacing w:val="-5"/>
          <w:sz w:val="24"/>
          <w:szCs w:val="24"/>
        </w:rPr>
        <w:t>罗城街道不含自然村，不在本次实</w:t>
      </w:r>
      <w:r>
        <w:rPr>
          <w:rFonts w:hint="eastAsia" w:asciiTheme="minorEastAsia" w:hAnsiTheme="minorEastAsia" w:eastAsiaTheme="minorEastAsia" w:cstheme="minorEastAsia"/>
          <w:color w:val="auto"/>
          <w:spacing w:val="-5"/>
          <w:sz w:val="24"/>
          <w:szCs w:val="24"/>
          <w:highlight w:val="none"/>
        </w:rPr>
        <w:t>施范围之内</w:t>
      </w:r>
      <w:r>
        <w:rPr>
          <w:rFonts w:hint="eastAsia" w:asciiTheme="minorEastAsia" w:hAnsiTheme="minorEastAsia" w:eastAsiaTheme="minorEastAsia" w:cstheme="minorEastAsia"/>
          <w:color w:val="auto"/>
          <w:spacing w:val="-3"/>
          <w:sz w:val="24"/>
          <w:szCs w:val="24"/>
          <w:highlight w:val="none"/>
        </w:rPr>
        <w:t>）</w:t>
      </w:r>
      <w:r>
        <w:rPr>
          <w:rFonts w:hint="eastAsia" w:asciiTheme="minorEastAsia" w:hAnsiTheme="minorEastAsia" w:eastAsiaTheme="minorEastAsia" w:cstheme="minorEastAsia"/>
          <w:color w:val="auto"/>
          <w:spacing w:val="-19"/>
          <w:sz w:val="24"/>
          <w:szCs w:val="24"/>
          <w:highlight w:val="none"/>
        </w:rPr>
        <w:t>的约</w:t>
      </w:r>
      <w:r>
        <w:rPr>
          <w:rFonts w:hint="eastAsia" w:asciiTheme="minorEastAsia" w:hAnsiTheme="minorEastAsia" w:eastAsiaTheme="minorEastAsia" w:cstheme="minorEastAsia"/>
          <w:color w:val="auto"/>
          <w:sz w:val="24"/>
          <w:szCs w:val="24"/>
          <w:highlight w:val="none"/>
          <w:lang w:val="en-US" w:eastAsia="zh-CN"/>
        </w:rPr>
        <w:t>1494</w:t>
      </w:r>
      <w:r>
        <w:rPr>
          <w:rFonts w:hint="eastAsia" w:asciiTheme="minorEastAsia" w:hAnsiTheme="minorEastAsia" w:eastAsiaTheme="minorEastAsia" w:cstheme="minorEastAsia"/>
          <w:color w:val="auto"/>
          <w:spacing w:val="-15"/>
          <w:sz w:val="24"/>
          <w:szCs w:val="24"/>
          <w:highlight w:val="none"/>
        </w:rPr>
        <w:t>个自然村，建议由罗定分局对项目的全过程、勘察、设计、预结算、监理等服务类项目进行招标，以便全</w:t>
      </w:r>
      <w:r>
        <w:rPr>
          <w:rFonts w:hint="eastAsia" w:asciiTheme="minorEastAsia" w:hAnsiTheme="minorEastAsia" w:eastAsiaTheme="minorEastAsia" w:cstheme="minorEastAsia"/>
          <w:color w:val="auto"/>
          <w:spacing w:val="-13"/>
          <w:sz w:val="24"/>
          <w:szCs w:val="24"/>
          <w:highlight w:val="none"/>
        </w:rPr>
        <w:t>面统筹本次全市各镇街自然村站点的管理</w:t>
      </w:r>
      <w:r>
        <w:rPr>
          <w:rFonts w:hint="eastAsia" w:asciiTheme="minorEastAsia" w:hAnsiTheme="minorEastAsia" w:eastAsiaTheme="minorEastAsia" w:cstheme="minorEastAsia"/>
          <w:color w:val="auto"/>
          <w:spacing w:val="-13"/>
          <w:sz w:val="24"/>
          <w:szCs w:val="24"/>
          <w:highlight w:val="none"/>
          <w:lang w:eastAsia="zh-CN"/>
        </w:rPr>
        <w:t>。</w:t>
      </w:r>
    </w:p>
    <w:p>
      <w:pPr>
        <w:pStyle w:val="21"/>
        <w:spacing w:line="500" w:lineRule="exact"/>
        <w:rPr>
          <w:rFonts w:asciiTheme="minorEastAsia" w:hAnsiTheme="minorEastAsia" w:eastAsiaTheme="minorEastAsia" w:cstheme="minorEastAsia"/>
          <w:color w:val="auto"/>
          <w:spacing w:val="-15"/>
          <w:sz w:val="24"/>
          <w:szCs w:val="24"/>
          <w:highlight w:val="none"/>
          <w:lang w:val="en-US"/>
        </w:rPr>
        <w:sectPr>
          <w:footerReference r:id="rId17" w:type="default"/>
          <w:type w:val="nextColumn"/>
          <w:pgSz w:w="11910" w:h="16840"/>
          <w:pgMar w:top="1418" w:right="1418" w:bottom="1418" w:left="1701" w:header="0" w:footer="512" w:gutter="0"/>
          <w:cols w:space="720" w:num="1"/>
        </w:sectPr>
      </w:pPr>
    </w:p>
    <w:p>
      <w:pPr>
        <w:pStyle w:val="2"/>
        <w:numPr>
          <w:ilvl w:val="0"/>
          <w:numId w:val="65"/>
        </w:numPr>
        <w:jc w:val="center"/>
        <w:rPr>
          <w:color w:val="auto"/>
          <w:highlight w:val="none"/>
        </w:rPr>
      </w:pPr>
      <w:bookmarkStart w:id="228" w:name="_Toc12487"/>
      <w:bookmarkStart w:id="229" w:name="_Toc29176"/>
      <w:r>
        <w:rPr>
          <w:rFonts w:hint="eastAsia"/>
          <w:color w:val="auto"/>
          <w:highlight w:val="none"/>
        </w:rPr>
        <w:t>结论与建议</w:t>
      </w:r>
      <w:bookmarkEnd w:id="228"/>
      <w:bookmarkEnd w:id="229"/>
    </w:p>
    <w:p>
      <w:pPr>
        <w:pStyle w:val="32"/>
        <w:numPr>
          <w:ilvl w:val="0"/>
          <w:numId w:val="100"/>
        </w:numPr>
        <w:tabs>
          <w:tab w:val="left" w:pos="939"/>
        </w:tabs>
        <w:spacing w:line="500" w:lineRule="exact"/>
        <w:jc w:val="both"/>
        <w:outlineLvl w:val="0"/>
        <w:rPr>
          <w:rFonts w:asciiTheme="minorEastAsia" w:hAnsiTheme="minorEastAsia" w:eastAsiaTheme="minorEastAsia" w:cstheme="minorEastAsia"/>
          <w:b/>
          <w:bCs/>
          <w:vanish/>
          <w:color w:val="auto"/>
          <w:sz w:val="24"/>
          <w:szCs w:val="24"/>
          <w:highlight w:val="none"/>
        </w:rPr>
      </w:pPr>
      <w:bookmarkStart w:id="230" w:name="17.1结论"/>
      <w:bookmarkEnd w:id="230"/>
      <w:bookmarkStart w:id="231" w:name="_Toc9591"/>
    </w:p>
    <w:p>
      <w:pPr>
        <w:pStyle w:val="32"/>
        <w:numPr>
          <w:ilvl w:val="0"/>
          <w:numId w:val="100"/>
        </w:numPr>
        <w:tabs>
          <w:tab w:val="left" w:pos="939"/>
        </w:tabs>
        <w:spacing w:line="500" w:lineRule="exact"/>
        <w:jc w:val="both"/>
        <w:outlineLvl w:val="0"/>
        <w:rPr>
          <w:rFonts w:asciiTheme="minorEastAsia" w:hAnsiTheme="minorEastAsia" w:eastAsiaTheme="minorEastAsia" w:cstheme="minorEastAsia"/>
          <w:b/>
          <w:bCs/>
          <w:vanish/>
          <w:color w:val="auto"/>
          <w:sz w:val="24"/>
          <w:szCs w:val="24"/>
          <w:highlight w:val="none"/>
        </w:rPr>
      </w:pPr>
    </w:p>
    <w:p>
      <w:pPr>
        <w:pStyle w:val="2"/>
        <w:numPr>
          <w:ilvl w:val="0"/>
          <w:numId w:val="0"/>
        </w:numPr>
        <w:tabs>
          <w:tab w:val="left" w:pos="939"/>
        </w:tabs>
        <w:spacing w:before="0" w:line="500" w:lineRule="exact"/>
        <w:ind w:leftChars="0"/>
        <w:jc w:val="both"/>
        <w:rPr>
          <w:rFonts w:asciiTheme="minorEastAsia" w:hAnsiTheme="minorEastAsia" w:eastAsiaTheme="minorEastAsia" w:cstheme="minorEastAsia"/>
          <w:color w:val="auto"/>
          <w:sz w:val="24"/>
          <w:szCs w:val="24"/>
          <w:highlight w:val="none"/>
        </w:rPr>
      </w:pPr>
      <w:bookmarkStart w:id="232" w:name="_Toc26646"/>
      <w:r>
        <w:rPr>
          <w:rFonts w:hint="eastAsia" w:asciiTheme="minorEastAsia" w:hAnsiTheme="minorEastAsia" w:eastAsiaTheme="minorEastAsia" w:cstheme="minorEastAsia"/>
          <w:color w:val="auto"/>
          <w:sz w:val="24"/>
          <w:szCs w:val="24"/>
          <w:highlight w:val="none"/>
          <w:lang w:val="en-US" w:eastAsia="zh-CN"/>
        </w:rPr>
        <w:t>17.1</w:t>
      </w:r>
      <w:r>
        <w:rPr>
          <w:rFonts w:hint="eastAsia" w:asciiTheme="minorEastAsia" w:hAnsiTheme="minorEastAsia" w:eastAsiaTheme="minorEastAsia" w:cstheme="minorEastAsia"/>
          <w:color w:val="auto"/>
          <w:sz w:val="24"/>
          <w:szCs w:val="24"/>
          <w:highlight w:val="none"/>
        </w:rPr>
        <w:t>结论</w:t>
      </w:r>
      <w:bookmarkEnd w:id="231"/>
      <w:bookmarkEnd w:id="232"/>
    </w:p>
    <w:p>
      <w:pPr>
        <w:pStyle w:val="10"/>
        <w:numPr>
          <w:ilvl w:val="0"/>
          <w:numId w:val="101"/>
        </w:numPr>
        <w:spacing w:line="500" w:lineRule="exact"/>
        <w:jc w:val="both"/>
        <w:rPr>
          <w:rFonts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为达到全面建成小康社会的目标要求，省委省政府决定启动粤东西北新一轮环保基础设施建设，以 EPC模式开展全市各镇农村污水设施捆绑打包的实施是本轮环保基础设施建设成功的关键。</w:t>
      </w:r>
    </w:p>
    <w:p>
      <w:pPr>
        <w:pStyle w:val="10"/>
        <w:numPr>
          <w:ilvl w:val="0"/>
          <w:numId w:val="101"/>
        </w:numPr>
        <w:spacing w:line="500" w:lineRule="exact"/>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highlight w:val="none"/>
        </w:rPr>
        <w:t>本项目实施内容包括：新建污水处理设施覆盖</w:t>
      </w:r>
      <w:r>
        <w:rPr>
          <w:rFonts w:hint="eastAsia" w:asciiTheme="minorEastAsia" w:hAnsiTheme="minorEastAsia" w:eastAsiaTheme="minorEastAsia" w:cstheme="minorEastAsia"/>
          <w:color w:val="auto"/>
          <w:sz w:val="24"/>
          <w:szCs w:val="24"/>
          <w:highlight w:val="none"/>
          <w:lang w:val="en-US" w:eastAsia="zh-CN"/>
        </w:rPr>
        <w:t>1494</w:t>
      </w:r>
      <w:r>
        <w:rPr>
          <w:rFonts w:hint="eastAsia" w:asciiTheme="minorEastAsia" w:hAnsiTheme="minorEastAsia" w:eastAsiaTheme="minorEastAsia" w:cstheme="minorEastAsia"/>
          <w:color w:val="auto"/>
          <w:sz w:val="24"/>
          <w:szCs w:val="24"/>
          <w:highlight w:val="none"/>
        </w:rPr>
        <w:t>条自然村；最终实现污水处理设施覆盖的农村污水得到有效收集处理，消除污水横流</w:t>
      </w:r>
      <w:r>
        <w:rPr>
          <w:rFonts w:hint="eastAsia" w:asciiTheme="minorEastAsia" w:hAnsiTheme="minorEastAsia" w:eastAsiaTheme="minorEastAsia" w:cstheme="minorEastAsia"/>
          <w:color w:val="auto"/>
          <w:sz w:val="24"/>
          <w:szCs w:val="24"/>
        </w:rPr>
        <w:t>。</w:t>
      </w:r>
    </w:p>
    <w:p>
      <w:pPr>
        <w:pStyle w:val="10"/>
        <w:numPr>
          <w:ilvl w:val="0"/>
          <w:numId w:val="101"/>
        </w:numPr>
        <w:spacing w:line="500" w:lineRule="exact"/>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合计总规模12540m³/d。</w:t>
      </w:r>
    </w:p>
    <w:p>
      <w:pPr>
        <w:pStyle w:val="10"/>
        <w:numPr>
          <w:ilvl w:val="0"/>
          <w:numId w:val="101"/>
        </w:numPr>
        <w:spacing w:line="500" w:lineRule="exact"/>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新建农村污水处理设施排放要求：</w:t>
      </w:r>
    </w:p>
    <w:p>
      <w:pPr>
        <w:pStyle w:val="10"/>
        <w:numPr>
          <w:ilvl w:val="0"/>
          <w:numId w:val="101"/>
        </w:numPr>
        <w:spacing w:line="500" w:lineRule="exact"/>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处理后出水就近纳入城镇污水管网的，执行《污水排入城镇下水道水质标准》GB/T 31962-2015</w:t>
      </w:r>
    </w:p>
    <w:p>
      <w:pPr>
        <w:pStyle w:val="10"/>
        <w:numPr>
          <w:ilvl w:val="0"/>
          <w:numId w:val="101"/>
        </w:numPr>
        <w:spacing w:line="500" w:lineRule="exact"/>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处理后出水直接排入自然水体时，需根据水功能区划确定排放标准，执行广东省《农村生活污水处理排放标准》DB63/T1777-2020（DB44/2208-2019）；</w:t>
      </w:r>
    </w:p>
    <w:p>
      <w:pPr>
        <w:pStyle w:val="10"/>
        <w:numPr>
          <w:ilvl w:val="0"/>
          <w:numId w:val="101"/>
        </w:numPr>
        <w:spacing w:line="500" w:lineRule="exact"/>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不在前述 5）及 6）要求涵盖范围，以村组为单位采取集中处理方式的，至少执行《城镇污水处理厂污染物排放标准》（GB18918-2002）一级B标准。</w:t>
      </w:r>
    </w:p>
    <w:p>
      <w:pPr>
        <w:pStyle w:val="10"/>
        <w:numPr>
          <w:ilvl w:val="0"/>
          <w:numId w:val="101"/>
        </w:numPr>
        <w:spacing w:line="500" w:lineRule="exact"/>
        <w:jc w:val="both"/>
        <w:rPr>
          <w:rFonts w:asciiTheme="minorEastAsia" w:hAnsiTheme="minorEastAsia" w:eastAsiaTheme="minorEastAsia" w:cstheme="minorEastAsia"/>
          <w:color w:val="auto"/>
          <w:sz w:val="24"/>
          <w:szCs w:val="24"/>
          <w:highlight w:val="none"/>
        </w:rPr>
      </w:pPr>
      <w:r>
        <w:rPr>
          <w:rFonts w:hint="eastAsia" w:asciiTheme="minorEastAsia" w:hAnsiTheme="minorEastAsia" w:eastAsiaTheme="minorEastAsia" w:cstheme="minorEastAsia"/>
          <w:color w:val="auto"/>
          <w:sz w:val="24"/>
          <w:szCs w:val="24"/>
          <w:highlight w:val="none"/>
        </w:rPr>
        <w:t>本项目总投资估算</w:t>
      </w:r>
      <w:r>
        <w:rPr>
          <w:rFonts w:hint="eastAsia" w:asciiTheme="minorEastAsia" w:hAnsiTheme="minorEastAsia" w:eastAsiaTheme="minorEastAsia" w:cstheme="minorEastAsia"/>
          <w:color w:val="auto"/>
          <w:sz w:val="24"/>
          <w:szCs w:val="24"/>
          <w:highlight w:val="none"/>
          <w:lang w:val="en-US" w:eastAsia="zh-CN"/>
        </w:rPr>
        <w:t>80815.07万元</w:t>
      </w:r>
      <w:r>
        <w:rPr>
          <w:rFonts w:hint="eastAsia" w:asciiTheme="minorEastAsia" w:hAnsiTheme="minorEastAsia" w:eastAsiaTheme="minorEastAsia" w:cstheme="minorEastAsia"/>
          <w:color w:val="auto"/>
          <w:sz w:val="24"/>
          <w:szCs w:val="24"/>
          <w:highlight w:val="none"/>
        </w:rPr>
        <w:t>，其中工程费为</w:t>
      </w:r>
      <w:r>
        <w:rPr>
          <w:rFonts w:hint="eastAsia" w:asciiTheme="minorEastAsia" w:hAnsiTheme="minorEastAsia" w:eastAsiaTheme="minorEastAsia" w:cstheme="minorEastAsia"/>
          <w:color w:val="auto"/>
          <w:sz w:val="24"/>
          <w:szCs w:val="24"/>
          <w:highlight w:val="none"/>
          <w:lang w:eastAsia="zh-CN"/>
        </w:rPr>
        <w:t>69876.66万元</w:t>
      </w:r>
      <w:r>
        <w:rPr>
          <w:rFonts w:hint="eastAsia" w:asciiTheme="minorEastAsia" w:hAnsiTheme="minorEastAsia" w:eastAsiaTheme="minorEastAsia" w:cstheme="minorEastAsia"/>
          <w:color w:val="auto"/>
          <w:sz w:val="24"/>
          <w:szCs w:val="24"/>
          <w:highlight w:val="none"/>
        </w:rPr>
        <w:t>，</w:t>
      </w:r>
      <w:r>
        <w:rPr>
          <w:rFonts w:hint="eastAsia" w:asciiTheme="minorEastAsia" w:hAnsiTheme="minorEastAsia" w:eastAsiaTheme="minorEastAsia" w:cstheme="minorEastAsia"/>
          <w:color w:val="auto"/>
          <w:spacing w:val="-11"/>
          <w:sz w:val="24"/>
          <w:szCs w:val="24"/>
          <w:highlight w:val="none"/>
        </w:rPr>
        <w:t xml:space="preserve">工程其他费用 </w:t>
      </w:r>
      <w:r>
        <w:rPr>
          <w:rFonts w:hint="eastAsia" w:asciiTheme="minorEastAsia" w:hAnsiTheme="minorEastAsia" w:eastAsiaTheme="minorEastAsia" w:cstheme="minorEastAsia"/>
          <w:color w:val="auto"/>
          <w:spacing w:val="-8"/>
          <w:sz w:val="24"/>
          <w:szCs w:val="24"/>
          <w:highlight w:val="none"/>
          <w:lang w:val="en-US" w:eastAsia="zh-CN"/>
        </w:rPr>
        <w:t>8584.58万元</w:t>
      </w:r>
      <w:r>
        <w:rPr>
          <w:rFonts w:hint="eastAsia" w:asciiTheme="minorEastAsia" w:hAnsiTheme="minorEastAsia" w:eastAsiaTheme="minorEastAsia" w:cstheme="minorEastAsia"/>
          <w:color w:val="auto"/>
          <w:spacing w:val="-31"/>
          <w:sz w:val="24"/>
          <w:szCs w:val="24"/>
          <w:highlight w:val="none"/>
        </w:rPr>
        <w:t>，预备</w:t>
      </w:r>
      <w:r>
        <w:rPr>
          <w:rFonts w:hint="eastAsia" w:asciiTheme="minorEastAsia" w:hAnsiTheme="minorEastAsia" w:eastAsiaTheme="minorEastAsia" w:cstheme="minorEastAsia"/>
          <w:color w:val="auto"/>
          <w:spacing w:val="-8"/>
          <w:sz w:val="24"/>
          <w:szCs w:val="24"/>
          <w:highlight w:val="none"/>
          <w:lang w:val="en-US" w:eastAsia="zh-CN"/>
        </w:rPr>
        <w:t>费2353.84万元</w:t>
      </w:r>
      <w:r>
        <w:rPr>
          <w:rFonts w:hint="eastAsia" w:asciiTheme="minorEastAsia" w:hAnsiTheme="minorEastAsia" w:eastAsiaTheme="minorEastAsia" w:cstheme="minorEastAsia"/>
          <w:color w:val="auto"/>
          <w:spacing w:val="-8"/>
          <w:sz w:val="24"/>
          <w:szCs w:val="24"/>
          <w:highlight w:val="none"/>
          <w:lang w:val="en-US"/>
        </w:rPr>
        <w:t>。</w:t>
      </w:r>
    </w:p>
    <w:p>
      <w:pPr>
        <w:pStyle w:val="10"/>
        <w:numPr>
          <w:ilvl w:val="0"/>
          <w:numId w:val="0"/>
        </w:numPr>
        <w:spacing w:line="500" w:lineRule="exact"/>
        <w:ind w:left="270" w:leftChars="0"/>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本项目建设期为</w:t>
      </w:r>
      <w:r>
        <w:rPr>
          <w:rFonts w:hint="eastAsia" w:asciiTheme="minorEastAsia" w:hAnsiTheme="minorEastAsia" w:eastAsiaTheme="minorEastAsia" w:cstheme="minorEastAsia"/>
          <w:color w:val="auto"/>
          <w:sz w:val="24"/>
          <w:szCs w:val="24"/>
          <w:lang w:val="en-US" w:eastAsia="zh-CN"/>
        </w:rPr>
        <w:t>18个月</w:t>
      </w:r>
      <w:r>
        <w:rPr>
          <w:rFonts w:hint="eastAsia" w:asciiTheme="minorEastAsia" w:hAnsiTheme="minorEastAsia" w:eastAsiaTheme="minorEastAsia" w:cstheme="minorEastAsia"/>
          <w:color w:val="auto"/>
          <w:sz w:val="24"/>
          <w:szCs w:val="24"/>
        </w:rPr>
        <w:t>。</w:t>
      </w:r>
    </w:p>
    <w:p>
      <w:pPr>
        <w:pStyle w:val="2"/>
        <w:numPr>
          <w:ilvl w:val="0"/>
          <w:numId w:val="0"/>
        </w:numPr>
        <w:tabs>
          <w:tab w:val="left" w:pos="1016"/>
        </w:tabs>
        <w:spacing w:before="0" w:line="500" w:lineRule="exact"/>
        <w:ind w:leftChars="0"/>
        <w:jc w:val="both"/>
        <w:rPr>
          <w:rFonts w:asciiTheme="minorEastAsia" w:hAnsiTheme="minorEastAsia" w:eastAsiaTheme="minorEastAsia" w:cstheme="minorEastAsia"/>
          <w:color w:val="auto"/>
          <w:sz w:val="24"/>
          <w:szCs w:val="24"/>
        </w:rPr>
      </w:pPr>
      <w:bookmarkStart w:id="233" w:name="17.2建议"/>
      <w:bookmarkEnd w:id="233"/>
      <w:bookmarkStart w:id="234" w:name="_Toc7345"/>
      <w:bookmarkStart w:id="235" w:name="_Toc32088"/>
      <w:r>
        <w:rPr>
          <w:rFonts w:hint="eastAsia" w:asciiTheme="minorEastAsia" w:hAnsiTheme="minorEastAsia" w:eastAsiaTheme="minorEastAsia" w:cstheme="minorEastAsia"/>
          <w:color w:val="auto"/>
          <w:sz w:val="24"/>
          <w:szCs w:val="24"/>
          <w:lang w:val="en-US" w:eastAsia="zh-CN"/>
        </w:rPr>
        <w:t>17.2</w:t>
      </w:r>
      <w:r>
        <w:rPr>
          <w:rFonts w:hint="eastAsia" w:asciiTheme="minorEastAsia" w:hAnsiTheme="minorEastAsia" w:eastAsiaTheme="minorEastAsia" w:cstheme="minorEastAsia"/>
          <w:color w:val="auto"/>
          <w:sz w:val="24"/>
          <w:szCs w:val="24"/>
        </w:rPr>
        <w:t>建议</w:t>
      </w:r>
      <w:bookmarkEnd w:id="234"/>
      <w:bookmarkEnd w:id="235"/>
    </w:p>
    <w:p>
      <w:pPr>
        <w:pStyle w:val="10"/>
        <w:numPr>
          <w:ilvl w:val="0"/>
          <w:numId w:val="102"/>
        </w:numPr>
        <w:spacing w:line="500" w:lineRule="exact"/>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罗定市自然村数量多且分散，工程量大，投资高，各村的建设条件和配合程度不尽相同。按照先重点后一半、先易后难的原则，建议分批分期实施，逐步完成全覆盖、全收集、全处理的分散式污水处理目标。</w:t>
      </w:r>
    </w:p>
    <w:p>
      <w:pPr>
        <w:pStyle w:val="10"/>
        <w:numPr>
          <w:ilvl w:val="0"/>
          <w:numId w:val="102"/>
        </w:numPr>
        <w:spacing w:line="500" w:lineRule="exact"/>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本项目属于分散式的小型污水处理项目，可研阶段尚未对地质进行勘探，结构相关设计内容按照当地通用做法进行编制，勘察设计阶段应对地质进行妥善探明。</w:t>
      </w:r>
    </w:p>
    <w:p>
      <w:pPr>
        <w:pStyle w:val="10"/>
        <w:numPr>
          <w:ilvl w:val="0"/>
          <w:numId w:val="102"/>
        </w:numPr>
        <w:spacing w:line="500" w:lineRule="exact"/>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站点用地性质对工程造价影响较大，对部分暂未落实建站用地的自然村，需相关部门协调及早落实用地问题，保证能投资估算的准确性。</w:t>
      </w:r>
    </w:p>
    <w:p>
      <w:pPr>
        <w:pStyle w:val="10"/>
        <w:numPr>
          <w:ilvl w:val="0"/>
          <w:numId w:val="102"/>
        </w:numPr>
        <w:spacing w:line="500" w:lineRule="exact"/>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由于本项目工期紧张，需相关部门密切配合，全力推进， 以确保工程保质保量按期完成。</w:t>
      </w:r>
    </w:p>
    <w:p>
      <w:pPr>
        <w:pStyle w:val="10"/>
        <w:numPr>
          <w:ilvl w:val="0"/>
          <w:numId w:val="102"/>
        </w:numPr>
        <w:spacing w:line="500" w:lineRule="exact"/>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加强农村生活污水分散式处理的项目的宣传力度，让广大群众更好地理解污水处理站的作用和带来的益处，为项目的顺利推进奠定良好基础。</w:t>
      </w:r>
    </w:p>
    <w:p>
      <w:pPr>
        <w:pStyle w:val="10"/>
        <w:numPr>
          <w:ilvl w:val="0"/>
          <w:numId w:val="102"/>
        </w:numPr>
        <w:spacing w:line="500" w:lineRule="exact"/>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受财政资金限制，罗定市农村污水处理视配套资金到位情况，可考虑以各镇街为单位分期实施。建议下一步对余下未完成生活污水处理设施建设的村庄及早进行污水的收集和处理。</w:t>
      </w:r>
    </w:p>
    <w:p>
      <w:pPr>
        <w:pStyle w:val="10"/>
        <w:numPr>
          <w:ilvl w:val="0"/>
          <w:numId w:val="102"/>
        </w:numPr>
        <w:spacing w:line="500" w:lineRule="exact"/>
        <w:jc w:val="both"/>
        <w:rPr>
          <w:rFonts w:asciiTheme="minorEastAsia" w:hAnsiTheme="minorEastAsia" w:eastAsiaTheme="minorEastAsia" w:cstheme="minorEastAsia"/>
          <w:color w:val="auto"/>
          <w:sz w:val="24"/>
          <w:szCs w:val="24"/>
        </w:rPr>
      </w:pPr>
      <w:r>
        <w:rPr>
          <w:rFonts w:hint="eastAsia" w:asciiTheme="minorEastAsia" w:hAnsiTheme="minorEastAsia" w:eastAsiaTheme="minorEastAsia" w:cstheme="minorEastAsia"/>
          <w:color w:val="auto"/>
          <w:sz w:val="24"/>
          <w:szCs w:val="24"/>
        </w:rPr>
        <w:t>为了保证农村污水处理设施的高效运行及维护，建议由政府委托专业的运营管理公司对全区所有的分散式污水处理设施统一进行运营管理。</w:t>
      </w:r>
    </w:p>
    <w:p>
      <w:pPr>
        <w:pStyle w:val="26"/>
        <w:rPr>
          <w:color w:val="auto"/>
        </w:rPr>
      </w:pPr>
      <w:r>
        <w:rPr>
          <w:color w:val="auto"/>
        </w:rPr>
        <w:br w:type="page"/>
      </w:r>
    </w:p>
    <w:p>
      <w:pPr>
        <w:pStyle w:val="2"/>
        <w:ind w:left="0"/>
        <w:jc w:val="center"/>
        <w:rPr>
          <w:color w:val="auto"/>
        </w:rPr>
      </w:pPr>
      <w:bookmarkStart w:id="236" w:name="_Toc1211"/>
      <w:r>
        <w:rPr>
          <w:rFonts w:hint="eastAsia"/>
          <w:color w:val="auto"/>
        </w:rPr>
        <w:t>附件</w:t>
      </w:r>
      <w:bookmarkEnd w:id="236"/>
    </w:p>
    <w:p>
      <w:pPr>
        <w:pStyle w:val="10"/>
        <w:spacing w:line="500" w:lineRule="exact"/>
        <w:jc w:val="both"/>
        <w:rPr>
          <w:rFonts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附件</w:t>
      </w:r>
      <w:r>
        <w:rPr>
          <w:rFonts w:asciiTheme="minorEastAsia" w:hAnsiTheme="minorEastAsia" w:eastAsiaTheme="minorEastAsia" w:cstheme="minorEastAsia"/>
          <w:b/>
          <w:bCs/>
          <w:color w:val="auto"/>
          <w:sz w:val="24"/>
          <w:szCs w:val="24"/>
        </w:rPr>
        <w:t xml:space="preserve">1 </w:t>
      </w:r>
      <w:r>
        <w:rPr>
          <w:rFonts w:hint="eastAsia" w:asciiTheme="minorEastAsia" w:hAnsiTheme="minorEastAsia" w:eastAsiaTheme="minorEastAsia" w:cstheme="minorEastAsia"/>
          <w:b/>
          <w:bCs/>
          <w:color w:val="auto"/>
          <w:sz w:val="24"/>
          <w:szCs w:val="24"/>
        </w:rPr>
        <w:t>专家咨询修改意见表</w:t>
      </w:r>
    </w:p>
    <w:p>
      <w:pPr>
        <w:rPr>
          <w:color w:val="auto"/>
        </w:rPr>
      </w:pPr>
      <w:r>
        <w:rPr>
          <w:color w:val="auto"/>
        </w:rPr>
        <w:drawing>
          <wp:inline distT="0" distB="0" distL="0" distR="0">
            <wp:extent cx="5582285" cy="8082280"/>
            <wp:effectExtent l="0" t="0" r="0" b="0"/>
            <wp:docPr id="14" name="图片 14"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表格&#10;&#10;描述已自动生成"/>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5582285" cy="8082280"/>
                    </a:xfrm>
                    <a:prstGeom prst="rect">
                      <a:avLst/>
                    </a:prstGeom>
                    <a:noFill/>
                    <a:ln>
                      <a:noFill/>
                    </a:ln>
                  </pic:spPr>
                </pic:pic>
              </a:graphicData>
            </a:graphic>
          </wp:inline>
        </w:drawing>
      </w:r>
    </w:p>
    <w:p>
      <w:pPr>
        <w:jc w:val="center"/>
        <w:rPr>
          <w:color w:val="auto"/>
        </w:rPr>
      </w:pPr>
    </w:p>
    <w:p>
      <w:pPr>
        <w:jc w:val="center"/>
        <w:rPr>
          <w:color w:val="auto"/>
        </w:rPr>
      </w:pPr>
      <w:r>
        <w:rPr>
          <w:color w:val="auto"/>
        </w:rPr>
        <w:drawing>
          <wp:inline distT="0" distB="0" distL="0" distR="0">
            <wp:extent cx="4964430" cy="7389495"/>
            <wp:effectExtent l="0" t="0" r="7620" b="1905"/>
            <wp:docPr id="337" name="图片 337"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descr="文本&#10;&#10;描述已自动生成"/>
                    <pic:cNvPicPr>
                      <a:picLocks noChangeAspect="1"/>
                    </pic:cNvPicPr>
                  </pic:nvPicPr>
                  <pic:blipFill>
                    <a:blip r:embed="rId44"/>
                    <a:stretch>
                      <a:fillRect/>
                    </a:stretch>
                  </pic:blipFill>
                  <pic:spPr>
                    <a:xfrm>
                      <a:off x="0" y="0"/>
                      <a:ext cx="4969788" cy="7396894"/>
                    </a:xfrm>
                    <a:prstGeom prst="rect">
                      <a:avLst/>
                    </a:prstGeom>
                  </pic:spPr>
                </pic:pic>
              </a:graphicData>
            </a:graphic>
          </wp:inline>
        </w:drawing>
      </w:r>
    </w:p>
    <w:p>
      <w:pPr>
        <w:jc w:val="center"/>
        <w:rPr>
          <w:color w:val="auto"/>
        </w:rPr>
      </w:pPr>
      <w:r>
        <w:rPr>
          <w:color w:val="auto"/>
        </w:rPr>
        <w:drawing>
          <wp:inline distT="0" distB="0" distL="0" distR="0">
            <wp:extent cx="5379085" cy="6028055"/>
            <wp:effectExtent l="0" t="0" r="0" b="0"/>
            <wp:docPr id="338" name="图片 338"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descr="表格&#10;&#10;描述已自动生成"/>
                    <pic:cNvPicPr>
                      <a:picLocks noChangeAspect="1"/>
                    </pic:cNvPicPr>
                  </pic:nvPicPr>
                  <pic:blipFill>
                    <a:blip r:embed="rId45"/>
                    <a:stretch>
                      <a:fillRect/>
                    </a:stretch>
                  </pic:blipFill>
                  <pic:spPr>
                    <a:xfrm>
                      <a:off x="0" y="0"/>
                      <a:ext cx="5395123" cy="6046258"/>
                    </a:xfrm>
                    <a:prstGeom prst="rect">
                      <a:avLst/>
                    </a:prstGeom>
                  </pic:spPr>
                </pic:pic>
              </a:graphicData>
            </a:graphic>
          </wp:inline>
        </w:drawing>
      </w:r>
      <w:r>
        <w:rPr>
          <w:color w:val="auto"/>
        </w:rPr>
        <w:drawing>
          <wp:inline distT="0" distB="0" distL="0" distR="0">
            <wp:extent cx="4901565" cy="7410450"/>
            <wp:effectExtent l="0" t="0" r="0" b="0"/>
            <wp:docPr id="339" name="图片 339"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descr="表格&#10;&#10;描述已自动生成"/>
                    <pic:cNvPicPr>
                      <a:picLocks noChangeAspect="1"/>
                    </pic:cNvPicPr>
                  </pic:nvPicPr>
                  <pic:blipFill>
                    <a:blip r:embed="rId46"/>
                    <a:stretch>
                      <a:fillRect/>
                    </a:stretch>
                  </pic:blipFill>
                  <pic:spPr>
                    <a:xfrm>
                      <a:off x="0" y="0"/>
                      <a:ext cx="4908737" cy="7421165"/>
                    </a:xfrm>
                    <a:prstGeom prst="rect">
                      <a:avLst/>
                    </a:prstGeom>
                  </pic:spPr>
                </pic:pic>
              </a:graphicData>
            </a:graphic>
          </wp:inline>
        </w:drawing>
      </w:r>
      <w:r>
        <w:rPr>
          <w:color w:val="auto"/>
        </w:rPr>
        <w:drawing>
          <wp:inline distT="0" distB="0" distL="0" distR="0">
            <wp:extent cx="5104130" cy="7559675"/>
            <wp:effectExtent l="0" t="0" r="1270" b="3175"/>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pic:cNvPicPr>
                      <a:picLocks noChangeAspect="1"/>
                    </pic:cNvPicPr>
                  </pic:nvPicPr>
                  <pic:blipFill>
                    <a:blip r:embed="rId47"/>
                    <a:stretch>
                      <a:fillRect/>
                    </a:stretch>
                  </pic:blipFill>
                  <pic:spPr>
                    <a:xfrm>
                      <a:off x="0" y="0"/>
                      <a:ext cx="5111895" cy="7570370"/>
                    </a:xfrm>
                    <a:prstGeom prst="rect">
                      <a:avLst/>
                    </a:prstGeom>
                  </pic:spPr>
                </pic:pic>
              </a:graphicData>
            </a:graphic>
          </wp:inline>
        </w:drawing>
      </w:r>
      <w:r>
        <w:rPr>
          <w:color w:val="auto"/>
        </w:rPr>
        <w:drawing>
          <wp:inline distT="0" distB="0" distL="0" distR="0">
            <wp:extent cx="5177790" cy="7480300"/>
            <wp:effectExtent l="0" t="0" r="3810" b="6350"/>
            <wp:docPr id="341" name="图片 341"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descr="表格&#10;&#10;描述已自动生成"/>
                    <pic:cNvPicPr>
                      <a:picLocks noChangeAspect="1"/>
                    </pic:cNvPicPr>
                  </pic:nvPicPr>
                  <pic:blipFill>
                    <a:blip r:embed="rId48"/>
                    <a:stretch>
                      <a:fillRect/>
                    </a:stretch>
                  </pic:blipFill>
                  <pic:spPr>
                    <a:xfrm>
                      <a:off x="0" y="0"/>
                      <a:ext cx="5192060" cy="7500892"/>
                    </a:xfrm>
                    <a:prstGeom prst="rect">
                      <a:avLst/>
                    </a:prstGeom>
                  </pic:spPr>
                </pic:pic>
              </a:graphicData>
            </a:graphic>
          </wp:inline>
        </w:drawing>
      </w:r>
    </w:p>
    <w:p>
      <w:pPr>
        <w:widowControl/>
        <w:autoSpaceDE/>
        <w:autoSpaceDN/>
        <w:rPr>
          <w:color w:val="auto"/>
        </w:rPr>
      </w:pPr>
      <w:r>
        <w:rPr>
          <w:color w:val="auto"/>
        </w:rPr>
        <w:br w:type="page"/>
      </w:r>
      <w:r>
        <w:rPr>
          <w:rFonts w:hint="eastAsia"/>
          <w:color w:val="auto"/>
        </w:rPr>
        <w:drawing>
          <wp:inline distT="0" distB="0" distL="114300" distR="114300">
            <wp:extent cx="5581650" cy="8277225"/>
            <wp:effectExtent l="0" t="0" r="0" b="0"/>
            <wp:docPr id="2" name="图片 2" descr="专家修改意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专家修改意见"/>
                    <pic:cNvPicPr>
                      <a:picLocks noChangeAspect="1"/>
                    </pic:cNvPicPr>
                  </pic:nvPicPr>
                  <pic:blipFill>
                    <a:blip r:embed="rId49"/>
                    <a:stretch>
                      <a:fillRect/>
                    </a:stretch>
                  </pic:blipFill>
                  <pic:spPr>
                    <a:xfrm>
                      <a:off x="0" y="0"/>
                      <a:ext cx="5593454" cy="8294463"/>
                    </a:xfrm>
                    <a:prstGeom prst="rect">
                      <a:avLst/>
                    </a:prstGeom>
                  </pic:spPr>
                </pic:pic>
              </a:graphicData>
            </a:graphic>
          </wp:inline>
        </w:drawing>
      </w:r>
    </w:p>
    <w:p>
      <w:pPr>
        <w:rPr>
          <w:color w:val="auto"/>
        </w:rPr>
      </w:pPr>
    </w:p>
    <w:p>
      <w:pPr>
        <w:rPr>
          <w:color w:val="auto"/>
        </w:rPr>
        <w:sectPr>
          <w:type w:val="nextColumn"/>
          <w:pgSz w:w="11910" w:h="16840"/>
          <w:pgMar w:top="1418" w:right="1418" w:bottom="1418" w:left="1701" w:header="0" w:footer="512" w:gutter="0"/>
          <w:cols w:space="720" w:num="1"/>
        </w:sectPr>
      </w:pPr>
    </w:p>
    <w:p>
      <w:pPr>
        <w:rPr>
          <w:rFonts w:asciiTheme="minorEastAsia" w:hAnsiTheme="minorEastAsia" w:eastAsiaTheme="minorEastAsia" w:cstheme="minorEastAsia"/>
          <w:b/>
          <w:bCs/>
          <w:color w:val="auto"/>
          <w:sz w:val="24"/>
          <w:szCs w:val="24"/>
        </w:rPr>
      </w:pPr>
      <w:bookmarkStart w:id="237" w:name="项目可研论证报告"/>
      <w:bookmarkEnd w:id="237"/>
      <w:bookmarkStart w:id="238" w:name="_Toc8408"/>
      <w:r>
        <w:rPr>
          <w:rFonts w:hint="eastAsia" w:asciiTheme="minorEastAsia" w:hAnsiTheme="minorEastAsia" w:eastAsiaTheme="minorEastAsia" w:cstheme="minorEastAsia"/>
          <w:b/>
          <w:bCs/>
          <w:color w:val="auto"/>
          <w:sz w:val="24"/>
          <w:szCs w:val="24"/>
        </w:rPr>
        <w:t>附件</w:t>
      </w:r>
      <w:r>
        <w:rPr>
          <w:rFonts w:asciiTheme="minorEastAsia" w:hAnsiTheme="minorEastAsia" w:eastAsiaTheme="minorEastAsia" w:cstheme="minorEastAsia"/>
          <w:b/>
          <w:bCs/>
          <w:color w:val="auto"/>
          <w:sz w:val="24"/>
          <w:szCs w:val="24"/>
        </w:rPr>
        <w:t xml:space="preserve">2 </w:t>
      </w:r>
      <w:r>
        <w:rPr>
          <w:rFonts w:hint="eastAsia" w:asciiTheme="minorEastAsia" w:hAnsiTheme="minorEastAsia" w:eastAsiaTheme="minorEastAsia" w:cstheme="minorEastAsia"/>
          <w:b/>
          <w:bCs/>
          <w:color w:val="auto"/>
          <w:sz w:val="24"/>
          <w:szCs w:val="24"/>
        </w:rPr>
        <w:t>工程方案</w:t>
      </w:r>
    </w:p>
    <w:bookmarkEnd w:id="238"/>
    <w:p>
      <w:pPr>
        <w:jc w:val="center"/>
        <w:rPr>
          <w:color w:val="auto"/>
        </w:rPr>
      </w:pPr>
      <w:bookmarkStart w:id="239" w:name="_Toc30645"/>
      <w:bookmarkStart w:id="240" w:name="_Toc31488"/>
      <w:r>
        <w:rPr>
          <w:color w:val="auto"/>
        </w:rPr>
        <w:drawing>
          <wp:inline distT="0" distB="0" distL="114300" distR="114300">
            <wp:extent cx="12628245" cy="8307070"/>
            <wp:effectExtent l="38100" t="38100" r="40005" b="36830"/>
            <wp:docPr id="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pic:cNvPicPr>
                      <a:picLocks noChangeAspect="1"/>
                    </pic:cNvPicPr>
                  </pic:nvPicPr>
                  <pic:blipFill>
                    <a:blip r:embed="rId50"/>
                    <a:stretch>
                      <a:fillRect/>
                    </a:stretch>
                  </pic:blipFill>
                  <pic:spPr>
                    <a:xfrm>
                      <a:off x="0" y="0"/>
                      <a:ext cx="12628245" cy="8307070"/>
                    </a:xfrm>
                    <a:prstGeom prst="rect">
                      <a:avLst/>
                    </a:prstGeom>
                    <a:noFill/>
                    <a:ln w="25400">
                      <a:solidFill>
                        <a:schemeClr val="tx1"/>
                      </a:solidFill>
                    </a:ln>
                  </pic:spPr>
                </pic:pic>
              </a:graphicData>
            </a:graphic>
          </wp:inline>
        </w:drawing>
      </w:r>
      <w:r>
        <w:rPr>
          <w:color w:val="auto"/>
        </w:rPr>
        <w:drawing>
          <wp:inline distT="0" distB="0" distL="114300" distR="114300">
            <wp:extent cx="12496800" cy="8188325"/>
            <wp:effectExtent l="38100" t="38100" r="38100" b="41275"/>
            <wp:docPr id="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
                    <pic:cNvPicPr>
                      <a:picLocks noChangeAspect="1"/>
                    </pic:cNvPicPr>
                  </pic:nvPicPr>
                  <pic:blipFill>
                    <a:blip r:embed="rId51"/>
                    <a:stretch>
                      <a:fillRect/>
                    </a:stretch>
                  </pic:blipFill>
                  <pic:spPr>
                    <a:xfrm>
                      <a:off x="0" y="0"/>
                      <a:ext cx="12496800" cy="8188325"/>
                    </a:xfrm>
                    <a:prstGeom prst="rect">
                      <a:avLst/>
                    </a:prstGeom>
                    <a:noFill/>
                    <a:ln w="25400">
                      <a:solidFill>
                        <a:schemeClr val="tx1"/>
                      </a:solidFill>
                    </a:ln>
                  </pic:spPr>
                </pic:pic>
              </a:graphicData>
            </a:graphic>
          </wp:inline>
        </w:drawing>
      </w:r>
      <w:r>
        <w:rPr>
          <w:color w:val="auto"/>
        </w:rPr>
        <w:drawing>
          <wp:inline distT="0" distB="0" distL="114300" distR="114300">
            <wp:extent cx="12255500" cy="7976870"/>
            <wp:effectExtent l="38100" t="38100" r="31750" b="43180"/>
            <wp:docPr id="2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0"/>
                    <pic:cNvPicPr>
                      <a:picLocks noChangeAspect="1"/>
                    </pic:cNvPicPr>
                  </pic:nvPicPr>
                  <pic:blipFill>
                    <a:blip r:embed="rId52"/>
                    <a:stretch>
                      <a:fillRect/>
                    </a:stretch>
                  </pic:blipFill>
                  <pic:spPr>
                    <a:xfrm>
                      <a:off x="0" y="0"/>
                      <a:ext cx="12255500" cy="7976870"/>
                    </a:xfrm>
                    <a:prstGeom prst="rect">
                      <a:avLst/>
                    </a:prstGeom>
                    <a:noFill/>
                    <a:ln w="25400">
                      <a:solidFill>
                        <a:schemeClr val="tx1"/>
                      </a:solidFill>
                    </a:ln>
                  </pic:spPr>
                </pic:pic>
              </a:graphicData>
            </a:graphic>
          </wp:inline>
        </w:drawing>
      </w:r>
      <w:r>
        <w:rPr>
          <w:color w:val="auto"/>
        </w:rPr>
        <w:drawing>
          <wp:inline distT="0" distB="0" distL="114300" distR="114300">
            <wp:extent cx="12314555" cy="8046085"/>
            <wp:effectExtent l="38100" t="38100" r="29845" b="31115"/>
            <wp:docPr id="2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1"/>
                    <pic:cNvPicPr>
                      <a:picLocks noChangeAspect="1"/>
                    </pic:cNvPicPr>
                  </pic:nvPicPr>
                  <pic:blipFill>
                    <a:blip r:embed="rId53"/>
                    <a:stretch>
                      <a:fillRect/>
                    </a:stretch>
                  </pic:blipFill>
                  <pic:spPr>
                    <a:xfrm>
                      <a:off x="0" y="0"/>
                      <a:ext cx="12314555" cy="8046085"/>
                    </a:xfrm>
                    <a:prstGeom prst="rect">
                      <a:avLst/>
                    </a:prstGeom>
                    <a:noFill/>
                    <a:ln w="25400">
                      <a:solidFill>
                        <a:schemeClr val="tx1"/>
                      </a:solidFill>
                    </a:ln>
                  </pic:spPr>
                </pic:pic>
              </a:graphicData>
            </a:graphic>
          </wp:inline>
        </w:drawing>
      </w:r>
      <w:r>
        <w:rPr>
          <w:color w:val="auto"/>
        </w:rPr>
        <w:drawing>
          <wp:inline distT="0" distB="0" distL="114300" distR="114300">
            <wp:extent cx="13112115" cy="8575040"/>
            <wp:effectExtent l="38100" t="38100" r="32385" b="35560"/>
            <wp:docPr id="3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2"/>
                    <pic:cNvPicPr>
                      <a:picLocks noChangeAspect="1"/>
                    </pic:cNvPicPr>
                  </pic:nvPicPr>
                  <pic:blipFill>
                    <a:blip r:embed="rId54"/>
                    <a:stretch>
                      <a:fillRect/>
                    </a:stretch>
                  </pic:blipFill>
                  <pic:spPr>
                    <a:xfrm>
                      <a:off x="0" y="0"/>
                      <a:ext cx="13112115" cy="8575040"/>
                    </a:xfrm>
                    <a:prstGeom prst="rect">
                      <a:avLst/>
                    </a:prstGeom>
                    <a:noFill/>
                    <a:ln w="25400">
                      <a:solidFill>
                        <a:schemeClr val="tx1"/>
                      </a:solidFill>
                    </a:ln>
                  </pic:spPr>
                </pic:pic>
              </a:graphicData>
            </a:graphic>
          </wp:inline>
        </w:drawing>
      </w:r>
      <w:r>
        <w:rPr>
          <w:color w:val="auto"/>
        </w:rPr>
        <w:drawing>
          <wp:inline distT="0" distB="0" distL="114300" distR="114300">
            <wp:extent cx="12860020" cy="8425180"/>
            <wp:effectExtent l="38100" t="38100" r="36830" b="33020"/>
            <wp:docPr id="3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3"/>
                    <pic:cNvPicPr>
                      <a:picLocks noChangeAspect="1"/>
                    </pic:cNvPicPr>
                  </pic:nvPicPr>
                  <pic:blipFill>
                    <a:blip r:embed="rId55"/>
                    <a:stretch>
                      <a:fillRect/>
                    </a:stretch>
                  </pic:blipFill>
                  <pic:spPr>
                    <a:xfrm>
                      <a:off x="0" y="0"/>
                      <a:ext cx="12860020" cy="8425180"/>
                    </a:xfrm>
                    <a:prstGeom prst="rect">
                      <a:avLst/>
                    </a:prstGeom>
                    <a:noFill/>
                    <a:ln w="25400">
                      <a:solidFill>
                        <a:schemeClr val="tx1"/>
                      </a:solidFill>
                    </a:ln>
                  </pic:spPr>
                </pic:pic>
              </a:graphicData>
            </a:graphic>
          </wp:inline>
        </w:drawing>
      </w:r>
      <w:r>
        <w:rPr>
          <w:color w:val="auto"/>
        </w:rPr>
        <w:drawing>
          <wp:inline distT="0" distB="0" distL="114300" distR="114300">
            <wp:extent cx="12263120" cy="8022590"/>
            <wp:effectExtent l="38100" t="38100" r="43180" b="35560"/>
            <wp:docPr id="3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4"/>
                    <pic:cNvPicPr>
                      <a:picLocks noChangeAspect="1"/>
                    </pic:cNvPicPr>
                  </pic:nvPicPr>
                  <pic:blipFill>
                    <a:blip r:embed="rId56"/>
                    <a:stretch>
                      <a:fillRect/>
                    </a:stretch>
                  </pic:blipFill>
                  <pic:spPr>
                    <a:xfrm>
                      <a:off x="0" y="0"/>
                      <a:ext cx="12263120" cy="8022590"/>
                    </a:xfrm>
                    <a:prstGeom prst="rect">
                      <a:avLst/>
                    </a:prstGeom>
                    <a:noFill/>
                    <a:ln w="25400">
                      <a:solidFill>
                        <a:schemeClr val="tx1"/>
                      </a:solidFill>
                    </a:ln>
                  </pic:spPr>
                </pic:pic>
              </a:graphicData>
            </a:graphic>
          </wp:inline>
        </w:drawing>
      </w:r>
      <w:r>
        <w:rPr>
          <w:color w:val="auto"/>
        </w:rPr>
        <w:drawing>
          <wp:inline distT="0" distB="0" distL="114300" distR="114300">
            <wp:extent cx="12026265" cy="7886065"/>
            <wp:effectExtent l="38100" t="38100" r="32385" b="38735"/>
            <wp:docPr id="3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5"/>
                    <pic:cNvPicPr>
                      <a:picLocks noChangeAspect="1"/>
                    </pic:cNvPicPr>
                  </pic:nvPicPr>
                  <pic:blipFill>
                    <a:blip r:embed="rId57"/>
                    <a:stretch>
                      <a:fillRect/>
                    </a:stretch>
                  </pic:blipFill>
                  <pic:spPr>
                    <a:xfrm>
                      <a:off x="0" y="0"/>
                      <a:ext cx="12026265" cy="7886065"/>
                    </a:xfrm>
                    <a:prstGeom prst="rect">
                      <a:avLst/>
                    </a:prstGeom>
                    <a:noFill/>
                    <a:ln w="25400">
                      <a:solidFill>
                        <a:schemeClr val="tx1"/>
                      </a:solidFill>
                    </a:ln>
                  </pic:spPr>
                </pic:pic>
              </a:graphicData>
            </a:graphic>
          </wp:inline>
        </w:drawing>
      </w:r>
      <w:bookmarkEnd w:id="239"/>
      <w:bookmarkEnd w:id="240"/>
    </w:p>
    <w:p>
      <w:pPr>
        <w:rPr>
          <w:color w:val="auto"/>
        </w:rPr>
      </w:pPr>
      <w:r>
        <w:rPr>
          <w:color w:val="auto"/>
        </w:rPr>
        <w:br w:type="page"/>
      </w:r>
    </w:p>
    <w:p>
      <w:pPr>
        <w:rPr>
          <w:color w:val="auto"/>
        </w:rPr>
      </w:pPr>
      <w:bookmarkStart w:id="241" w:name="_Toc18434"/>
      <w:bookmarkStart w:id="242" w:name="_Toc21251"/>
      <w:bookmarkStart w:id="243" w:name="_Toc23762"/>
    </w:p>
    <w:p>
      <w:pPr>
        <w:rPr>
          <w:color w:val="auto"/>
        </w:rPr>
      </w:pPr>
      <w:r>
        <w:rPr>
          <w:color w:val="auto"/>
        </w:rPr>
        <w:drawing>
          <wp:inline distT="0" distB="0" distL="114300" distR="114300">
            <wp:extent cx="12804140" cy="8201660"/>
            <wp:effectExtent l="0" t="0" r="12700" b="12700"/>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58"/>
                    <a:stretch>
                      <a:fillRect/>
                    </a:stretch>
                  </pic:blipFill>
                  <pic:spPr>
                    <a:xfrm>
                      <a:off x="0" y="0"/>
                      <a:ext cx="12804140" cy="8201660"/>
                    </a:xfrm>
                    <a:prstGeom prst="rect">
                      <a:avLst/>
                    </a:prstGeom>
                    <a:noFill/>
                    <a:ln>
                      <a:noFill/>
                    </a:ln>
                  </pic:spPr>
                </pic:pic>
              </a:graphicData>
            </a:graphic>
          </wp:inline>
        </w:drawing>
      </w:r>
      <w:bookmarkEnd w:id="241"/>
      <w:bookmarkEnd w:id="242"/>
    </w:p>
    <w:p>
      <w:pPr>
        <w:rPr>
          <w:color w:val="auto"/>
        </w:rPr>
        <w:sectPr>
          <w:footerReference r:id="rId18" w:type="default"/>
          <w:type w:val="nextColumn"/>
          <w:pgSz w:w="23757" w:h="16783" w:orient="landscape"/>
          <w:pgMar w:top="1418" w:right="1418" w:bottom="1418" w:left="1701" w:header="0" w:footer="454" w:gutter="0"/>
          <w:cols w:space="720" w:num="1"/>
        </w:sectPr>
      </w:pPr>
    </w:p>
    <w:p>
      <w:pPr>
        <w:rPr>
          <w:color w:val="auto"/>
        </w:rPr>
        <w:sectPr>
          <w:footerReference r:id="rId19" w:type="default"/>
          <w:type w:val="nextColumn"/>
          <w:pgSz w:w="23757" w:h="16783" w:orient="landscape"/>
          <w:pgMar w:top="1418" w:right="1418" w:bottom="1418" w:left="1701" w:header="0" w:footer="454" w:gutter="0"/>
          <w:cols w:space="720" w:num="1"/>
        </w:sectPr>
      </w:pPr>
      <w:bookmarkStart w:id="244" w:name="_Toc13721"/>
      <w:bookmarkStart w:id="245" w:name="_Toc3265"/>
      <w:r>
        <w:rPr>
          <w:color w:val="auto"/>
        </w:rPr>
        <w:drawing>
          <wp:inline distT="0" distB="0" distL="114300" distR="114300">
            <wp:extent cx="12934950" cy="9104630"/>
            <wp:effectExtent l="0" t="0" r="0" b="1270"/>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59"/>
                    <a:stretch>
                      <a:fillRect/>
                    </a:stretch>
                  </pic:blipFill>
                  <pic:spPr>
                    <a:xfrm>
                      <a:off x="0" y="0"/>
                      <a:ext cx="12934950" cy="9104630"/>
                    </a:xfrm>
                    <a:prstGeom prst="rect">
                      <a:avLst/>
                    </a:prstGeom>
                    <a:noFill/>
                    <a:ln>
                      <a:noFill/>
                    </a:ln>
                  </pic:spPr>
                </pic:pic>
              </a:graphicData>
            </a:graphic>
          </wp:inline>
        </w:drawing>
      </w:r>
      <w:r>
        <w:rPr>
          <w:color w:val="auto"/>
        </w:rPr>
        <w:drawing>
          <wp:inline distT="0" distB="0" distL="114300" distR="114300">
            <wp:extent cx="13162915" cy="9343390"/>
            <wp:effectExtent l="0" t="0" r="635" b="10160"/>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60"/>
                    <a:stretch>
                      <a:fillRect/>
                    </a:stretch>
                  </pic:blipFill>
                  <pic:spPr>
                    <a:xfrm>
                      <a:off x="0" y="0"/>
                      <a:ext cx="13162915" cy="9343390"/>
                    </a:xfrm>
                    <a:prstGeom prst="rect">
                      <a:avLst/>
                    </a:prstGeom>
                    <a:noFill/>
                    <a:ln>
                      <a:noFill/>
                    </a:ln>
                  </pic:spPr>
                </pic:pic>
              </a:graphicData>
            </a:graphic>
          </wp:inline>
        </w:drawing>
      </w:r>
      <w:bookmarkEnd w:id="244"/>
      <w:bookmarkEnd w:id="245"/>
    </w:p>
    <w:bookmarkEnd w:id="243"/>
    <w:p>
      <w:pPr>
        <w:rPr>
          <w:color w:val="auto"/>
        </w:rPr>
        <w:sectPr>
          <w:headerReference r:id="rId20" w:type="default"/>
          <w:footerReference r:id="rId21" w:type="default"/>
          <w:type w:val="nextColumn"/>
          <w:pgSz w:w="23757" w:h="16783" w:orient="landscape"/>
          <w:pgMar w:top="1418" w:right="1418" w:bottom="1418" w:left="1701" w:header="0" w:footer="454" w:gutter="0"/>
          <w:cols w:space="720" w:num="1"/>
        </w:sectPr>
      </w:pPr>
      <w:bookmarkStart w:id="246" w:name="_Toc13829"/>
      <w:bookmarkStart w:id="247" w:name="_Toc17115"/>
      <w:r>
        <w:rPr>
          <w:color w:val="auto"/>
        </w:rPr>
        <w:drawing>
          <wp:inline distT="0" distB="0" distL="114300" distR="114300">
            <wp:extent cx="12870180" cy="9083675"/>
            <wp:effectExtent l="0" t="0" r="7620" b="3175"/>
            <wp:docPr id="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pic:cNvPicPr>
                      <a:picLocks noChangeAspect="1"/>
                    </pic:cNvPicPr>
                  </pic:nvPicPr>
                  <pic:blipFill>
                    <a:blip r:embed="rId61"/>
                    <a:stretch>
                      <a:fillRect/>
                    </a:stretch>
                  </pic:blipFill>
                  <pic:spPr>
                    <a:xfrm>
                      <a:off x="0" y="0"/>
                      <a:ext cx="12870180" cy="9083675"/>
                    </a:xfrm>
                    <a:prstGeom prst="rect">
                      <a:avLst/>
                    </a:prstGeom>
                    <a:noFill/>
                    <a:ln>
                      <a:noFill/>
                    </a:ln>
                  </pic:spPr>
                </pic:pic>
              </a:graphicData>
            </a:graphic>
          </wp:inline>
        </w:drawing>
      </w:r>
      <w:r>
        <w:rPr>
          <w:color w:val="auto"/>
        </w:rPr>
        <w:drawing>
          <wp:inline distT="0" distB="0" distL="114300" distR="114300">
            <wp:extent cx="12931775" cy="9187180"/>
            <wp:effectExtent l="0" t="0" r="3175" b="13970"/>
            <wp:docPr id="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7"/>
                    <pic:cNvPicPr>
                      <a:picLocks noChangeAspect="1"/>
                    </pic:cNvPicPr>
                  </pic:nvPicPr>
                  <pic:blipFill>
                    <a:blip r:embed="rId62"/>
                    <a:stretch>
                      <a:fillRect/>
                    </a:stretch>
                  </pic:blipFill>
                  <pic:spPr>
                    <a:xfrm>
                      <a:off x="0" y="0"/>
                      <a:ext cx="12931775" cy="9187180"/>
                    </a:xfrm>
                    <a:prstGeom prst="rect">
                      <a:avLst/>
                    </a:prstGeom>
                    <a:noFill/>
                    <a:ln>
                      <a:noFill/>
                    </a:ln>
                  </pic:spPr>
                </pic:pic>
              </a:graphicData>
            </a:graphic>
          </wp:inline>
        </w:drawing>
      </w:r>
      <w:r>
        <w:rPr>
          <w:color w:val="auto"/>
        </w:rPr>
        <w:drawing>
          <wp:inline distT="0" distB="0" distL="114300" distR="114300">
            <wp:extent cx="12866370" cy="9128760"/>
            <wp:effectExtent l="0" t="0" r="11430" b="15240"/>
            <wp:docPr id="4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8"/>
                    <pic:cNvPicPr>
                      <a:picLocks noChangeAspect="1"/>
                    </pic:cNvPicPr>
                  </pic:nvPicPr>
                  <pic:blipFill>
                    <a:blip r:embed="rId63"/>
                    <a:stretch>
                      <a:fillRect/>
                    </a:stretch>
                  </pic:blipFill>
                  <pic:spPr>
                    <a:xfrm>
                      <a:off x="0" y="0"/>
                      <a:ext cx="12866370" cy="9128760"/>
                    </a:xfrm>
                    <a:prstGeom prst="rect">
                      <a:avLst/>
                    </a:prstGeom>
                    <a:noFill/>
                    <a:ln>
                      <a:noFill/>
                    </a:ln>
                  </pic:spPr>
                </pic:pic>
              </a:graphicData>
            </a:graphic>
          </wp:inline>
        </w:drawing>
      </w:r>
      <w:r>
        <w:rPr>
          <w:color w:val="auto"/>
        </w:rPr>
        <w:drawing>
          <wp:inline distT="0" distB="0" distL="114300" distR="114300">
            <wp:extent cx="12994005" cy="9187180"/>
            <wp:effectExtent l="0" t="0" r="17145" b="13970"/>
            <wp:docPr id="4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9"/>
                    <pic:cNvPicPr>
                      <a:picLocks noChangeAspect="1"/>
                    </pic:cNvPicPr>
                  </pic:nvPicPr>
                  <pic:blipFill>
                    <a:blip r:embed="rId64"/>
                    <a:stretch>
                      <a:fillRect/>
                    </a:stretch>
                  </pic:blipFill>
                  <pic:spPr>
                    <a:xfrm>
                      <a:off x="0" y="0"/>
                      <a:ext cx="12994005" cy="9187180"/>
                    </a:xfrm>
                    <a:prstGeom prst="rect">
                      <a:avLst/>
                    </a:prstGeom>
                    <a:noFill/>
                    <a:ln>
                      <a:noFill/>
                    </a:ln>
                  </pic:spPr>
                </pic:pic>
              </a:graphicData>
            </a:graphic>
          </wp:inline>
        </w:drawing>
      </w:r>
      <w:r>
        <w:rPr>
          <w:color w:val="auto"/>
        </w:rPr>
        <w:drawing>
          <wp:inline distT="0" distB="0" distL="114300" distR="114300">
            <wp:extent cx="13168630" cy="9317355"/>
            <wp:effectExtent l="0" t="0" r="13970" b="17145"/>
            <wp:docPr id="4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0"/>
                    <pic:cNvPicPr>
                      <a:picLocks noChangeAspect="1"/>
                    </pic:cNvPicPr>
                  </pic:nvPicPr>
                  <pic:blipFill>
                    <a:blip r:embed="rId65"/>
                    <a:stretch>
                      <a:fillRect/>
                    </a:stretch>
                  </pic:blipFill>
                  <pic:spPr>
                    <a:xfrm>
                      <a:off x="0" y="0"/>
                      <a:ext cx="13168630" cy="9317355"/>
                    </a:xfrm>
                    <a:prstGeom prst="rect">
                      <a:avLst/>
                    </a:prstGeom>
                    <a:noFill/>
                    <a:ln>
                      <a:noFill/>
                    </a:ln>
                  </pic:spPr>
                </pic:pic>
              </a:graphicData>
            </a:graphic>
          </wp:inline>
        </w:drawing>
      </w:r>
      <w:r>
        <w:rPr>
          <w:color w:val="auto"/>
        </w:rPr>
        <w:drawing>
          <wp:inline distT="0" distB="0" distL="114300" distR="114300">
            <wp:extent cx="13114020" cy="9327515"/>
            <wp:effectExtent l="0" t="0" r="11430" b="6985"/>
            <wp:docPr id="4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1"/>
                    <pic:cNvPicPr>
                      <a:picLocks noChangeAspect="1"/>
                    </pic:cNvPicPr>
                  </pic:nvPicPr>
                  <pic:blipFill>
                    <a:blip r:embed="rId66"/>
                    <a:stretch>
                      <a:fillRect/>
                    </a:stretch>
                  </pic:blipFill>
                  <pic:spPr>
                    <a:xfrm>
                      <a:off x="0" y="0"/>
                      <a:ext cx="13114020" cy="9327515"/>
                    </a:xfrm>
                    <a:prstGeom prst="rect">
                      <a:avLst/>
                    </a:prstGeom>
                    <a:noFill/>
                    <a:ln>
                      <a:noFill/>
                    </a:ln>
                  </pic:spPr>
                </pic:pic>
              </a:graphicData>
            </a:graphic>
          </wp:inline>
        </w:drawing>
      </w:r>
      <w:bookmarkEnd w:id="246"/>
      <w:bookmarkEnd w:id="247"/>
    </w:p>
    <w:p>
      <w:pPr>
        <w:rPr>
          <w:rFonts w:ascii="宋体" w:hAnsi="宋体" w:eastAsia="宋体"/>
          <w:b/>
          <w:bCs/>
          <w:color w:val="auto"/>
          <w:sz w:val="24"/>
          <w:szCs w:val="24"/>
        </w:rPr>
      </w:pPr>
      <w:bookmarkStart w:id="248" w:name="_Toc22433"/>
      <w:r>
        <w:rPr>
          <w:rFonts w:hint="eastAsia" w:ascii="宋体" w:hAnsi="宋体" w:eastAsia="宋体"/>
          <w:b/>
          <w:bCs/>
          <w:color w:val="auto"/>
          <w:sz w:val="24"/>
          <w:szCs w:val="24"/>
        </w:rPr>
        <w:t>附件四 设计依据文件</w:t>
      </w:r>
      <w:bookmarkEnd w:id="248"/>
    </w:p>
    <w:p>
      <w:pPr>
        <w:rPr>
          <w:color w:val="auto"/>
        </w:rPr>
      </w:pPr>
      <w:bookmarkStart w:id="249" w:name="_Toc30687"/>
      <w:r>
        <w:rPr>
          <w:rFonts w:hint="eastAsia"/>
          <w:color w:val="auto"/>
        </w:rPr>
        <w:drawing>
          <wp:inline distT="0" distB="0" distL="114300" distR="114300">
            <wp:extent cx="5635625" cy="7595870"/>
            <wp:effectExtent l="0" t="0" r="3175" b="8890"/>
            <wp:docPr id="122" name="图片 122" descr="关于印发《罗定市2022年水污染防治攻坚工作方案》的通知（罗环〔2022〕18 号）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关于印发《罗定市2022年水污染防治攻坚工作方案》的通知（罗环〔2022〕18 号）_00"/>
                    <pic:cNvPicPr>
                      <a:picLocks noChangeAspect="1"/>
                    </pic:cNvPicPr>
                  </pic:nvPicPr>
                  <pic:blipFill>
                    <a:blip r:embed="rId67"/>
                    <a:srcRect l="6346"/>
                    <a:stretch>
                      <a:fillRect/>
                    </a:stretch>
                  </pic:blipFill>
                  <pic:spPr>
                    <a:xfrm>
                      <a:off x="0" y="0"/>
                      <a:ext cx="5635625" cy="7595870"/>
                    </a:xfrm>
                    <a:prstGeom prst="rect">
                      <a:avLst/>
                    </a:prstGeom>
                    <a:ln>
                      <a:noFill/>
                    </a:ln>
                  </pic:spPr>
                </pic:pic>
              </a:graphicData>
            </a:graphic>
          </wp:inline>
        </w:drawing>
      </w:r>
      <w:r>
        <w:rPr>
          <w:rFonts w:hint="eastAsia"/>
          <w:color w:val="auto"/>
        </w:rPr>
        <w:drawing>
          <wp:inline distT="0" distB="0" distL="114300" distR="114300">
            <wp:extent cx="5992495" cy="9229090"/>
            <wp:effectExtent l="0" t="0" r="8255" b="0"/>
            <wp:docPr id="121" name="图片 121" descr="关于印发《罗定市2022年水污染防治攻坚工作方案》的通知（罗环〔2022〕18 号）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关于印发《罗定市2022年水污染防治攻坚工作方案》的通知（罗环〔2022〕18 号）_01"/>
                    <pic:cNvPicPr>
                      <a:picLocks noChangeAspect="1"/>
                    </pic:cNvPicPr>
                  </pic:nvPicPr>
                  <pic:blipFill>
                    <a:blip r:embed="rId68"/>
                    <a:srcRect l="8174"/>
                    <a:stretch>
                      <a:fillRect/>
                    </a:stretch>
                  </pic:blipFill>
                  <pic:spPr>
                    <a:xfrm>
                      <a:off x="0" y="0"/>
                      <a:ext cx="5992495" cy="9229090"/>
                    </a:xfrm>
                    <a:prstGeom prst="rect">
                      <a:avLst/>
                    </a:prstGeom>
                    <a:ln>
                      <a:noFill/>
                    </a:ln>
                  </pic:spPr>
                </pic:pic>
              </a:graphicData>
            </a:graphic>
          </wp:inline>
        </w:drawing>
      </w:r>
      <w:r>
        <w:rPr>
          <w:rFonts w:hint="eastAsia"/>
          <w:color w:val="auto"/>
        </w:rPr>
        <w:drawing>
          <wp:inline distT="0" distB="0" distL="114300" distR="114300">
            <wp:extent cx="6003290" cy="9229090"/>
            <wp:effectExtent l="0" t="0" r="0" b="0"/>
            <wp:docPr id="120" name="图片 120" descr="关于印发《罗定市2022年水污染防治攻坚工作方案》的通知（罗环〔2022〕18 号）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关于印发《罗定市2022年水污染防治攻坚工作方案》的通知（罗环〔2022〕18 号）_02"/>
                    <pic:cNvPicPr>
                      <a:picLocks noChangeAspect="1"/>
                    </pic:cNvPicPr>
                  </pic:nvPicPr>
                  <pic:blipFill>
                    <a:blip r:embed="rId69"/>
                    <a:srcRect l="8007"/>
                    <a:stretch>
                      <a:fillRect/>
                    </a:stretch>
                  </pic:blipFill>
                  <pic:spPr>
                    <a:xfrm>
                      <a:off x="0" y="0"/>
                      <a:ext cx="6003381" cy="9229090"/>
                    </a:xfrm>
                    <a:prstGeom prst="rect">
                      <a:avLst/>
                    </a:prstGeom>
                    <a:ln>
                      <a:noFill/>
                    </a:ln>
                  </pic:spPr>
                </pic:pic>
              </a:graphicData>
            </a:graphic>
          </wp:inline>
        </w:drawing>
      </w:r>
      <w:r>
        <w:rPr>
          <w:rFonts w:hint="eastAsia"/>
          <w:color w:val="auto"/>
        </w:rPr>
        <w:drawing>
          <wp:inline distT="0" distB="0" distL="114300" distR="114300">
            <wp:extent cx="5992495" cy="9229090"/>
            <wp:effectExtent l="0" t="0" r="8255" b="0"/>
            <wp:docPr id="119" name="图片 119" descr="关于印发《罗定市2022年水污染防治攻坚工作方案》的通知（罗环〔2022〕18 号）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关于印发《罗定市2022年水污染防治攻坚工作方案》的通知（罗环〔2022〕18 号）_03"/>
                    <pic:cNvPicPr>
                      <a:picLocks noChangeAspect="1"/>
                    </pic:cNvPicPr>
                  </pic:nvPicPr>
                  <pic:blipFill>
                    <a:blip r:embed="rId70"/>
                    <a:srcRect l="8174"/>
                    <a:stretch>
                      <a:fillRect/>
                    </a:stretch>
                  </pic:blipFill>
                  <pic:spPr>
                    <a:xfrm>
                      <a:off x="0" y="0"/>
                      <a:ext cx="5992495" cy="9229090"/>
                    </a:xfrm>
                    <a:prstGeom prst="rect">
                      <a:avLst/>
                    </a:prstGeom>
                    <a:ln>
                      <a:noFill/>
                    </a:ln>
                  </pic:spPr>
                </pic:pic>
              </a:graphicData>
            </a:graphic>
          </wp:inline>
        </w:drawing>
      </w:r>
      <w:r>
        <w:rPr>
          <w:rFonts w:hint="eastAsia"/>
          <w:color w:val="auto"/>
        </w:rPr>
        <w:drawing>
          <wp:inline distT="0" distB="0" distL="114300" distR="114300">
            <wp:extent cx="6024880" cy="9229090"/>
            <wp:effectExtent l="0" t="0" r="0" b="0"/>
            <wp:docPr id="118" name="图片 118" descr="关于印发《罗定市2022年水污染防治攻坚工作方案》的通知（罗环〔2022〕18 号）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关于印发《罗定市2022年水污染防治攻坚工作方案》的通知（罗环〔2022〕18 号）_04"/>
                    <pic:cNvPicPr>
                      <a:picLocks noChangeAspect="1"/>
                    </pic:cNvPicPr>
                  </pic:nvPicPr>
                  <pic:blipFill>
                    <a:blip r:embed="rId71"/>
                    <a:srcRect l="7673"/>
                    <a:stretch>
                      <a:fillRect/>
                    </a:stretch>
                  </pic:blipFill>
                  <pic:spPr>
                    <a:xfrm>
                      <a:off x="0" y="0"/>
                      <a:ext cx="6025152" cy="9229090"/>
                    </a:xfrm>
                    <a:prstGeom prst="rect">
                      <a:avLst/>
                    </a:prstGeom>
                    <a:ln>
                      <a:noFill/>
                    </a:ln>
                  </pic:spPr>
                </pic:pic>
              </a:graphicData>
            </a:graphic>
          </wp:inline>
        </w:drawing>
      </w:r>
      <w:r>
        <w:rPr>
          <w:rFonts w:hint="eastAsia"/>
          <w:color w:val="auto"/>
        </w:rPr>
        <w:drawing>
          <wp:inline distT="0" distB="0" distL="114300" distR="114300">
            <wp:extent cx="6068695" cy="9229090"/>
            <wp:effectExtent l="0" t="0" r="8255" b="0"/>
            <wp:docPr id="117" name="图片 117" descr="关于印发《罗定市2022年水污染防治攻坚工作方案》的通知（罗环〔2022〕18 号）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关于印发《罗定市2022年水污染防治攻坚工作方案》的通知（罗环〔2022〕18 号）_05"/>
                    <pic:cNvPicPr>
                      <a:picLocks noChangeAspect="1"/>
                    </pic:cNvPicPr>
                  </pic:nvPicPr>
                  <pic:blipFill>
                    <a:blip r:embed="rId72"/>
                    <a:srcRect l="7006"/>
                    <a:stretch>
                      <a:fillRect/>
                    </a:stretch>
                  </pic:blipFill>
                  <pic:spPr>
                    <a:xfrm>
                      <a:off x="0" y="0"/>
                      <a:ext cx="6068695" cy="9229090"/>
                    </a:xfrm>
                    <a:prstGeom prst="rect">
                      <a:avLst/>
                    </a:prstGeom>
                    <a:ln>
                      <a:noFill/>
                    </a:ln>
                  </pic:spPr>
                </pic:pic>
              </a:graphicData>
            </a:graphic>
          </wp:inline>
        </w:drawing>
      </w:r>
      <w:r>
        <w:rPr>
          <w:rFonts w:hint="eastAsia"/>
          <w:color w:val="auto"/>
        </w:rPr>
        <w:drawing>
          <wp:inline distT="0" distB="0" distL="114300" distR="114300">
            <wp:extent cx="6101080" cy="9229090"/>
            <wp:effectExtent l="0" t="0" r="0" b="0"/>
            <wp:docPr id="116" name="图片 116" descr="关于印发《罗定市2022年水污染防治攻坚工作方案》的通知（罗环〔2022〕18 号）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关于印发《罗定市2022年水污染防治攻坚工作方案》的通知（罗环〔2022〕18 号）_06"/>
                    <pic:cNvPicPr>
                      <a:picLocks noChangeAspect="1"/>
                    </pic:cNvPicPr>
                  </pic:nvPicPr>
                  <pic:blipFill>
                    <a:blip r:embed="rId73"/>
                    <a:srcRect l="6505"/>
                    <a:stretch>
                      <a:fillRect/>
                    </a:stretch>
                  </pic:blipFill>
                  <pic:spPr>
                    <a:xfrm>
                      <a:off x="0" y="0"/>
                      <a:ext cx="6101352" cy="9229090"/>
                    </a:xfrm>
                    <a:prstGeom prst="rect">
                      <a:avLst/>
                    </a:prstGeom>
                    <a:ln>
                      <a:noFill/>
                    </a:ln>
                  </pic:spPr>
                </pic:pic>
              </a:graphicData>
            </a:graphic>
          </wp:inline>
        </w:drawing>
      </w:r>
      <w:r>
        <w:rPr>
          <w:rFonts w:hint="eastAsia"/>
          <w:color w:val="auto"/>
        </w:rPr>
        <w:drawing>
          <wp:inline distT="0" distB="0" distL="114300" distR="114300">
            <wp:extent cx="6024880" cy="9229090"/>
            <wp:effectExtent l="0" t="0" r="0" b="0"/>
            <wp:docPr id="115" name="图片 115" descr="关于印发《罗定市2022年水污染防治攻坚工作方案》的通知（罗环〔2022〕18 号）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关于印发《罗定市2022年水污染防治攻坚工作方案》的通知（罗环〔2022〕18 号）_07"/>
                    <pic:cNvPicPr>
                      <a:picLocks noChangeAspect="1"/>
                    </pic:cNvPicPr>
                  </pic:nvPicPr>
                  <pic:blipFill>
                    <a:blip r:embed="rId74"/>
                    <a:srcRect l="7673"/>
                    <a:stretch>
                      <a:fillRect/>
                    </a:stretch>
                  </pic:blipFill>
                  <pic:spPr>
                    <a:xfrm>
                      <a:off x="0" y="0"/>
                      <a:ext cx="6025152" cy="9229090"/>
                    </a:xfrm>
                    <a:prstGeom prst="rect">
                      <a:avLst/>
                    </a:prstGeom>
                    <a:ln>
                      <a:noFill/>
                    </a:ln>
                  </pic:spPr>
                </pic:pic>
              </a:graphicData>
            </a:graphic>
          </wp:inline>
        </w:drawing>
      </w:r>
      <w:r>
        <w:rPr>
          <w:rFonts w:hint="eastAsia"/>
          <w:color w:val="auto"/>
        </w:rPr>
        <w:drawing>
          <wp:inline distT="0" distB="0" distL="114300" distR="114300">
            <wp:extent cx="5981065" cy="9229090"/>
            <wp:effectExtent l="0" t="0" r="635" b="0"/>
            <wp:docPr id="114" name="图片 114" descr="关于印发《罗定市2022年水污染防治攻坚工作方案》的通知（罗环〔2022〕18 号）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关于印发《罗定市2022年水污染防治攻坚工作方案》的通知（罗环〔2022〕18 号）_08"/>
                    <pic:cNvPicPr>
                      <a:picLocks noChangeAspect="1"/>
                    </pic:cNvPicPr>
                  </pic:nvPicPr>
                  <pic:blipFill>
                    <a:blip r:embed="rId75"/>
                    <a:srcRect l="8341"/>
                    <a:stretch>
                      <a:fillRect/>
                    </a:stretch>
                  </pic:blipFill>
                  <pic:spPr>
                    <a:xfrm>
                      <a:off x="0" y="0"/>
                      <a:ext cx="5981610" cy="9229090"/>
                    </a:xfrm>
                    <a:prstGeom prst="rect">
                      <a:avLst/>
                    </a:prstGeom>
                    <a:ln>
                      <a:noFill/>
                    </a:ln>
                  </pic:spPr>
                </pic:pic>
              </a:graphicData>
            </a:graphic>
          </wp:inline>
        </w:drawing>
      </w:r>
      <w:r>
        <w:rPr>
          <w:rFonts w:hint="eastAsia"/>
          <w:color w:val="auto"/>
        </w:rPr>
        <w:drawing>
          <wp:inline distT="0" distB="0" distL="114300" distR="114300">
            <wp:extent cx="6120130" cy="4612640"/>
            <wp:effectExtent l="0" t="0" r="0" b="0"/>
            <wp:docPr id="113" name="图片 113" descr="关于印发《罗定市2022年水污染防治攻坚工作方案》的通知（罗环〔2022〕18 号）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关于印发《罗定市2022年水污染防治攻坚工作方案》的通知（罗环〔2022〕18 号）_09"/>
                    <pic:cNvPicPr>
                      <a:picLocks noChangeAspect="1"/>
                    </pic:cNvPicPr>
                  </pic:nvPicPr>
                  <pic:blipFill>
                    <a:blip r:embed="rId76"/>
                    <a:srcRect l="6174"/>
                    <a:stretch>
                      <a:fillRect/>
                    </a:stretch>
                  </pic:blipFill>
                  <pic:spPr>
                    <a:xfrm>
                      <a:off x="0" y="0"/>
                      <a:ext cx="6120584" cy="4612640"/>
                    </a:xfrm>
                    <a:prstGeom prst="rect">
                      <a:avLst/>
                    </a:prstGeom>
                    <a:ln>
                      <a:noFill/>
                    </a:ln>
                  </pic:spPr>
                </pic:pic>
              </a:graphicData>
            </a:graphic>
          </wp:inline>
        </w:drawing>
      </w:r>
      <w:r>
        <w:rPr>
          <w:rFonts w:hint="eastAsia"/>
          <w:color w:val="auto"/>
        </w:rPr>
        <w:drawing>
          <wp:inline distT="0" distB="0" distL="114300" distR="114300">
            <wp:extent cx="5986780" cy="4612640"/>
            <wp:effectExtent l="0" t="0" r="0" b="0"/>
            <wp:docPr id="112" name="图片 112" descr="关于印发《罗定市2022年水污染防治攻坚工作方案》的通知（罗环〔2022〕18 号）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关于印发《罗定市2022年水污染防治攻坚工作方案》的通知（罗环〔2022〕18 号）_10"/>
                    <pic:cNvPicPr>
                      <a:picLocks noChangeAspect="1"/>
                    </pic:cNvPicPr>
                  </pic:nvPicPr>
                  <pic:blipFill>
                    <a:blip r:embed="rId77"/>
                    <a:srcRect l="4673" r="3548"/>
                    <a:stretch>
                      <a:fillRect/>
                    </a:stretch>
                  </pic:blipFill>
                  <pic:spPr>
                    <a:xfrm>
                      <a:off x="0" y="0"/>
                      <a:ext cx="5987143" cy="4612640"/>
                    </a:xfrm>
                    <a:prstGeom prst="rect">
                      <a:avLst/>
                    </a:prstGeom>
                    <a:ln>
                      <a:noFill/>
                    </a:ln>
                  </pic:spPr>
                </pic:pic>
              </a:graphicData>
            </a:graphic>
          </wp:inline>
        </w:drawing>
      </w:r>
      <w:r>
        <w:rPr>
          <w:rFonts w:hint="eastAsia"/>
          <w:color w:val="auto"/>
        </w:rPr>
        <w:drawing>
          <wp:inline distT="0" distB="0" distL="114300" distR="114300">
            <wp:extent cx="6523355" cy="4612640"/>
            <wp:effectExtent l="0" t="0" r="10795" b="16510"/>
            <wp:docPr id="111" name="图片 111" descr="关于印发《罗定市2022年水污染防治攻坚工作方案》的通知（罗环〔2022〕18 号）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关于印发《罗定市2022年水污染防治攻坚工作方案》的通知（罗环〔2022〕18 号）_11"/>
                    <pic:cNvPicPr>
                      <a:picLocks noChangeAspect="1"/>
                    </pic:cNvPicPr>
                  </pic:nvPicPr>
                  <pic:blipFill>
                    <a:blip r:embed="rId78"/>
                    <a:stretch>
                      <a:fillRect/>
                    </a:stretch>
                  </pic:blipFill>
                  <pic:spPr>
                    <a:xfrm>
                      <a:off x="0" y="0"/>
                      <a:ext cx="6523355" cy="4612640"/>
                    </a:xfrm>
                    <a:prstGeom prst="rect">
                      <a:avLst/>
                    </a:prstGeom>
                  </pic:spPr>
                </pic:pic>
              </a:graphicData>
            </a:graphic>
          </wp:inline>
        </w:drawing>
      </w:r>
      <w:r>
        <w:rPr>
          <w:rFonts w:hint="eastAsia"/>
          <w:color w:val="auto"/>
        </w:rPr>
        <w:drawing>
          <wp:inline distT="0" distB="0" distL="114300" distR="114300">
            <wp:extent cx="6523355" cy="4612640"/>
            <wp:effectExtent l="0" t="0" r="10795" b="16510"/>
            <wp:docPr id="110" name="图片 110" descr="关于印发《罗定市2022年水污染防治攻坚工作方案》的通知（罗环〔2022〕18 号）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关于印发《罗定市2022年水污染防治攻坚工作方案》的通知（罗环〔2022〕18 号）_12"/>
                    <pic:cNvPicPr>
                      <a:picLocks noChangeAspect="1"/>
                    </pic:cNvPicPr>
                  </pic:nvPicPr>
                  <pic:blipFill>
                    <a:blip r:embed="rId79"/>
                    <a:stretch>
                      <a:fillRect/>
                    </a:stretch>
                  </pic:blipFill>
                  <pic:spPr>
                    <a:xfrm>
                      <a:off x="0" y="0"/>
                      <a:ext cx="6523355" cy="4612640"/>
                    </a:xfrm>
                    <a:prstGeom prst="rect">
                      <a:avLst/>
                    </a:prstGeom>
                  </pic:spPr>
                </pic:pic>
              </a:graphicData>
            </a:graphic>
          </wp:inline>
        </w:drawing>
      </w:r>
      <w:r>
        <w:rPr>
          <w:rFonts w:hint="eastAsia"/>
          <w:color w:val="auto"/>
        </w:rPr>
        <w:drawing>
          <wp:inline distT="0" distB="0" distL="114300" distR="114300">
            <wp:extent cx="6523355" cy="4612640"/>
            <wp:effectExtent l="0" t="0" r="10795" b="16510"/>
            <wp:docPr id="109" name="图片 109" descr="关于印发《罗定市2022年水污染防治攻坚工作方案》的通知（罗环〔2022〕18 号）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关于印发《罗定市2022年水污染防治攻坚工作方案》的通知（罗环〔2022〕18 号）_13"/>
                    <pic:cNvPicPr>
                      <a:picLocks noChangeAspect="1"/>
                    </pic:cNvPicPr>
                  </pic:nvPicPr>
                  <pic:blipFill>
                    <a:blip r:embed="rId80"/>
                    <a:stretch>
                      <a:fillRect/>
                    </a:stretch>
                  </pic:blipFill>
                  <pic:spPr>
                    <a:xfrm>
                      <a:off x="0" y="0"/>
                      <a:ext cx="6523355" cy="4612640"/>
                    </a:xfrm>
                    <a:prstGeom prst="rect">
                      <a:avLst/>
                    </a:prstGeom>
                  </pic:spPr>
                </pic:pic>
              </a:graphicData>
            </a:graphic>
          </wp:inline>
        </w:drawing>
      </w:r>
      <w:r>
        <w:rPr>
          <w:rFonts w:hint="eastAsia"/>
          <w:color w:val="auto"/>
        </w:rPr>
        <w:drawing>
          <wp:inline distT="0" distB="0" distL="114300" distR="114300">
            <wp:extent cx="6220460" cy="9475470"/>
            <wp:effectExtent l="0" t="0" r="8890" b="0"/>
            <wp:docPr id="186" name="图片 186" descr="罗定市人民政府关于印发罗定市生态环境保护“十四五”规划的通知（罗府[2023]1号）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罗定市人民政府关于印发罗定市生态环境保护“十四五”规划的通知（罗府[2023]1号）_00"/>
                    <pic:cNvPicPr>
                      <a:picLocks noChangeAspect="1"/>
                    </pic:cNvPicPr>
                  </pic:nvPicPr>
                  <pic:blipFill>
                    <a:blip r:embed="rId81"/>
                    <a:srcRect l="7149"/>
                    <a:stretch>
                      <a:fillRect/>
                    </a:stretch>
                  </pic:blipFill>
                  <pic:spPr>
                    <a:xfrm>
                      <a:off x="0" y="0"/>
                      <a:ext cx="6220914" cy="9475470"/>
                    </a:xfrm>
                    <a:prstGeom prst="rect">
                      <a:avLst/>
                    </a:prstGeom>
                    <a:ln>
                      <a:noFill/>
                    </a:ln>
                  </pic:spPr>
                </pic:pic>
              </a:graphicData>
            </a:graphic>
          </wp:inline>
        </w:drawing>
      </w:r>
      <w:r>
        <w:rPr>
          <w:rFonts w:hint="eastAsia"/>
          <w:color w:val="auto"/>
        </w:rPr>
        <w:drawing>
          <wp:inline distT="0" distB="0" distL="114300" distR="114300">
            <wp:extent cx="6326505" cy="9824720"/>
            <wp:effectExtent l="0" t="0" r="0" b="5080"/>
            <wp:docPr id="185" name="图片 185" descr="罗定市人民政府关于印发罗定市生态环境保护“十四五”规划的通知（罗府[2023]1号）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罗定市人民政府关于印发罗定市生态环境保护“十四五”规划的通知（罗府[2023]1号）_01"/>
                    <pic:cNvPicPr>
                      <a:picLocks noChangeAspect="1"/>
                    </pic:cNvPicPr>
                  </pic:nvPicPr>
                  <pic:blipFill>
                    <a:blip r:embed="rId82"/>
                    <a:srcRect l="8931"/>
                    <a:stretch>
                      <a:fillRect/>
                    </a:stretch>
                  </pic:blipFill>
                  <pic:spPr>
                    <a:xfrm>
                      <a:off x="0" y="0"/>
                      <a:ext cx="6327050" cy="9824720"/>
                    </a:xfrm>
                    <a:prstGeom prst="rect">
                      <a:avLst/>
                    </a:prstGeom>
                    <a:ln>
                      <a:noFill/>
                    </a:ln>
                  </pic:spPr>
                </pic:pic>
              </a:graphicData>
            </a:graphic>
          </wp:inline>
        </w:drawing>
      </w:r>
      <w:r>
        <w:rPr>
          <w:rFonts w:hint="eastAsia"/>
          <w:color w:val="auto"/>
        </w:rPr>
        <w:drawing>
          <wp:inline distT="0" distB="0" distL="114300" distR="114300">
            <wp:extent cx="6341745" cy="9814560"/>
            <wp:effectExtent l="0" t="0" r="1905" b="0"/>
            <wp:docPr id="184" name="图片 184" descr="罗定市人民政府关于印发罗定市生态环境保护“十四五”规划的通知（罗府[2023]1号）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罗定市人民政府关于印发罗定市生态环境保护“十四五”规划的通知（罗府[2023]1号）_02"/>
                    <pic:cNvPicPr>
                      <a:picLocks noChangeAspect="1"/>
                    </pic:cNvPicPr>
                  </pic:nvPicPr>
                  <pic:blipFill>
                    <a:blip r:embed="rId83"/>
                    <a:srcRect l="8626"/>
                    <a:stretch>
                      <a:fillRect/>
                    </a:stretch>
                  </pic:blipFill>
                  <pic:spPr>
                    <a:xfrm>
                      <a:off x="0" y="0"/>
                      <a:ext cx="6341836" cy="9814560"/>
                    </a:xfrm>
                    <a:prstGeom prst="rect">
                      <a:avLst/>
                    </a:prstGeom>
                    <a:ln>
                      <a:noFill/>
                    </a:ln>
                  </pic:spPr>
                </pic:pic>
              </a:graphicData>
            </a:graphic>
          </wp:inline>
        </w:drawing>
      </w:r>
      <w:r>
        <w:rPr>
          <w:rFonts w:hint="eastAsia"/>
          <w:color w:val="auto"/>
        </w:rPr>
        <w:drawing>
          <wp:inline distT="0" distB="0" distL="114300" distR="114300">
            <wp:extent cx="6323965" cy="9881870"/>
            <wp:effectExtent l="0" t="0" r="635" b="5080"/>
            <wp:docPr id="183" name="图片 183" descr="罗定市人民政府关于印发罗定市生态环境保护“十四五”规划的通知（罗府[2023]1号）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罗定市人民政府关于印发罗定市生态环境保护“十四五”规划的通知（罗府[2023]1号）_03"/>
                    <pic:cNvPicPr>
                      <a:picLocks noChangeAspect="1"/>
                    </pic:cNvPicPr>
                  </pic:nvPicPr>
                  <pic:blipFill>
                    <a:blip r:embed="rId84"/>
                    <a:srcRect l="9502"/>
                    <a:stretch>
                      <a:fillRect/>
                    </a:stretch>
                  </pic:blipFill>
                  <pic:spPr>
                    <a:xfrm>
                      <a:off x="0" y="0"/>
                      <a:ext cx="6324147" cy="9881870"/>
                    </a:xfrm>
                    <a:prstGeom prst="rect">
                      <a:avLst/>
                    </a:prstGeom>
                    <a:ln>
                      <a:noFill/>
                    </a:ln>
                  </pic:spPr>
                </pic:pic>
              </a:graphicData>
            </a:graphic>
          </wp:inline>
        </w:drawing>
      </w:r>
      <w:r>
        <w:rPr>
          <w:rFonts w:hint="eastAsia"/>
          <w:color w:val="auto"/>
        </w:rPr>
        <w:drawing>
          <wp:inline distT="0" distB="0" distL="114300" distR="114300">
            <wp:extent cx="6249670" cy="9699625"/>
            <wp:effectExtent l="0" t="0" r="0" b="0"/>
            <wp:docPr id="182" name="图片 182" descr="罗定市人民政府关于印发罗定市生态环境保护“十四五”规划的通知（罗府[2023]1号）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罗定市人民政府关于印发罗定市生态环境保护“十四五”规划的通知（罗府[2023]1号）_04"/>
                    <pic:cNvPicPr>
                      <a:picLocks noChangeAspect="1"/>
                    </pic:cNvPicPr>
                  </pic:nvPicPr>
                  <pic:blipFill>
                    <a:blip r:embed="rId85"/>
                    <a:srcRect l="8887"/>
                    <a:stretch>
                      <a:fillRect/>
                    </a:stretch>
                  </pic:blipFill>
                  <pic:spPr>
                    <a:xfrm>
                      <a:off x="0" y="0"/>
                      <a:ext cx="6249670" cy="9699625"/>
                    </a:xfrm>
                    <a:prstGeom prst="rect">
                      <a:avLst/>
                    </a:prstGeom>
                    <a:ln>
                      <a:noFill/>
                    </a:ln>
                  </pic:spPr>
                </pic:pic>
              </a:graphicData>
            </a:graphic>
          </wp:inline>
        </w:drawing>
      </w:r>
      <w:r>
        <w:rPr>
          <w:rFonts w:hint="eastAsia"/>
          <w:color w:val="auto"/>
        </w:rPr>
        <w:drawing>
          <wp:inline distT="0" distB="0" distL="114300" distR="114300">
            <wp:extent cx="6258560" cy="9805035"/>
            <wp:effectExtent l="0" t="0" r="8890" b="5715"/>
            <wp:docPr id="181" name="图片 181" descr="罗定市人民政府关于印发罗定市生态环境保护“十四五”规划的通知（罗府[2023]1号）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罗定市人民政府关于印发罗定市生态环境保护“十四五”规划的通知（罗府[2023]1号）_05"/>
                    <pic:cNvPicPr>
                      <a:picLocks noChangeAspect="1"/>
                    </pic:cNvPicPr>
                  </pic:nvPicPr>
                  <pic:blipFill>
                    <a:blip r:embed="rId86"/>
                    <a:srcRect l="9734"/>
                    <a:stretch>
                      <a:fillRect/>
                    </a:stretch>
                  </pic:blipFill>
                  <pic:spPr>
                    <a:xfrm>
                      <a:off x="0" y="0"/>
                      <a:ext cx="6258651" cy="9805035"/>
                    </a:xfrm>
                    <a:prstGeom prst="rect">
                      <a:avLst/>
                    </a:prstGeom>
                    <a:ln>
                      <a:noFill/>
                    </a:ln>
                  </pic:spPr>
                </pic:pic>
              </a:graphicData>
            </a:graphic>
          </wp:inline>
        </w:drawing>
      </w:r>
      <w:r>
        <w:rPr>
          <w:rFonts w:hint="eastAsia"/>
          <w:color w:val="auto"/>
        </w:rPr>
        <w:drawing>
          <wp:inline distT="0" distB="0" distL="114300" distR="114300">
            <wp:extent cx="6209030" cy="9842500"/>
            <wp:effectExtent l="0" t="0" r="1270" b="6350"/>
            <wp:docPr id="180" name="图片 180" descr="罗定市人民政府关于印发罗定市生态环境保护“十四五”规划的通知（罗府[2023]1号）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罗定市人民政府关于印发罗定市生态环境保护“十四五”规划的通知（罗府[2023]1号）_06"/>
                    <pic:cNvPicPr>
                      <a:picLocks noChangeAspect="1"/>
                    </pic:cNvPicPr>
                  </pic:nvPicPr>
                  <pic:blipFill>
                    <a:blip r:embed="rId87"/>
                    <a:srcRect l="10791"/>
                    <a:stretch>
                      <a:fillRect/>
                    </a:stretch>
                  </pic:blipFill>
                  <pic:spPr>
                    <a:xfrm>
                      <a:off x="0" y="0"/>
                      <a:ext cx="6209121" cy="9842500"/>
                    </a:xfrm>
                    <a:prstGeom prst="rect">
                      <a:avLst/>
                    </a:prstGeom>
                    <a:ln>
                      <a:noFill/>
                    </a:ln>
                  </pic:spPr>
                </pic:pic>
              </a:graphicData>
            </a:graphic>
          </wp:inline>
        </w:drawing>
      </w:r>
      <w:r>
        <w:rPr>
          <w:rFonts w:hint="eastAsia"/>
          <w:color w:val="auto"/>
        </w:rPr>
        <w:drawing>
          <wp:inline distT="0" distB="0" distL="114300" distR="114300">
            <wp:extent cx="6340475" cy="9719945"/>
            <wp:effectExtent l="0" t="0" r="3175" b="0"/>
            <wp:docPr id="179" name="图片 179" descr="罗定市人民政府关于印发罗定市生态环境保护“十四五”规划的通知（罗府[2023]1号）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罗定市人民政府关于印发罗定市生态环境保护“十四五”规划的通知（罗府[2023]1号）_07"/>
                    <pic:cNvPicPr>
                      <a:picLocks noChangeAspect="1"/>
                    </pic:cNvPicPr>
                  </pic:nvPicPr>
                  <pic:blipFill>
                    <a:blip r:embed="rId88"/>
                    <a:srcRect l="7760"/>
                    <a:stretch>
                      <a:fillRect/>
                    </a:stretch>
                  </pic:blipFill>
                  <pic:spPr>
                    <a:xfrm>
                      <a:off x="0" y="0"/>
                      <a:ext cx="6340475" cy="9719945"/>
                    </a:xfrm>
                    <a:prstGeom prst="rect">
                      <a:avLst/>
                    </a:prstGeom>
                    <a:ln>
                      <a:noFill/>
                    </a:ln>
                  </pic:spPr>
                </pic:pic>
              </a:graphicData>
            </a:graphic>
          </wp:inline>
        </w:drawing>
      </w:r>
      <w:r>
        <w:rPr>
          <w:rFonts w:hint="eastAsia"/>
          <w:color w:val="auto"/>
        </w:rPr>
        <w:drawing>
          <wp:inline distT="0" distB="0" distL="114300" distR="114300">
            <wp:extent cx="6275070" cy="9690100"/>
            <wp:effectExtent l="0" t="0" r="0" b="6350"/>
            <wp:docPr id="178" name="图片 178" descr="罗定市人民政府关于印发罗定市生态环境保护“十四五”规划的通知（罗府[2023]1号）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罗定市人民政府关于印发罗定市生态环境保护“十四五”规划的通知（罗府[2023]1号）_08"/>
                    <pic:cNvPicPr>
                      <a:picLocks noChangeAspect="1"/>
                    </pic:cNvPicPr>
                  </pic:nvPicPr>
                  <pic:blipFill>
                    <a:blip r:embed="rId89"/>
                    <a:srcRect l="8420"/>
                    <a:stretch>
                      <a:fillRect/>
                    </a:stretch>
                  </pic:blipFill>
                  <pic:spPr>
                    <a:xfrm>
                      <a:off x="0" y="0"/>
                      <a:ext cx="6275342" cy="9690100"/>
                    </a:xfrm>
                    <a:prstGeom prst="rect">
                      <a:avLst/>
                    </a:prstGeom>
                    <a:ln>
                      <a:noFill/>
                    </a:ln>
                  </pic:spPr>
                </pic:pic>
              </a:graphicData>
            </a:graphic>
          </wp:inline>
        </w:drawing>
      </w:r>
      <w:r>
        <w:rPr>
          <w:rFonts w:hint="eastAsia"/>
          <w:color w:val="auto"/>
        </w:rPr>
        <w:drawing>
          <wp:inline distT="0" distB="0" distL="114300" distR="114300">
            <wp:extent cx="6395720" cy="9706610"/>
            <wp:effectExtent l="0" t="0" r="5080" b="0"/>
            <wp:docPr id="177" name="图片 177" descr="罗定市人民政府关于印发罗定市生态环境保护“十四五”规划的通知（罗府[2023]1号）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罗定市人民政府关于印发罗定市生态环境保护“十四五”规划的通知（罗府[2023]1号）_09"/>
                    <pic:cNvPicPr>
                      <a:picLocks noChangeAspect="1"/>
                    </pic:cNvPicPr>
                  </pic:nvPicPr>
                  <pic:blipFill>
                    <a:blip r:embed="rId90"/>
                    <a:srcRect l="6819"/>
                    <a:stretch>
                      <a:fillRect/>
                    </a:stretch>
                  </pic:blipFill>
                  <pic:spPr>
                    <a:xfrm>
                      <a:off x="0" y="0"/>
                      <a:ext cx="6396265" cy="9706610"/>
                    </a:xfrm>
                    <a:prstGeom prst="rect">
                      <a:avLst/>
                    </a:prstGeom>
                    <a:ln>
                      <a:noFill/>
                    </a:ln>
                  </pic:spPr>
                </pic:pic>
              </a:graphicData>
            </a:graphic>
          </wp:inline>
        </w:drawing>
      </w:r>
      <w:r>
        <w:rPr>
          <w:rFonts w:hint="eastAsia"/>
          <w:color w:val="auto"/>
        </w:rPr>
        <w:drawing>
          <wp:inline distT="0" distB="0" distL="114300" distR="114300">
            <wp:extent cx="6249670" cy="9624060"/>
            <wp:effectExtent l="0" t="0" r="0" b="0"/>
            <wp:docPr id="176" name="图片 176" descr="罗定市人民政府关于印发罗定市生态环境保护“十四五”规划的通知（罗府[2023]1号）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罗定市人民政府关于印发罗定市生态环境保护“十四五”规划的通知（罗府[2023]1号）_10"/>
                    <pic:cNvPicPr>
                      <a:picLocks noChangeAspect="1"/>
                    </pic:cNvPicPr>
                  </pic:nvPicPr>
                  <pic:blipFill>
                    <a:blip r:embed="rId91"/>
                    <a:srcRect l="8158"/>
                    <a:stretch>
                      <a:fillRect/>
                    </a:stretch>
                  </pic:blipFill>
                  <pic:spPr>
                    <a:xfrm>
                      <a:off x="0" y="0"/>
                      <a:ext cx="6250124" cy="9624060"/>
                    </a:xfrm>
                    <a:prstGeom prst="rect">
                      <a:avLst/>
                    </a:prstGeom>
                    <a:ln>
                      <a:noFill/>
                    </a:ln>
                  </pic:spPr>
                </pic:pic>
              </a:graphicData>
            </a:graphic>
          </wp:inline>
        </w:drawing>
      </w:r>
      <w:r>
        <w:rPr>
          <w:rFonts w:hint="eastAsia"/>
          <w:color w:val="auto"/>
        </w:rPr>
        <w:drawing>
          <wp:inline distT="0" distB="0" distL="114300" distR="114300">
            <wp:extent cx="6852285" cy="9690100"/>
            <wp:effectExtent l="0" t="0" r="5715" b="6350"/>
            <wp:docPr id="175" name="图片 175" descr="罗定市人民政府关于印发罗定市生态环境保护“十四五”规划的通知（罗府[2023]1号）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罗定市人民政府关于印发罗定市生态环境保护“十四五”规划的通知（罗府[2023]1号）_11"/>
                    <pic:cNvPicPr>
                      <a:picLocks noChangeAspect="1"/>
                    </pic:cNvPicPr>
                  </pic:nvPicPr>
                  <pic:blipFill>
                    <a:blip r:embed="rId92"/>
                    <a:stretch>
                      <a:fillRect/>
                    </a:stretch>
                  </pic:blipFill>
                  <pic:spPr>
                    <a:xfrm>
                      <a:off x="0" y="0"/>
                      <a:ext cx="6852285" cy="9690100"/>
                    </a:xfrm>
                    <a:prstGeom prst="rect">
                      <a:avLst/>
                    </a:prstGeom>
                  </pic:spPr>
                </pic:pic>
              </a:graphicData>
            </a:graphic>
          </wp:inline>
        </w:drawing>
      </w:r>
      <w:r>
        <w:rPr>
          <w:rFonts w:hint="eastAsia"/>
          <w:color w:val="auto"/>
        </w:rPr>
        <w:drawing>
          <wp:inline distT="0" distB="0" distL="114300" distR="114300">
            <wp:extent cx="6845300" cy="9680575"/>
            <wp:effectExtent l="0" t="0" r="12700" b="15875"/>
            <wp:docPr id="174" name="图片 174" descr="罗定市人民政府关于印发罗定市生态环境保护“十四五”规划的通知（罗府[2023]1号）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罗定市人民政府关于印发罗定市生态环境保护“十四五”规划的通知（罗府[2023]1号）_12"/>
                    <pic:cNvPicPr>
                      <a:picLocks noChangeAspect="1"/>
                    </pic:cNvPicPr>
                  </pic:nvPicPr>
                  <pic:blipFill>
                    <a:blip r:embed="rId93"/>
                    <a:stretch>
                      <a:fillRect/>
                    </a:stretch>
                  </pic:blipFill>
                  <pic:spPr>
                    <a:xfrm>
                      <a:off x="0" y="0"/>
                      <a:ext cx="6845300" cy="9680575"/>
                    </a:xfrm>
                    <a:prstGeom prst="rect">
                      <a:avLst/>
                    </a:prstGeom>
                  </pic:spPr>
                </pic:pic>
              </a:graphicData>
            </a:graphic>
          </wp:inline>
        </w:drawing>
      </w:r>
      <w:r>
        <w:rPr>
          <w:rFonts w:hint="eastAsia"/>
          <w:color w:val="auto"/>
        </w:rPr>
        <w:drawing>
          <wp:inline distT="0" distB="0" distL="114300" distR="114300">
            <wp:extent cx="6812280" cy="9633585"/>
            <wp:effectExtent l="0" t="0" r="7620" b="5715"/>
            <wp:docPr id="173" name="图片 173" descr="罗定市人民政府关于印发罗定市生态环境保护“十四五”规划的通知（罗府[2023]1号）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罗定市人民政府关于印发罗定市生态环境保护“十四五”规划的通知（罗府[2023]1号）_13"/>
                    <pic:cNvPicPr>
                      <a:picLocks noChangeAspect="1"/>
                    </pic:cNvPicPr>
                  </pic:nvPicPr>
                  <pic:blipFill>
                    <a:blip r:embed="rId94"/>
                    <a:stretch>
                      <a:fillRect/>
                    </a:stretch>
                  </pic:blipFill>
                  <pic:spPr>
                    <a:xfrm>
                      <a:off x="0" y="0"/>
                      <a:ext cx="6812280" cy="9633585"/>
                    </a:xfrm>
                    <a:prstGeom prst="rect">
                      <a:avLst/>
                    </a:prstGeom>
                  </pic:spPr>
                </pic:pic>
              </a:graphicData>
            </a:graphic>
          </wp:inline>
        </w:drawing>
      </w:r>
      <w:r>
        <w:rPr>
          <w:rFonts w:hint="eastAsia"/>
          <w:color w:val="auto"/>
        </w:rPr>
        <w:drawing>
          <wp:inline distT="0" distB="0" distL="114300" distR="114300">
            <wp:extent cx="6884035" cy="9734550"/>
            <wp:effectExtent l="0" t="0" r="12065" b="0"/>
            <wp:docPr id="172" name="图片 172" descr="罗定市人民政府关于印发罗定市生态环境保护“十四五”规划的通知（罗府[2023]1号）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罗定市人民政府关于印发罗定市生态环境保护“十四五”规划的通知（罗府[2023]1号）_14"/>
                    <pic:cNvPicPr>
                      <a:picLocks noChangeAspect="1"/>
                    </pic:cNvPicPr>
                  </pic:nvPicPr>
                  <pic:blipFill>
                    <a:blip r:embed="rId95"/>
                    <a:stretch>
                      <a:fillRect/>
                    </a:stretch>
                  </pic:blipFill>
                  <pic:spPr>
                    <a:xfrm>
                      <a:off x="0" y="0"/>
                      <a:ext cx="6884035" cy="9734550"/>
                    </a:xfrm>
                    <a:prstGeom prst="rect">
                      <a:avLst/>
                    </a:prstGeom>
                  </pic:spPr>
                </pic:pic>
              </a:graphicData>
            </a:graphic>
          </wp:inline>
        </w:drawing>
      </w:r>
      <w:r>
        <w:rPr>
          <w:rFonts w:hint="eastAsia"/>
          <w:color w:val="auto"/>
        </w:rPr>
        <w:drawing>
          <wp:inline distT="0" distB="0" distL="114300" distR="114300">
            <wp:extent cx="6912610" cy="9775190"/>
            <wp:effectExtent l="0" t="0" r="2540" b="16510"/>
            <wp:docPr id="171" name="图片 171" descr="罗定市人民政府关于印发罗定市生态环境保护“十四五”规划的通知（罗府[2023]1号）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罗定市人民政府关于印发罗定市生态环境保护“十四五”规划的通知（罗府[2023]1号）_15"/>
                    <pic:cNvPicPr>
                      <a:picLocks noChangeAspect="1"/>
                    </pic:cNvPicPr>
                  </pic:nvPicPr>
                  <pic:blipFill>
                    <a:blip r:embed="rId96"/>
                    <a:stretch>
                      <a:fillRect/>
                    </a:stretch>
                  </pic:blipFill>
                  <pic:spPr>
                    <a:xfrm>
                      <a:off x="0" y="0"/>
                      <a:ext cx="6912610" cy="9775190"/>
                    </a:xfrm>
                    <a:prstGeom prst="rect">
                      <a:avLst/>
                    </a:prstGeom>
                  </pic:spPr>
                </pic:pic>
              </a:graphicData>
            </a:graphic>
          </wp:inline>
        </w:drawing>
      </w:r>
      <w:r>
        <w:rPr>
          <w:rFonts w:hint="eastAsia"/>
          <w:color w:val="auto"/>
        </w:rPr>
        <w:drawing>
          <wp:inline distT="0" distB="0" distL="114300" distR="114300">
            <wp:extent cx="7026910" cy="9936480"/>
            <wp:effectExtent l="0" t="0" r="2540" b="7620"/>
            <wp:docPr id="170" name="图片 170" descr="罗定市人民政府关于印发罗定市生态环境保护“十四五”规划的通知（罗府[2023]1号）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罗定市人民政府关于印发罗定市生态环境保护“十四五”规划的通知（罗府[2023]1号）_16"/>
                    <pic:cNvPicPr>
                      <a:picLocks noChangeAspect="1"/>
                    </pic:cNvPicPr>
                  </pic:nvPicPr>
                  <pic:blipFill>
                    <a:blip r:embed="rId97"/>
                    <a:stretch>
                      <a:fillRect/>
                    </a:stretch>
                  </pic:blipFill>
                  <pic:spPr>
                    <a:xfrm>
                      <a:off x="0" y="0"/>
                      <a:ext cx="7026910" cy="9936480"/>
                    </a:xfrm>
                    <a:prstGeom prst="rect">
                      <a:avLst/>
                    </a:prstGeom>
                  </pic:spPr>
                </pic:pic>
              </a:graphicData>
            </a:graphic>
          </wp:inline>
        </w:drawing>
      </w:r>
      <w:r>
        <w:rPr>
          <w:rFonts w:hint="eastAsia"/>
          <w:color w:val="auto"/>
        </w:rPr>
        <w:drawing>
          <wp:inline distT="0" distB="0" distL="114300" distR="114300">
            <wp:extent cx="6940550" cy="9814560"/>
            <wp:effectExtent l="0" t="0" r="12700" b="15240"/>
            <wp:docPr id="169" name="图片 169" descr="罗定市人民政府关于印发罗定市生态环境保护“十四五”规划的通知（罗府[2023]1号）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罗定市人民政府关于印发罗定市生态环境保护“十四五”规划的通知（罗府[2023]1号）_17"/>
                    <pic:cNvPicPr>
                      <a:picLocks noChangeAspect="1"/>
                    </pic:cNvPicPr>
                  </pic:nvPicPr>
                  <pic:blipFill>
                    <a:blip r:embed="rId98"/>
                    <a:stretch>
                      <a:fillRect/>
                    </a:stretch>
                  </pic:blipFill>
                  <pic:spPr>
                    <a:xfrm>
                      <a:off x="0" y="0"/>
                      <a:ext cx="6940550" cy="9814560"/>
                    </a:xfrm>
                    <a:prstGeom prst="rect">
                      <a:avLst/>
                    </a:prstGeom>
                  </pic:spPr>
                </pic:pic>
              </a:graphicData>
            </a:graphic>
          </wp:inline>
        </w:drawing>
      </w:r>
      <w:r>
        <w:rPr>
          <w:rFonts w:hint="eastAsia"/>
          <w:color w:val="auto"/>
        </w:rPr>
        <w:drawing>
          <wp:inline distT="0" distB="0" distL="114300" distR="114300">
            <wp:extent cx="6912610" cy="9775190"/>
            <wp:effectExtent l="0" t="0" r="2540" b="16510"/>
            <wp:docPr id="168" name="图片 168" descr="罗定市人民政府关于印发罗定市生态环境保护“十四五”规划的通知（罗府[2023]1号）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罗定市人民政府关于印发罗定市生态环境保护“十四五”规划的通知（罗府[2023]1号）_18"/>
                    <pic:cNvPicPr>
                      <a:picLocks noChangeAspect="1"/>
                    </pic:cNvPicPr>
                  </pic:nvPicPr>
                  <pic:blipFill>
                    <a:blip r:embed="rId99"/>
                    <a:stretch>
                      <a:fillRect/>
                    </a:stretch>
                  </pic:blipFill>
                  <pic:spPr>
                    <a:xfrm>
                      <a:off x="0" y="0"/>
                      <a:ext cx="6912610" cy="9775190"/>
                    </a:xfrm>
                    <a:prstGeom prst="rect">
                      <a:avLst/>
                    </a:prstGeom>
                  </pic:spPr>
                </pic:pic>
              </a:graphicData>
            </a:graphic>
          </wp:inline>
        </w:drawing>
      </w:r>
      <w:r>
        <w:rPr>
          <w:rFonts w:hint="eastAsia"/>
          <w:color w:val="auto"/>
        </w:rPr>
        <w:drawing>
          <wp:inline distT="0" distB="0" distL="114300" distR="114300">
            <wp:extent cx="7007860" cy="9909810"/>
            <wp:effectExtent l="0" t="0" r="2540" b="15240"/>
            <wp:docPr id="167" name="图片 167" descr="罗定市人民政府关于印发罗定市生态环境保护“十四五”规划的通知（罗府[2023]1号）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罗定市人民政府关于印发罗定市生态环境保护“十四五”规划的通知（罗府[2023]1号）_19"/>
                    <pic:cNvPicPr>
                      <a:picLocks noChangeAspect="1"/>
                    </pic:cNvPicPr>
                  </pic:nvPicPr>
                  <pic:blipFill>
                    <a:blip r:embed="rId100"/>
                    <a:stretch>
                      <a:fillRect/>
                    </a:stretch>
                  </pic:blipFill>
                  <pic:spPr>
                    <a:xfrm>
                      <a:off x="0" y="0"/>
                      <a:ext cx="7007860" cy="9909810"/>
                    </a:xfrm>
                    <a:prstGeom prst="rect">
                      <a:avLst/>
                    </a:prstGeom>
                  </pic:spPr>
                </pic:pic>
              </a:graphicData>
            </a:graphic>
          </wp:inline>
        </w:drawing>
      </w:r>
      <w:r>
        <w:rPr>
          <w:rFonts w:hint="eastAsia"/>
          <w:color w:val="auto"/>
        </w:rPr>
        <w:drawing>
          <wp:inline distT="0" distB="0" distL="114300" distR="114300">
            <wp:extent cx="6960235" cy="9842500"/>
            <wp:effectExtent l="0" t="0" r="12065" b="6350"/>
            <wp:docPr id="166" name="图片 166" descr="罗定市人民政府关于印发罗定市生态环境保护“十四五”规划的通知（罗府[2023]1号）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罗定市人民政府关于印发罗定市生态环境保护“十四五”规划的通知（罗府[2023]1号）_20"/>
                    <pic:cNvPicPr>
                      <a:picLocks noChangeAspect="1"/>
                    </pic:cNvPicPr>
                  </pic:nvPicPr>
                  <pic:blipFill>
                    <a:blip r:embed="rId101"/>
                    <a:stretch>
                      <a:fillRect/>
                    </a:stretch>
                  </pic:blipFill>
                  <pic:spPr>
                    <a:xfrm>
                      <a:off x="0" y="0"/>
                      <a:ext cx="6960235" cy="9842500"/>
                    </a:xfrm>
                    <a:prstGeom prst="rect">
                      <a:avLst/>
                    </a:prstGeom>
                  </pic:spPr>
                </pic:pic>
              </a:graphicData>
            </a:graphic>
          </wp:inline>
        </w:drawing>
      </w:r>
      <w:r>
        <w:rPr>
          <w:rFonts w:hint="eastAsia"/>
          <w:color w:val="auto"/>
        </w:rPr>
        <w:drawing>
          <wp:inline distT="0" distB="0" distL="114300" distR="114300">
            <wp:extent cx="6921500" cy="9787890"/>
            <wp:effectExtent l="0" t="0" r="12700" b="3810"/>
            <wp:docPr id="165" name="图片 165" descr="罗定市人民政府关于印发罗定市生态环境保护“十四五”规划的通知（罗府[2023]1号）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罗定市人民政府关于印发罗定市生态环境保护“十四五”规划的通知（罗府[2023]1号）_21"/>
                    <pic:cNvPicPr>
                      <a:picLocks noChangeAspect="1"/>
                    </pic:cNvPicPr>
                  </pic:nvPicPr>
                  <pic:blipFill>
                    <a:blip r:embed="rId102"/>
                    <a:stretch>
                      <a:fillRect/>
                    </a:stretch>
                  </pic:blipFill>
                  <pic:spPr>
                    <a:xfrm>
                      <a:off x="0" y="0"/>
                      <a:ext cx="6921500" cy="9787890"/>
                    </a:xfrm>
                    <a:prstGeom prst="rect">
                      <a:avLst/>
                    </a:prstGeom>
                  </pic:spPr>
                </pic:pic>
              </a:graphicData>
            </a:graphic>
          </wp:inline>
        </w:drawing>
      </w:r>
      <w:r>
        <w:rPr>
          <w:rFonts w:hint="eastAsia"/>
          <w:color w:val="auto"/>
        </w:rPr>
        <w:drawing>
          <wp:inline distT="0" distB="0" distL="114300" distR="114300">
            <wp:extent cx="6988175" cy="9881870"/>
            <wp:effectExtent l="0" t="0" r="3175" b="5080"/>
            <wp:docPr id="164" name="图片 164" descr="罗定市人民政府关于印发罗定市生态环境保护“十四五”规划的通知（罗府[2023]1号）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罗定市人民政府关于印发罗定市生态环境保护“十四五”规划的通知（罗府[2023]1号）_22"/>
                    <pic:cNvPicPr>
                      <a:picLocks noChangeAspect="1"/>
                    </pic:cNvPicPr>
                  </pic:nvPicPr>
                  <pic:blipFill>
                    <a:blip r:embed="rId103"/>
                    <a:stretch>
                      <a:fillRect/>
                    </a:stretch>
                  </pic:blipFill>
                  <pic:spPr>
                    <a:xfrm>
                      <a:off x="0" y="0"/>
                      <a:ext cx="6988175" cy="9881870"/>
                    </a:xfrm>
                    <a:prstGeom prst="rect">
                      <a:avLst/>
                    </a:prstGeom>
                  </pic:spPr>
                </pic:pic>
              </a:graphicData>
            </a:graphic>
          </wp:inline>
        </w:drawing>
      </w:r>
      <w:r>
        <w:rPr>
          <w:rFonts w:hint="eastAsia"/>
          <w:color w:val="auto"/>
        </w:rPr>
        <w:drawing>
          <wp:inline distT="0" distB="0" distL="114300" distR="114300">
            <wp:extent cx="6913245" cy="9775825"/>
            <wp:effectExtent l="0" t="0" r="1905" b="15875"/>
            <wp:docPr id="163" name="图片 163" descr="罗定市人民政府关于印发罗定市生态环境保护“十四五”规划的通知（罗府[2023]1号）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罗定市人民政府关于印发罗定市生态环境保护“十四五”规划的通知（罗府[2023]1号）_23"/>
                    <pic:cNvPicPr>
                      <a:picLocks noChangeAspect="1"/>
                    </pic:cNvPicPr>
                  </pic:nvPicPr>
                  <pic:blipFill>
                    <a:blip r:embed="rId104"/>
                    <a:stretch>
                      <a:fillRect/>
                    </a:stretch>
                  </pic:blipFill>
                  <pic:spPr>
                    <a:xfrm>
                      <a:off x="0" y="0"/>
                      <a:ext cx="6913245" cy="9775825"/>
                    </a:xfrm>
                    <a:prstGeom prst="rect">
                      <a:avLst/>
                    </a:prstGeom>
                  </pic:spPr>
                </pic:pic>
              </a:graphicData>
            </a:graphic>
          </wp:inline>
        </w:drawing>
      </w:r>
      <w:r>
        <w:rPr>
          <w:rFonts w:hint="eastAsia"/>
          <w:color w:val="auto"/>
        </w:rPr>
        <w:drawing>
          <wp:inline distT="0" distB="0" distL="114300" distR="114300">
            <wp:extent cx="6750685" cy="9545955"/>
            <wp:effectExtent l="0" t="0" r="12065" b="17145"/>
            <wp:docPr id="162" name="图片 162" descr="罗定市人民政府关于印发罗定市生态环境保护“十四五”规划的通知（罗府[2023]1号）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罗定市人民政府关于印发罗定市生态环境保护“十四五”规划的通知（罗府[2023]1号）_24"/>
                    <pic:cNvPicPr>
                      <a:picLocks noChangeAspect="1"/>
                    </pic:cNvPicPr>
                  </pic:nvPicPr>
                  <pic:blipFill>
                    <a:blip r:embed="rId105"/>
                    <a:stretch>
                      <a:fillRect/>
                    </a:stretch>
                  </pic:blipFill>
                  <pic:spPr>
                    <a:xfrm>
                      <a:off x="0" y="0"/>
                      <a:ext cx="6750685" cy="9545955"/>
                    </a:xfrm>
                    <a:prstGeom prst="rect">
                      <a:avLst/>
                    </a:prstGeom>
                  </pic:spPr>
                </pic:pic>
              </a:graphicData>
            </a:graphic>
          </wp:inline>
        </w:drawing>
      </w:r>
      <w:r>
        <w:rPr>
          <w:rFonts w:hint="eastAsia"/>
          <w:color w:val="auto"/>
        </w:rPr>
        <w:drawing>
          <wp:inline distT="0" distB="0" distL="114300" distR="114300">
            <wp:extent cx="6778625" cy="9585325"/>
            <wp:effectExtent l="0" t="0" r="3175" b="15875"/>
            <wp:docPr id="161" name="图片 161" descr="罗定市人民政府关于印发罗定市生态环境保护“十四五”规划的通知（罗府[2023]1号）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罗定市人民政府关于印发罗定市生态环境保护“十四五”规划的通知（罗府[2023]1号）_25"/>
                    <pic:cNvPicPr>
                      <a:picLocks noChangeAspect="1"/>
                    </pic:cNvPicPr>
                  </pic:nvPicPr>
                  <pic:blipFill>
                    <a:blip r:embed="rId106"/>
                    <a:stretch>
                      <a:fillRect/>
                    </a:stretch>
                  </pic:blipFill>
                  <pic:spPr>
                    <a:xfrm>
                      <a:off x="0" y="0"/>
                      <a:ext cx="6778625" cy="9585325"/>
                    </a:xfrm>
                    <a:prstGeom prst="rect">
                      <a:avLst/>
                    </a:prstGeom>
                  </pic:spPr>
                </pic:pic>
              </a:graphicData>
            </a:graphic>
          </wp:inline>
        </w:drawing>
      </w:r>
      <w:r>
        <w:rPr>
          <w:rFonts w:hint="eastAsia"/>
          <w:color w:val="auto"/>
        </w:rPr>
        <w:drawing>
          <wp:inline distT="0" distB="0" distL="114300" distR="114300">
            <wp:extent cx="6864350" cy="9706610"/>
            <wp:effectExtent l="0" t="0" r="12700" b="8890"/>
            <wp:docPr id="160" name="图片 160" descr="罗定市人民政府关于印发罗定市生态环境保护“十四五”规划的通知（罗府[2023]1号）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罗定市人民政府关于印发罗定市生态环境保护“十四五”规划的通知（罗府[2023]1号）_26"/>
                    <pic:cNvPicPr>
                      <a:picLocks noChangeAspect="1"/>
                    </pic:cNvPicPr>
                  </pic:nvPicPr>
                  <pic:blipFill>
                    <a:blip r:embed="rId107"/>
                    <a:stretch>
                      <a:fillRect/>
                    </a:stretch>
                  </pic:blipFill>
                  <pic:spPr>
                    <a:xfrm>
                      <a:off x="0" y="0"/>
                      <a:ext cx="6864350" cy="9706610"/>
                    </a:xfrm>
                    <a:prstGeom prst="rect">
                      <a:avLst/>
                    </a:prstGeom>
                  </pic:spPr>
                </pic:pic>
              </a:graphicData>
            </a:graphic>
          </wp:inline>
        </w:drawing>
      </w:r>
      <w:r>
        <w:rPr>
          <w:rFonts w:hint="eastAsia"/>
          <w:color w:val="auto"/>
        </w:rPr>
        <w:drawing>
          <wp:inline distT="0" distB="0" distL="114300" distR="114300">
            <wp:extent cx="6988175" cy="9881870"/>
            <wp:effectExtent l="0" t="0" r="3175" b="5080"/>
            <wp:docPr id="159" name="图片 159" descr="罗定市人民政府关于印发罗定市生态环境保护“十四五”规划的通知（罗府[2023]1号）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罗定市人民政府关于印发罗定市生态环境保护“十四五”规划的通知（罗府[2023]1号）_27"/>
                    <pic:cNvPicPr>
                      <a:picLocks noChangeAspect="1"/>
                    </pic:cNvPicPr>
                  </pic:nvPicPr>
                  <pic:blipFill>
                    <a:blip r:embed="rId108"/>
                    <a:stretch>
                      <a:fillRect/>
                    </a:stretch>
                  </pic:blipFill>
                  <pic:spPr>
                    <a:xfrm>
                      <a:off x="0" y="0"/>
                      <a:ext cx="6988175" cy="9881870"/>
                    </a:xfrm>
                    <a:prstGeom prst="rect">
                      <a:avLst/>
                    </a:prstGeom>
                  </pic:spPr>
                </pic:pic>
              </a:graphicData>
            </a:graphic>
          </wp:inline>
        </w:drawing>
      </w:r>
      <w:r>
        <w:rPr>
          <w:rFonts w:hint="eastAsia"/>
          <w:color w:val="auto"/>
        </w:rPr>
        <w:drawing>
          <wp:inline distT="0" distB="0" distL="114300" distR="114300">
            <wp:extent cx="6950075" cy="9827895"/>
            <wp:effectExtent l="0" t="0" r="3175" b="1905"/>
            <wp:docPr id="158" name="图片 158" descr="罗定市人民政府关于印发罗定市生态环境保护“十四五”规划的通知（罗府[2023]1号）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罗定市人民政府关于印发罗定市生态环境保护“十四五”规划的通知（罗府[2023]1号）_28"/>
                    <pic:cNvPicPr>
                      <a:picLocks noChangeAspect="1"/>
                    </pic:cNvPicPr>
                  </pic:nvPicPr>
                  <pic:blipFill>
                    <a:blip r:embed="rId109"/>
                    <a:stretch>
                      <a:fillRect/>
                    </a:stretch>
                  </pic:blipFill>
                  <pic:spPr>
                    <a:xfrm>
                      <a:off x="0" y="0"/>
                      <a:ext cx="6950075" cy="9827895"/>
                    </a:xfrm>
                    <a:prstGeom prst="rect">
                      <a:avLst/>
                    </a:prstGeom>
                  </pic:spPr>
                </pic:pic>
              </a:graphicData>
            </a:graphic>
          </wp:inline>
        </w:drawing>
      </w:r>
      <w:r>
        <w:rPr>
          <w:rFonts w:hint="eastAsia"/>
          <w:color w:val="auto"/>
        </w:rPr>
        <w:drawing>
          <wp:inline distT="0" distB="0" distL="114300" distR="114300">
            <wp:extent cx="6797675" cy="9612630"/>
            <wp:effectExtent l="0" t="0" r="3175" b="7620"/>
            <wp:docPr id="157" name="图片 157" descr="罗定市人民政府关于印发罗定市生态环境保护“十四五”规划的通知（罗府[2023]1号）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罗定市人民政府关于印发罗定市生态环境保护“十四五”规划的通知（罗府[2023]1号）_29"/>
                    <pic:cNvPicPr>
                      <a:picLocks noChangeAspect="1"/>
                    </pic:cNvPicPr>
                  </pic:nvPicPr>
                  <pic:blipFill>
                    <a:blip r:embed="rId110"/>
                    <a:stretch>
                      <a:fillRect/>
                    </a:stretch>
                  </pic:blipFill>
                  <pic:spPr>
                    <a:xfrm>
                      <a:off x="0" y="0"/>
                      <a:ext cx="6797675" cy="9612630"/>
                    </a:xfrm>
                    <a:prstGeom prst="rect">
                      <a:avLst/>
                    </a:prstGeom>
                  </pic:spPr>
                </pic:pic>
              </a:graphicData>
            </a:graphic>
          </wp:inline>
        </w:drawing>
      </w:r>
      <w:r>
        <w:rPr>
          <w:rFonts w:hint="eastAsia"/>
          <w:color w:val="auto"/>
        </w:rPr>
        <w:drawing>
          <wp:inline distT="0" distB="0" distL="114300" distR="114300">
            <wp:extent cx="6940550" cy="9814560"/>
            <wp:effectExtent l="0" t="0" r="12700" b="15240"/>
            <wp:docPr id="156" name="图片 156" descr="罗定市人民政府关于印发罗定市生态环境保护“十四五”规划的通知（罗府[2023]1号）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罗定市人民政府关于印发罗定市生态环境保护“十四五”规划的通知（罗府[2023]1号）_30"/>
                    <pic:cNvPicPr>
                      <a:picLocks noChangeAspect="1"/>
                    </pic:cNvPicPr>
                  </pic:nvPicPr>
                  <pic:blipFill>
                    <a:blip r:embed="rId111"/>
                    <a:stretch>
                      <a:fillRect/>
                    </a:stretch>
                  </pic:blipFill>
                  <pic:spPr>
                    <a:xfrm>
                      <a:off x="0" y="0"/>
                      <a:ext cx="6940550" cy="9814560"/>
                    </a:xfrm>
                    <a:prstGeom prst="rect">
                      <a:avLst/>
                    </a:prstGeom>
                  </pic:spPr>
                </pic:pic>
              </a:graphicData>
            </a:graphic>
          </wp:inline>
        </w:drawing>
      </w:r>
      <w:r>
        <w:rPr>
          <w:rFonts w:hint="eastAsia"/>
          <w:color w:val="auto"/>
        </w:rPr>
        <w:drawing>
          <wp:inline distT="0" distB="0" distL="114300" distR="114300">
            <wp:extent cx="7016750" cy="9922510"/>
            <wp:effectExtent l="0" t="0" r="12700" b="2540"/>
            <wp:docPr id="155" name="图片 155" descr="罗定市人民政府关于印发罗定市生态环境保护“十四五”规划的通知（罗府[2023]1号）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罗定市人民政府关于印发罗定市生态环境保护“十四五”规划的通知（罗府[2023]1号）_31"/>
                    <pic:cNvPicPr>
                      <a:picLocks noChangeAspect="1"/>
                    </pic:cNvPicPr>
                  </pic:nvPicPr>
                  <pic:blipFill>
                    <a:blip r:embed="rId112"/>
                    <a:stretch>
                      <a:fillRect/>
                    </a:stretch>
                  </pic:blipFill>
                  <pic:spPr>
                    <a:xfrm>
                      <a:off x="0" y="0"/>
                      <a:ext cx="7016750" cy="9922510"/>
                    </a:xfrm>
                    <a:prstGeom prst="rect">
                      <a:avLst/>
                    </a:prstGeom>
                  </pic:spPr>
                </pic:pic>
              </a:graphicData>
            </a:graphic>
          </wp:inline>
        </w:drawing>
      </w:r>
      <w:r>
        <w:rPr>
          <w:rFonts w:hint="eastAsia"/>
          <w:color w:val="auto"/>
        </w:rPr>
        <w:drawing>
          <wp:inline distT="0" distB="0" distL="114300" distR="114300">
            <wp:extent cx="6931025" cy="9801225"/>
            <wp:effectExtent l="0" t="0" r="3175" b="9525"/>
            <wp:docPr id="154" name="图片 154" descr="罗定市人民政府关于印发罗定市生态环境保护“十四五”规划的通知（罗府[2023]1号）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罗定市人民政府关于印发罗定市生态环境保护“十四五”规划的通知（罗府[2023]1号）_32"/>
                    <pic:cNvPicPr>
                      <a:picLocks noChangeAspect="1"/>
                    </pic:cNvPicPr>
                  </pic:nvPicPr>
                  <pic:blipFill>
                    <a:blip r:embed="rId113"/>
                    <a:stretch>
                      <a:fillRect/>
                    </a:stretch>
                  </pic:blipFill>
                  <pic:spPr>
                    <a:xfrm>
                      <a:off x="0" y="0"/>
                      <a:ext cx="6931025" cy="9801225"/>
                    </a:xfrm>
                    <a:prstGeom prst="rect">
                      <a:avLst/>
                    </a:prstGeom>
                  </pic:spPr>
                </pic:pic>
              </a:graphicData>
            </a:graphic>
          </wp:inline>
        </w:drawing>
      </w:r>
      <w:r>
        <w:rPr>
          <w:rFonts w:hint="eastAsia"/>
          <w:color w:val="auto"/>
        </w:rPr>
        <w:drawing>
          <wp:inline distT="0" distB="0" distL="114300" distR="114300">
            <wp:extent cx="7016750" cy="9922510"/>
            <wp:effectExtent l="0" t="0" r="12700" b="2540"/>
            <wp:docPr id="153" name="图片 153" descr="罗定市人民政府关于印发罗定市生态环境保护“十四五”规划的通知（罗府[2023]1号）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罗定市人民政府关于印发罗定市生态环境保护“十四五”规划的通知（罗府[2023]1号）_33"/>
                    <pic:cNvPicPr>
                      <a:picLocks noChangeAspect="1"/>
                    </pic:cNvPicPr>
                  </pic:nvPicPr>
                  <pic:blipFill>
                    <a:blip r:embed="rId114"/>
                    <a:stretch>
                      <a:fillRect/>
                    </a:stretch>
                  </pic:blipFill>
                  <pic:spPr>
                    <a:xfrm>
                      <a:off x="0" y="0"/>
                      <a:ext cx="7016750" cy="9922510"/>
                    </a:xfrm>
                    <a:prstGeom prst="rect">
                      <a:avLst/>
                    </a:prstGeom>
                  </pic:spPr>
                </pic:pic>
              </a:graphicData>
            </a:graphic>
          </wp:inline>
        </w:drawing>
      </w:r>
      <w:r>
        <w:rPr>
          <w:rFonts w:hint="eastAsia"/>
          <w:color w:val="auto"/>
        </w:rPr>
        <w:drawing>
          <wp:inline distT="0" distB="0" distL="114300" distR="114300">
            <wp:extent cx="6988175" cy="9881870"/>
            <wp:effectExtent l="0" t="0" r="3175" b="5080"/>
            <wp:docPr id="152" name="图片 152" descr="罗定市人民政府关于印发罗定市生态环境保护“十四五”规划的通知（罗府[2023]1号）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罗定市人民政府关于印发罗定市生态环境保护“十四五”规划的通知（罗府[2023]1号）_34"/>
                    <pic:cNvPicPr>
                      <a:picLocks noChangeAspect="1"/>
                    </pic:cNvPicPr>
                  </pic:nvPicPr>
                  <pic:blipFill>
                    <a:blip r:embed="rId115"/>
                    <a:stretch>
                      <a:fillRect/>
                    </a:stretch>
                  </pic:blipFill>
                  <pic:spPr>
                    <a:xfrm>
                      <a:off x="0" y="0"/>
                      <a:ext cx="6988175" cy="9881870"/>
                    </a:xfrm>
                    <a:prstGeom prst="rect">
                      <a:avLst/>
                    </a:prstGeom>
                  </pic:spPr>
                </pic:pic>
              </a:graphicData>
            </a:graphic>
          </wp:inline>
        </w:drawing>
      </w:r>
      <w:r>
        <w:rPr>
          <w:rFonts w:hint="eastAsia"/>
          <w:color w:val="auto"/>
        </w:rPr>
        <w:drawing>
          <wp:inline distT="0" distB="0" distL="114300" distR="114300">
            <wp:extent cx="6960235" cy="9842500"/>
            <wp:effectExtent l="0" t="0" r="12065" b="6350"/>
            <wp:docPr id="151" name="图片 151" descr="罗定市人民政府关于印发罗定市生态环境保护“十四五”规划的通知（罗府[2023]1号）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罗定市人民政府关于印发罗定市生态环境保护“十四五”规划的通知（罗府[2023]1号）_35"/>
                    <pic:cNvPicPr>
                      <a:picLocks noChangeAspect="1"/>
                    </pic:cNvPicPr>
                  </pic:nvPicPr>
                  <pic:blipFill>
                    <a:blip r:embed="rId116"/>
                    <a:stretch>
                      <a:fillRect/>
                    </a:stretch>
                  </pic:blipFill>
                  <pic:spPr>
                    <a:xfrm>
                      <a:off x="0" y="0"/>
                      <a:ext cx="6960235" cy="9842500"/>
                    </a:xfrm>
                    <a:prstGeom prst="rect">
                      <a:avLst/>
                    </a:prstGeom>
                  </pic:spPr>
                </pic:pic>
              </a:graphicData>
            </a:graphic>
          </wp:inline>
        </w:drawing>
      </w:r>
      <w:r>
        <w:rPr>
          <w:rFonts w:hint="eastAsia"/>
          <w:color w:val="auto"/>
        </w:rPr>
        <w:drawing>
          <wp:inline distT="0" distB="0" distL="114300" distR="114300">
            <wp:extent cx="6988175" cy="9881870"/>
            <wp:effectExtent l="0" t="0" r="3175" b="5080"/>
            <wp:docPr id="150" name="图片 150" descr="罗定市人民政府关于印发罗定市生态环境保护“十四五”规划的通知（罗府[2023]1号）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罗定市人民政府关于印发罗定市生态环境保护“十四五”规划的通知（罗府[2023]1号）_36"/>
                    <pic:cNvPicPr>
                      <a:picLocks noChangeAspect="1"/>
                    </pic:cNvPicPr>
                  </pic:nvPicPr>
                  <pic:blipFill>
                    <a:blip r:embed="rId117"/>
                    <a:stretch>
                      <a:fillRect/>
                    </a:stretch>
                  </pic:blipFill>
                  <pic:spPr>
                    <a:xfrm>
                      <a:off x="0" y="0"/>
                      <a:ext cx="6988175" cy="9881870"/>
                    </a:xfrm>
                    <a:prstGeom prst="rect">
                      <a:avLst/>
                    </a:prstGeom>
                  </pic:spPr>
                </pic:pic>
              </a:graphicData>
            </a:graphic>
          </wp:inline>
        </w:drawing>
      </w:r>
      <w:r>
        <w:rPr>
          <w:rFonts w:hint="eastAsia"/>
          <w:color w:val="auto"/>
        </w:rPr>
        <w:drawing>
          <wp:inline distT="0" distB="0" distL="114300" distR="114300">
            <wp:extent cx="6859270" cy="9699625"/>
            <wp:effectExtent l="0" t="0" r="17780" b="15875"/>
            <wp:docPr id="149" name="图片 149" descr="罗定市人民政府关于印发罗定市生态环境保护“十四五”规划的通知（罗府[2023]1号）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罗定市人民政府关于印发罗定市生态环境保护“十四五”规划的通知（罗府[2023]1号）_37"/>
                    <pic:cNvPicPr>
                      <a:picLocks noChangeAspect="1"/>
                    </pic:cNvPicPr>
                  </pic:nvPicPr>
                  <pic:blipFill>
                    <a:blip r:embed="rId118"/>
                    <a:stretch>
                      <a:fillRect/>
                    </a:stretch>
                  </pic:blipFill>
                  <pic:spPr>
                    <a:xfrm>
                      <a:off x="0" y="0"/>
                      <a:ext cx="6859270" cy="9699625"/>
                    </a:xfrm>
                    <a:prstGeom prst="rect">
                      <a:avLst/>
                    </a:prstGeom>
                  </pic:spPr>
                </pic:pic>
              </a:graphicData>
            </a:graphic>
          </wp:inline>
        </w:drawing>
      </w:r>
      <w:r>
        <w:rPr>
          <w:rFonts w:hint="eastAsia"/>
          <w:color w:val="auto"/>
        </w:rPr>
        <w:drawing>
          <wp:inline distT="0" distB="0" distL="114300" distR="114300">
            <wp:extent cx="6988175" cy="9881870"/>
            <wp:effectExtent l="0" t="0" r="3175" b="5080"/>
            <wp:docPr id="148" name="图片 148" descr="罗定市人民政府关于印发罗定市生态环境保护“十四五”规划的通知（罗府[2023]1号）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罗定市人民政府关于印发罗定市生态环境保护“十四五”规划的通知（罗府[2023]1号）_38"/>
                    <pic:cNvPicPr>
                      <a:picLocks noChangeAspect="1"/>
                    </pic:cNvPicPr>
                  </pic:nvPicPr>
                  <pic:blipFill>
                    <a:blip r:embed="rId119"/>
                    <a:stretch>
                      <a:fillRect/>
                    </a:stretch>
                  </pic:blipFill>
                  <pic:spPr>
                    <a:xfrm>
                      <a:off x="0" y="0"/>
                      <a:ext cx="6988175" cy="9881870"/>
                    </a:xfrm>
                    <a:prstGeom prst="rect">
                      <a:avLst/>
                    </a:prstGeom>
                  </pic:spPr>
                </pic:pic>
              </a:graphicData>
            </a:graphic>
          </wp:inline>
        </w:drawing>
      </w:r>
      <w:r>
        <w:rPr>
          <w:rFonts w:hint="eastAsia"/>
          <w:color w:val="auto"/>
        </w:rPr>
        <w:drawing>
          <wp:inline distT="0" distB="0" distL="114300" distR="114300">
            <wp:extent cx="6893560" cy="9747885"/>
            <wp:effectExtent l="0" t="0" r="2540" b="5715"/>
            <wp:docPr id="147" name="图片 147" descr="罗定市人民政府关于印发罗定市生态环境保护“十四五”规划的通知（罗府[2023]1号）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罗定市人民政府关于印发罗定市生态环境保护“十四五”规划的通知（罗府[2023]1号）_39"/>
                    <pic:cNvPicPr>
                      <a:picLocks noChangeAspect="1"/>
                    </pic:cNvPicPr>
                  </pic:nvPicPr>
                  <pic:blipFill>
                    <a:blip r:embed="rId120"/>
                    <a:stretch>
                      <a:fillRect/>
                    </a:stretch>
                  </pic:blipFill>
                  <pic:spPr>
                    <a:xfrm>
                      <a:off x="0" y="0"/>
                      <a:ext cx="6893560" cy="9747885"/>
                    </a:xfrm>
                    <a:prstGeom prst="rect">
                      <a:avLst/>
                    </a:prstGeom>
                  </pic:spPr>
                </pic:pic>
              </a:graphicData>
            </a:graphic>
          </wp:inline>
        </w:drawing>
      </w:r>
      <w:r>
        <w:rPr>
          <w:rFonts w:hint="eastAsia"/>
          <w:color w:val="auto"/>
        </w:rPr>
        <w:drawing>
          <wp:inline distT="0" distB="0" distL="114300" distR="114300">
            <wp:extent cx="6884035" cy="9734550"/>
            <wp:effectExtent l="0" t="0" r="12065" b="0"/>
            <wp:docPr id="146" name="图片 146" descr="罗定市人民政府关于印发罗定市生态环境保护“十四五”规划的通知（罗府[2023]1号）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罗定市人民政府关于印发罗定市生态环境保护“十四五”规划的通知（罗府[2023]1号）_40"/>
                    <pic:cNvPicPr>
                      <a:picLocks noChangeAspect="1"/>
                    </pic:cNvPicPr>
                  </pic:nvPicPr>
                  <pic:blipFill>
                    <a:blip r:embed="rId121"/>
                    <a:stretch>
                      <a:fillRect/>
                    </a:stretch>
                  </pic:blipFill>
                  <pic:spPr>
                    <a:xfrm>
                      <a:off x="0" y="0"/>
                      <a:ext cx="6884035" cy="9734550"/>
                    </a:xfrm>
                    <a:prstGeom prst="rect">
                      <a:avLst/>
                    </a:prstGeom>
                  </pic:spPr>
                </pic:pic>
              </a:graphicData>
            </a:graphic>
          </wp:inline>
        </w:drawing>
      </w:r>
      <w:r>
        <w:rPr>
          <w:rFonts w:hint="eastAsia"/>
          <w:color w:val="auto"/>
        </w:rPr>
        <w:drawing>
          <wp:inline distT="0" distB="0" distL="114300" distR="114300">
            <wp:extent cx="6769735" cy="9573260"/>
            <wp:effectExtent l="0" t="0" r="12065" b="8890"/>
            <wp:docPr id="145" name="图片 145" descr="罗定市人民政府关于印发罗定市生态环境保护“十四五”规划的通知（罗府[2023]1号）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罗定市人民政府关于印发罗定市生态环境保护“十四五”规划的通知（罗府[2023]1号）_41"/>
                    <pic:cNvPicPr>
                      <a:picLocks noChangeAspect="1"/>
                    </pic:cNvPicPr>
                  </pic:nvPicPr>
                  <pic:blipFill>
                    <a:blip r:embed="rId122"/>
                    <a:stretch>
                      <a:fillRect/>
                    </a:stretch>
                  </pic:blipFill>
                  <pic:spPr>
                    <a:xfrm>
                      <a:off x="0" y="0"/>
                      <a:ext cx="6769735" cy="9573260"/>
                    </a:xfrm>
                    <a:prstGeom prst="rect">
                      <a:avLst/>
                    </a:prstGeom>
                  </pic:spPr>
                </pic:pic>
              </a:graphicData>
            </a:graphic>
          </wp:inline>
        </w:drawing>
      </w:r>
      <w:r>
        <w:rPr>
          <w:rFonts w:hint="eastAsia"/>
          <w:color w:val="auto"/>
        </w:rPr>
        <w:drawing>
          <wp:inline distT="0" distB="0" distL="114300" distR="114300">
            <wp:extent cx="6978650" cy="9868535"/>
            <wp:effectExtent l="0" t="0" r="12700" b="18415"/>
            <wp:docPr id="144" name="图片 144" descr="罗定市人民政府关于印发罗定市生态环境保护“十四五”规划的通知（罗府[2023]1号）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罗定市人民政府关于印发罗定市生态环境保护“十四五”规划的通知（罗府[2023]1号）_42"/>
                    <pic:cNvPicPr>
                      <a:picLocks noChangeAspect="1"/>
                    </pic:cNvPicPr>
                  </pic:nvPicPr>
                  <pic:blipFill>
                    <a:blip r:embed="rId123"/>
                    <a:stretch>
                      <a:fillRect/>
                    </a:stretch>
                  </pic:blipFill>
                  <pic:spPr>
                    <a:xfrm>
                      <a:off x="0" y="0"/>
                      <a:ext cx="6978650" cy="9868535"/>
                    </a:xfrm>
                    <a:prstGeom prst="rect">
                      <a:avLst/>
                    </a:prstGeom>
                  </pic:spPr>
                </pic:pic>
              </a:graphicData>
            </a:graphic>
          </wp:inline>
        </w:drawing>
      </w:r>
      <w:r>
        <w:rPr>
          <w:rFonts w:hint="eastAsia"/>
          <w:color w:val="auto"/>
        </w:rPr>
        <w:drawing>
          <wp:inline distT="0" distB="0" distL="114300" distR="114300">
            <wp:extent cx="6988175" cy="9881870"/>
            <wp:effectExtent l="0" t="0" r="3175" b="5080"/>
            <wp:docPr id="143" name="图片 143" descr="罗定市人民政府关于印发罗定市生态环境保护“十四五”规划的通知（罗府[2023]1号）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罗定市人民政府关于印发罗定市生态环境保护“十四五”规划的通知（罗府[2023]1号）_43"/>
                    <pic:cNvPicPr>
                      <a:picLocks noChangeAspect="1"/>
                    </pic:cNvPicPr>
                  </pic:nvPicPr>
                  <pic:blipFill>
                    <a:blip r:embed="rId124"/>
                    <a:stretch>
                      <a:fillRect/>
                    </a:stretch>
                  </pic:blipFill>
                  <pic:spPr>
                    <a:xfrm>
                      <a:off x="0" y="0"/>
                      <a:ext cx="6988175" cy="9881870"/>
                    </a:xfrm>
                    <a:prstGeom prst="rect">
                      <a:avLst/>
                    </a:prstGeom>
                  </pic:spPr>
                </pic:pic>
              </a:graphicData>
            </a:graphic>
          </wp:inline>
        </w:drawing>
      </w:r>
      <w:r>
        <w:rPr>
          <w:rFonts w:hint="eastAsia"/>
          <w:color w:val="auto"/>
        </w:rPr>
        <w:drawing>
          <wp:inline distT="0" distB="0" distL="114300" distR="114300">
            <wp:extent cx="6893560" cy="9747885"/>
            <wp:effectExtent l="0" t="0" r="2540" b="5715"/>
            <wp:docPr id="142" name="图片 142" descr="罗定市人民政府关于印发罗定市生态环境保护“十四五”规划的通知（罗府[2023]1号）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罗定市人民政府关于印发罗定市生态环境保护“十四五”规划的通知（罗府[2023]1号）_44"/>
                    <pic:cNvPicPr>
                      <a:picLocks noChangeAspect="1"/>
                    </pic:cNvPicPr>
                  </pic:nvPicPr>
                  <pic:blipFill>
                    <a:blip r:embed="rId125"/>
                    <a:stretch>
                      <a:fillRect/>
                    </a:stretch>
                  </pic:blipFill>
                  <pic:spPr>
                    <a:xfrm>
                      <a:off x="0" y="0"/>
                      <a:ext cx="6893560" cy="9747885"/>
                    </a:xfrm>
                    <a:prstGeom prst="rect">
                      <a:avLst/>
                    </a:prstGeom>
                  </pic:spPr>
                </pic:pic>
              </a:graphicData>
            </a:graphic>
          </wp:inline>
        </w:drawing>
      </w:r>
      <w:r>
        <w:rPr>
          <w:rFonts w:hint="eastAsia"/>
          <w:color w:val="auto"/>
        </w:rPr>
        <w:drawing>
          <wp:inline distT="0" distB="0" distL="114300" distR="114300">
            <wp:extent cx="6931025" cy="9801225"/>
            <wp:effectExtent l="0" t="0" r="3175" b="9525"/>
            <wp:docPr id="141" name="图片 141" descr="罗定市人民政府关于印发罗定市生态环境保护“十四五”规划的通知（罗府[2023]1号）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罗定市人民政府关于印发罗定市生态环境保护“十四五”规划的通知（罗府[2023]1号）_45"/>
                    <pic:cNvPicPr>
                      <a:picLocks noChangeAspect="1"/>
                    </pic:cNvPicPr>
                  </pic:nvPicPr>
                  <pic:blipFill>
                    <a:blip r:embed="rId126"/>
                    <a:stretch>
                      <a:fillRect/>
                    </a:stretch>
                  </pic:blipFill>
                  <pic:spPr>
                    <a:xfrm>
                      <a:off x="0" y="0"/>
                      <a:ext cx="6931025" cy="9801225"/>
                    </a:xfrm>
                    <a:prstGeom prst="rect">
                      <a:avLst/>
                    </a:prstGeom>
                  </pic:spPr>
                </pic:pic>
              </a:graphicData>
            </a:graphic>
          </wp:inline>
        </w:drawing>
      </w:r>
      <w:r>
        <w:rPr>
          <w:rFonts w:hint="eastAsia"/>
          <w:color w:val="auto"/>
        </w:rPr>
        <w:drawing>
          <wp:inline distT="0" distB="0" distL="114300" distR="114300">
            <wp:extent cx="6807200" cy="9625965"/>
            <wp:effectExtent l="0" t="0" r="12700" b="13335"/>
            <wp:docPr id="140" name="图片 140" descr="罗定市人民政府关于印发罗定市生态环境保护“十四五”规划的通知（罗府[2023]1号）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罗定市人民政府关于印发罗定市生态环境保护“十四五”规划的通知（罗府[2023]1号）_46"/>
                    <pic:cNvPicPr>
                      <a:picLocks noChangeAspect="1"/>
                    </pic:cNvPicPr>
                  </pic:nvPicPr>
                  <pic:blipFill>
                    <a:blip r:embed="rId127"/>
                    <a:stretch>
                      <a:fillRect/>
                    </a:stretch>
                  </pic:blipFill>
                  <pic:spPr>
                    <a:xfrm>
                      <a:off x="0" y="0"/>
                      <a:ext cx="6807200" cy="9625965"/>
                    </a:xfrm>
                    <a:prstGeom prst="rect">
                      <a:avLst/>
                    </a:prstGeom>
                  </pic:spPr>
                </pic:pic>
              </a:graphicData>
            </a:graphic>
          </wp:inline>
        </w:drawing>
      </w:r>
      <w:r>
        <w:rPr>
          <w:rFonts w:hint="eastAsia"/>
          <w:color w:val="auto"/>
        </w:rPr>
        <w:drawing>
          <wp:inline distT="0" distB="0" distL="114300" distR="114300">
            <wp:extent cx="6788150" cy="9599295"/>
            <wp:effectExtent l="0" t="0" r="12700" b="1905"/>
            <wp:docPr id="139" name="图片 139" descr="罗定市人民政府关于印发罗定市生态环境保护“十四五”规划的通知（罗府[2023]1号）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罗定市人民政府关于印发罗定市生态环境保护“十四五”规划的通知（罗府[2023]1号）_47"/>
                    <pic:cNvPicPr>
                      <a:picLocks noChangeAspect="1"/>
                    </pic:cNvPicPr>
                  </pic:nvPicPr>
                  <pic:blipFill>
                    <a:blip r:embed="rId128"/>
                    <a:stretch>
                      <a:fillRect/>
                    </a:stretch>
                  </pic:blipFill>
                  <pic:spPr>
                    <a:xfrm>
                      <a:off x="0" y="0"/>
                      <a:ext cx="6788150" cy="9599295"/>
                    </a:xfrm>
                    <a:prstGeom prst="rect">
                      <a:avLst/>
                    </a:prstGeom>
                  </pic:spPr>
                </pic:pic>
              </a:graphicData>
            </a:graphic>
          </wp:inline>
        </w:drawing>
      </w:r>
      <w:r>
        <w:rPr>
          <w:rFonts w:hint="eastAsia"/>
          <w:color w:val="auto"/>
        </w:rPr>
        <w:drawing>
          <wp:inline distT="0" distB="0" distL="114300" distR="114300">
            <wp:extent cx="6960235" cy="9842500"/>
            <wp:effectExtent l="0" t="0" r="12065" b="6350"/>
            <wp:docPr id="138" name="图片 138" descr="罗定市人民政府关于印发罗定市生态环境保护“十四五”规划的通知（罗府[2023]1号）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罗定市人民政府关于印发罗定市生态环境保护“十四五”规划的通知（罗府[2023]1号）_48"/>
                    <pic:cNvPicPr>
                      <a:picLocks noChangeAspect="1"/>
                    </pic:cNvPicPr>
                  </pic:nvPicPr>
                  <pic:blipFill>
                    <a:blip r:embed="rId129"/>
                    <a:stretch>
                      <a:fillRect/>
                    </a:stretch>
                  </pic:blipFill>
                  <pic:spPr>
                    <a:xfrm>
                      <a:off x="0" y="0"/>
                      <a:ext cx="6960235" cy="9842500"/>
                    </a:xfrm>
                    <a:prstGeom prst="rect">
                      <a:avLst/>
                    </a:prstGeom>
                  </pic:spPr>
                </pic:pic>
              </a:graphicData>
            </a:graphic>
          </wp:inline>
        </w:drawing>
      </w:r>
      <w:r>
        <w:rPr>
          <w:rFonts w:hint="eastAsia"/>
          <w:color w:val="auto"/>
        </w:rPr>
        <w:drawing>
          <wp:inline distT="0" distB="0" distL="114300" distR="114300">
            <wp:extent cx="6988175" cy="9881870"/>
            <wp:effectExtent l="0" t="0" r="3175" b="5080"/>
            <wp:docPr id="137" name="图片 137" descr="罗定市人民政府关于印发罗定市生态环境保护“十四五”规划的通知（罗府[2023]1号）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罗定市人民政府关于印发罗定市生态环境保护“十四五”规划的通知（罗府[2023]1号）_49"/>
                    <pic:cNvPicPr>
                      <a:picLocks noChangeAspect="1"/>
                    </pic:cNvPicPr>
                  </pic:nvPicPr>
                  <pic:blipFill>
                    <a:blip r:embed="rId130"/>
                    <a:stretch>
                      <a:fillRect/>
                    </a:stretch>
                  </pic:blipFill>
                  <pic:spPr>
                    <a:xfrm>
                      <a:off x="0" y="0"/>
                      <a:ext cx="6988175" cy="9881870"/>
                    </a:xfrm>
                    <a:prstGeom prst="rect">
                      <a:avLst/>
                    </a:prstGeom>
                  </pic:spPr>
                </pic:pic>
              </a:graphicData>
            </a:graphic>
          </wp:inline>
        </w:drawing>
      </w:r>
      <w:r>
        <w:rPr>
          <w:rFonts w:hint="eastAsia"/>
          <w:color w:val="auto"/>
        </w:rPr>
        <w:drawing>
          <wp:inline distT="0" distB="0" distL="114300" distR="114300">
            <wp:extent cx="6852285" cy="9690100"/>
            <wp:effectExtent l="0" t="0" r="5715" b="6350"/>
            <wp:docPr id="136" name="图片 136" descr="罗定市人民政府关于印发罗定市生态环境保护“十四五”规划的通知（罗府[2023]1号）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罗定市人民政府关于印发罗定市生态环境保护“十四五”规划的通知（罗府[2023]1号）_50"/>
                    <pic:cNvPicPr>
                      <a:picLocks noChangeAspect="1"/>
                    </pic:cNvPicPr>
                  </pic:nvPicPr>
                  <pic:blipFill>
                    <a:blip r:embed="rId131"/>
                    <a:stretch>
                      <a:fillRect/>
                    </a:stretch>
                  </pic:blipFill>
                  <pic:spPr>
                    <a:xfrm>
                      <a:off x="0" y="0"/>
                      <a:ext cx="6852285" cy="9690100"/>
                    </a:xfrm>
                    <a:prstGeom prst="rect">
                      <a:avLst/>
                    </a:prstGeom>
                  </pic:spPr>
                </pic:pic>
              </a:graphicData>
            </a:graphic>
          </wp:inline>
        </w:drawing>
      </w:r>
      <w:r>
        <w:rPr>
          <w:rFonts w:hint="eastAsia"/>
          <w:color w:val="auto"/>
        </w:rPr>
        <w:drawing>
          <wp:inline distT="0" distB="0" distL="114300" distR="114300">
            <wp:extent cx="7036435" cy="9949815"/>
            <wp:effectExtent l="0" t="0" r="12065" b="13335"/>
            <wp:docPr id="135" name="图片 135" descr="罗定市人民政府关于印发罗定市生态环境保护“十四五”规划的通知（罗府[2023]1号）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罗定市人民政府关于印发罗定市生态环境保护“十四五”规划的通知（罗府[2023]1号）_51"/>
                    <pic:cNvPicPr>
                      <a:picLocks noChangeAspect="1"/>
                    </pic:cNvPicPr>
                  </pic:nvPicPr>
                  <pic:blipFill>
                    <a:blip r:embed="rId132"/>
                    <a:stretch>
                      <a:fillRect/>
                    </a:stretch>
                  </pic:blipFill>
                  <pic:spPr>
                    <a:xfrm>
                      <a:off x="0" y="0"/>
                      <a:ext cx="7036435" cy="9949815"/>
                    </a:xfrm>
                    <a:prstGeom prst="rect">
                      <a:avLst/>
                    </a:prstGeom>
                  </pic:spPr>
                </pic:pic>
              </a:graphicData>
            </a:graphic>
          </wp:inline>
        </w:drawing>
      </w:r>
      <w:r>
        <w:rPr>
          <w:rFonts w:hint="eastAsia"/>
          <w:color w:val="auto"/>
        </w:rPr>
        <w:drawing>
          <wp:inline distT="0" distB="0" distL="114300" distR="114300">
            <wp:extent cx="7016750" cy="9922510"/>
            <wp:effectExtent l="0" t="0" r="12700" b="2540"/>
            <wp:docPr id="134" name="图片 134" descr="罗定市人民政府关于印发罗定市生态环境保护“十四五”规划的通知（罗府[2023]1号）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罗定市人民政府关于印发罗定市生态环境保护“十四五”规划的通知（罗府[2023]1号）_52"/>
                    <pic:cNvPicPr>
                      <a:picLocks noChangeAspect="1"/>
                    </pic:cNvPicPr>
                  </pic:nvPicPr>
                  <pic:blipFill>
                    <a:blip r:embed="rId133"/>
                    <a:stretch>
                      <a:fillRect/>
                    </a:stretch>
                  </pic:blipFill>
                  <pic:spPr>
                    <a:xfrm>
                      <a:off x="0" y="0"/>
                      <a:ext cx="7016750" cy="9922510"/>
                    </a:xfrm>
                    <a:prstGeom prst="rect">
                      <a:avLst/>
                    </a:prstGeom>
                  </pic:spPr>
                </pic:pic>
              </a:graphicData>
            </a:graphic>
          </wp:inline>
        </w:drawing>
      </w:r>
      <w:r>
        <w:rPr>
          <w:rFonts w:hint="eastAsia"/>
          <w:color w:val="auto"/>
        </w:rPr>
        <w:drawing>
          <wp:inline distT="0" distB="0" distL="114300" distR="114300">
            <wp:extent cx="6912610" cy="9775190"/>
            <wp:effectExtent l="0" t="0" r="2540" b="16510"/>
            <wp:docPr id="133" name="图片 133" descr="罗定市人民政府关于印发罗定市生态环境保护“十四五”规划的通知（罗府[2023]1号）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罗定市人民政府关于印发罗定市生态环境保护“十四五”规划的通知（罗府[2023]1号）_53"/>
                    <pic:cNvPicPr>
                      <a:picLocks noChangeAspect="1"/>
                    </pic:cNvPicPr>
                  </pic:nvPicPr>
                  <pic:blipFill>
                    <a:blip r:embed="rId134"/>
                    <a:stretch>
                      <a:fillRect/>
                    </a:stretch>
                  </pic:blipFill>
                  <pic:spPr>
                    <a:xfrm>
                      <a:off x="0" y="0"/>
                      <a:ext cx="6912610" cy="9775190"/>
                    </a:xfrm>
                    <a:prstGeom prst="rect">
                      <a:avLst/>
                    </a:prstGeom>
                  </pic:spPr>
                </pic:pic>
              </a:graphicData>
            </a:graphic>
          </wp:inline>
        </w:drawing>
      </w:r>
      <w:r>
        <w:rPr>
          <w:rFonts w:hint="eastAsia"/>
          <w:color w:val="auto"/>
        </w:rPr>
        <w:drawing>
          <wp:inline distT="0" distB="0" distL="114300" distR="114300">
            <wp:extent cx="6893560" cy="9747885"/>
            <wp:effectExtent l="0" t="0" r="2540" b="5715"/>
            <wp:docPr id="132" name="图片 132" descr="罗定市人民政府关于印发罗定市生态环境保护“十四五”规划的通知（罗府[2023]1号）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罗定市人民政府关于印发罗定市生态环境保护“十四五”规划的通知（罗府[2023]1号）_54"/>
                    <pic:cNvPicPr>
                      <a:picLocks noChangeAspect="1"/>
                    </pic:cNvPicPr>
                  </pic:nvPicPr>
                  <pic:blipFill>
                    <a:blip r:embed="rId135"/>
                    <a:stretch>
                      <a:fillRect/>
                    </a:stretch>
                  </pic:blipFill>
                  <pic:spPr>
                    <a:xfrm>
                      <a:off x="0" y="0"/>
                      <a:ext cx="6893560" cy="9747885"/>
                    </a:xfrm>
                    <a:prstGeom prst="rect">
                      <a:avLst/>
                    </a:prstGeom>
                  </pic:spPr>
                </pic:pic>
              </a:graphicData>
            </a:graphic>
          </wp:inline>
        </w:drawing>
      </w:r>
      <w:r>
        <w:rPr>
          <w:rFonts w:hint="eastAsia"/>
          <w:color w:val="auto"/>
        </w:rPr>
        <w:drawing>
          <wp:inline distT="0" distB="0" distL="114300" distR="114300">
            <wp:extent cx="7007860" cy="9909810"/>
            <wp:effectExtent l="0" t="0" r="2540" b="15240"/>
            <wp:docPr id="131" name="图片 131" descr="罗定市人民政府关于印发罗定市生态环境保护“十四五”规划的通知（罗府[2023]1号）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罗定市人民政府关于印发罗定市生态环境保护“十四五”规划的通知（罗府[2023]1号）_55"/>
                    <pic:cNvPicPr>
                      <a:picLocks noChangeAspect="1"/>
                    </pic:cNvPicPr>
                  </pic:nvPicPr>
                  <pic:blipFill>
                    <a:blip r:embed="rId136"/>
                    <a:stretch>
                      <a:fillRect/>
                    </a:stretch>
                  </pic:blipFill>
                  <pic:spPr>
                    <a:xfrm>
                      <a:off x="0" y="0"/>
                      <a:ext cx="7007860" cy="9909810"/>
                    </a:xfrm>
                    <a:prstGeom prst="rect">
                      <a:avLst/>
                    </a:prstGeom>
                  </pic:spPr>
                </pic:pic>
              </a:graphicData>
            </a:graphic>
          </wp:inline>
        </w:drawing>
      </w:r>
      <w:r>
        <w:rPr>
          <w:rFonts w:hint="eastAsia"/>
          <w:color w:val="auto"/>
        </w:rPr>
        <w:drawing>
          <wp:inline distT="0" distB="0" distL="114300" distR="114300">
            <wp:extent cx="6826885" cy="9653905"/>
            <wp:effectExtent l="0" t="0" r="12065" b="4445"/>
            <wp:docPr id="130" name="图片 130" descr="罗定市人民政府关于印发罗定市生态环境保护“十四五”规划的通知（罗府[2023]1号）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罗定市人民政府关于印发罗定市生态环境保护“十四五”规划的通知（罗府[2023]1号）_56"/>
                    <pic:cNvPicPr>
                      <a:picLocks noChangeAspect="1"/>
                    </pic:cNvPicPr>
                  </pic:nvPicPr>
                  <pic:blipFill>
                    <a:blip r:embed="rId137"/>
                    <a:stretch>
                      <a:fillRect/>
                    </a:stretch>
                  </pic:blipFill>
                  <pic:spPr>
                    <a:xfrm>
                      <a:off x="0" y="0"/>
                      <a:ext cx="6826885" cy="9653905"/>
                    </a:xfrm>
                    <a:prstGeom prst="rect">
                      <a:avLst/>
                    </a:prstGeom>
                  </pic:spPr>
                </pic:pic>
              </a:graphicData>
            </a:graphic>
          </wp:inline>
        </w:drawing>
      </w:r>
      <w:r>
        <w:rPr>
          <w:rFonts w:hint="eastAsia"/>
          <w:color w:val="auto"/>
        </w:rPr>
        <w:drawing>
          <wp:inline distT="0" distB="0" distL="114300" distR="114300">
            <wp:extent cx="6950075" cy="9827895"/>
            <wp:effectExtent l="0" t="0" r="3175" b="1905"/>
            <wp:docPr id="129" name="图片 129" descr="罗定市人民政府关于印发罗定市生态环境保护“十四五”规划的通知（罗府[2023]1号）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罗定市人民政府关于印发罗定市生态环境保护“十四五”规划的通知（罗府[2023]1号）_57"/>
                    <pic:cNvPicPr>
                      <a:picLocks noChangeAspect="1"/>
                    </pic:cNvPicPr>
                  </pic:nvPicPr>
                  <pic:blipFill>
                    <a:blip r:embed="rId138"/>
                    <a:stretch>
                      <a:fillRect/>
                    </a:stretch>
                  </pic:blipFill>
                  <pic:spPr>
                    <a:xfrm>
                      <a:off x="0" y="0"/>
                      <a:ext cx="6950075" cy="9827895"/>
                    </a:xfrm>
                    <a:prstGeom prst="rect">
                      <a:avLst/>
                    </a:prstGeom>
                  </pic:spPr>
                </pic:pic>
              </a:graphicData>
            </a:graphic>
          </wp:inline>
        </w:drawing>
      </w:r>
      <w:r>
        <w:rPr>
          <w:rFonts w:hint="eastAsia"/>
          <w:color w:val="auto"/>
        </w:rPr>
        <w:drawing>
          <wp:inline distT="0" distB="0" distL="114300" distR="114300">
            <wp:extent cx="6912610" cy="9775190"/>
            <wp:effectExtent l="0" t="0" r="2540" b="16510"/>
            <wp:docPr id="128" name="图片 128" descr="罗定市人民政府关于印发罗定市生态环境保护“十四五”规划的通知（罗府[2023]1号）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罗定市人民政府关于印发罗定市生态环境保护“十四五”规划的通知（罗府[2023]1号）_58"/>
                    <pic:cNvPicPr>
                      <a:picLocks noChangeAspect="1"/>
                    </pic:cNvPicPr>
                  </pic:nvPicPr>
                  <pic:blipFill>
                    <a:blip r:embed="rId139"/>
                    <a:stretch>
                      <a:fillRect/>
                    </a:stretch>
                  </pic:blipFill>
                  <pic:spPr>
                    <a:xfrm>
                      <a:off x="0" y="0"/>
                      <a:ext cx="6912610" cy="9775190"/>
                    </a:xfrm>
                    <a:prstGeom prst="rect">
                      <a:avLst/>
                    </a:prstGeom>
                  </pic:spPr>
                </pic:pic>
              </a:graphicData>
            </a:graphic>
          </wp:inline>
        </w:drawing>
      </w:r>
      <w:r>
        <w:rPr>
          <w:rFonts w:hint="eastAsia"/>
          <w:color w:val="auto"/>
        </w:rPr>
        <w:drawing>
          <wp:inline distT="0" distB="0" distL="114300" distR="114300">
            <wp:extent cx="6854825" cy="9693275"/>
            <wp:effectExtent l="0" t="0" r="3175" b="3175"/>
            <wp:docPr id="127" name="图片 127" descr="罗定市人民政府关于印发罗定市生态环境保护“十四五”规划的通知（罗府[2023]1号）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罗定市人民政府关于印发罗定市生态环境保护“十四五”规划的通知（罗府[2023]1号）_59"/>
                    <pic:cNvPicPr>
                      <a:picLocks noChangeAspect="1"/>
                    </pic:cNvPicPr>
                  </pic:nvPicPr>
                  <pic:blipFill>
                    <a:blip r:embed="rId140"/>
                    <a:stretch>
                      <a:fillRect/>
                    </a:stretch>
                  </pic:blipFill>
                  <pic:spPr>
                    <a:xfrm>
                      <a:off x="0" y="0"/>
                      <a:ext cx="6854825" cy="9693275"/>
                    </a:xfrm>
                    <a:prstGeom prst="rect">
                      <a:avLst/>
                    </a:prstGeom>
                  </pic:spPr>
                </pic:pic>
              </a:graphicData>
            </a:graphic>
          </wp:inline>
        </w:drawing>
      </w:r>
      <w:r>
        <w:rPr>
          <w:rFonts w:hint="eastAsia"/>
          <w:color w:val="auto"/>
        </w:rPr>
        <w:drawing>
          <wp:inline distT="0" distB="0" distL="114300" distR="114300">
            <wp:extent cx="6492240" cy="4860925"/>
            <wp:effectExtent l="0" t="0" r="3810" b="0"/>
            <wp:docPr id="126" name="图片 126" descr="罗定市人民政府关于印发罗定市生态环境保护“十四五”规划的通知（罗府[2023]1号）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罗定市人民政府关于印发罗定市生态环境保护“十四五”规划的通知（罗府[2023]1号）_60"/>
                    <pic:cNvPicPr>
                      <a:picLocks noChangeAspect="1"/>
                    </pic:cNvPicPr>
                  </pic:nvPicPr>
                  <pic:blipFill>
                    <a:blip r:embed="rId141"/>
                    <a:srcRect l="5543"/>
                    <a:stretch>
                      <a:fillRect/>
                    </a:stretch>
                  </pic:blipFill>
                  <pic:spPr>
                    <a:xfrm>
                      <a:off x="0" y="0"/>
                      <a:ext cx="6492240" cy="4860925"/>
                    </a:xfrm>
                    <a:prstGeom prst="rect">
                      <a:avLst/>
                    </a:prstGeom>
                    <a:ln>
                      <a:noFill/>
                    </a:ln>
                  </pic:spPr>
                </pic:pic>
              </a:graphicData>
            </a:graphic>
          </wp:inline>
        </w:drawing>
      </w:r>
      <w:r>
        <w:rPr>
          <w:rFonts w:hint="eastAsia"/>
          <w:color w:val="auto"/>
        </w:rPr>
        <w:drawing>
          <wp:inline distT="0" distB="0" distL="114300" distR="114300">
            <wp:extent cx="6486525" cy="4887595"/>
            <wp:effectExtent l="0" t="0" r="9525" b="8255"/>
            <wp:docPr id="125" name="图片 125" descr="罗定市人民政府关于印发罗定市生态环境保护“十四五”规划的通知（罗府[2023]1号）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罗定市人民政府关于印发罗定市生态环境保护“十四五”规划的通知（罗府[2023]1号）_61"/>
                    <pic:cNvPicPr>
                      <a:picLocks noChangeAspect="1"/>
                    </pic:cNvPicPr>
                  </pic:nvPicPr>
                  <pic:blipFill>
                    <a:blip r:embed="rId142"/>
                    <a:srcRect l="6142"/>
                    <a:stretch>
                      <a:fillRect/>
                    </a:stretch>
                  </pic:blipFill>
                  <pic:spPr>
                    <a:xfrm>
                      <a:off x="0" y="0"/>
                      <a:ext cx="6486797" cy="4887595"/>
                    </a:xfrm>
                    <a:prstGeom prst="rect">
                      <a:avLst/>
                    </a:prstGeom>
                    <a:ln>
                      <a:noFill/>
                    </a:ln>
                  </pic:spPr>
                </pic:pic>
              </a:graphicData>
            </a:graphic>
          </wp:inline>
        </w:drawing>
      </w:r>
      <w:r>
        <w:rPr>
          <w:rFonts w:hint="eastAsia"/>
          <w:color w:val="auto"/>
        </w:rPr>
        <w:drawing>
          <wp:inline distT="0" distB="0" distL="114300" distR="114300">
            <wp:extent cx="6540500" cy="4894580"/>
            <wp:effectExtent l="0" t="0" r="0" b="1270"/>
            <wp:docPr id="124" name="图片 124" descr="罗定市人民政府关于印发罗定市生态环境保护“十四五”规划的通知（罗府[2023]1号）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罗定市人民政府关于印发罗定市生态环境保护“十四五”规划的通知（罗府[2023]1号）_62"/>
                    <pic:cNvPicPr>
                      <a:picLocks noChangeAspect="1"/>
                    </pic:cNvPicPr>
                  </pic:nvPicPr>
                  <pic:blipFill>
                    <a:blip r:embed="rId143"/>
                    <a:srcRect l="5505"/>
                    <a:stretch>
                      <a:fillRect/>
                    </a:stretch>
                  </pic:blipFill>
                  <pic:spPr>
                    <a:xfrm>
                      <a:off x="0" y="0"/>
                      <a:ext cx="6540500" cy="4894580"/>
                    </a:xfrm>
                    <a:prstGeom prst="rect">
                      <a:avLst/>
                    </a:prstGeom>
                    <a:ln>
                      <a:noFill/>
                    </a:ln>
                  </pic:spPr>
                </pic:pic>
              </a:graphicData>
            </a:graphic>
          </wp:inline>
        </w:drawing>
      </w:r>
      <w:bookmarkEnd w:id="249"/>
      <w:r>
        <w:rPr>
          <w:rFonts w:hint="eastAsia"/>
          <w:color w:val="auto"/>
        </w:rPr>
        <w:drawing>
          <wp:inline distT="0" distB="0" distL="114300" distR="114300">
            <wp:extent cx="6424295" cy="9084945"/>
            <wp:effectExtent l="0" t="0" r="6985" b="13335"/>
            <wp:docPr id="123" name="图片 123" descr="罗定市人民政府关于印发罗定市生态环境保护“十四五”规划的通知（罗府[2023]1号）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罗定市人民政府关于印发罗定市生态环境保护“十四五”规划的通知（罗府[2023]1号）_63"/>
                    <pic:cNvPicPr>
                      <a:picLocks noChangeAspect="1"/>
                    </pic:cNvPicPr>
                  </pic:nvPicPr>
                  <pic:blipFill>
                    <a:blip r:embed="rId144"/>
                    <a:stretch>
                      <a:fillRect/>
                    </a:stretch>
                  </pic:blipFill>
                  <pic:spPr>
                    <a:xfrm>
                      <a:off x="0" y="0"/>
                      <a:ext cx="6424295" cy="9084945"/>
                    </a:xfrm>
                    <a:prstGeom prst="rect">
                      <a:avLst/>
                    </a:prstGeom>
                  </pic:spPr>
                </pic:pic>
              </a:graphicData>
            </a:graphic>
          </wp:inline>
        </w:drawing>
      </w:r>
    </w:p>
    <w:p>
      <w:pPr>
        <w:rPr>
          <w:color w:val="auto"/>
        </w:rPr>
      </w:pPr>
      <w:bookmarkStart w:id="250" w:name="_Toc32483"/>
      <w:r>
        <w:rPr>
          <w:rFonts w:hint="eastAsia"/>
          <w:color w:val="auto"/>
        </w:rPr>
        <w:drawing>
          <wp:inline distT="0" distB="0" distL="114300" distR="114300">
            <wp:extent cx="6287135" cy="9706610"/>
            <wp:effectExtent l="0" t="0" r="0" b="8890"/>
            <wp:docPr id="222" name="图片 222" descr="罗定市人民政府关于印发罗定市水污染防治“十四五”规划的通知（罗府[2023]2号）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罗定市人民政府关于印发罗定市水污染防治“十四五”规划的通知（罗府[2023]2号）_00"/>
                    <pic:cNvPicPr>
                      <a:picLocks noChangeAspect="1"/>
                    </pic:cNvPicPr>
                  </pic:nvPicPr>
                  <pic:blipFill>
                    <a:blip r:embed="rId145"/>
                    <a:srcRect l="8405"/>
                    <a:stretch>
                      <a:fillRect/>
                    </a:stretch>
                  </pic:blipFill>
                  <pic:spPr>
                    <a:xfrm>
                      <a:off x="0" y="0"/>
                      <a:ext cx="6287407" cy="9706610"/>
                    </a:xfrm>
                    <a:prstGeom prst="rect">
                      <a:avLst/>
                    </a:prstGeom>
                    <a:ln>
                      <a:noFill/>
                    </a:ln>
                  </pic:spPr>
                </pic:pic>
              </a:graphicData>
            </a:graphic>
          </wp:inline>
        </w:drawing>
      </w:r>
      <w:r>
        <w:rPr>
          <w:rFonts w:hint="eastAsia"/>
          <w:color w:val="auto"/>
        </w:rPr>
        <w:drawing>
          <wp:inline distT="0" distB="0" distL="114300" distR="114300">
            <wp:extent cx="6617970" cy="9358630"/>
            <wp:effectExtent l="0" t="0" r="0" b="0"/>
            <wp:docPr id="221" name="图片 221" descr="罗定市人民政府关于印发罗定市水污染防治“十四五”规划的通知（罗府[2023]2号）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罗定市人民政府关于印发罗定市水污染防治“十四五”规划的通知（罗府[2023]2号）_01"/>
                    <pic:cNvPicPr>
                      <a:picLocks noChangeAspect="1"/>
                    </pic:cNvPicPr>
                  </pic:nvPicPr>
                  <pic:blipFill>
                    <a:blip r:embed="rId146"/>
                    <a:stretch>
                      <a:fillRect/>
                    </a:stretch>
                  </pic:blipFill>
                  <pic:spPr>
                    <a:xfrm>
                      <a:off x="0" y="0"/>
                      <a:ext cx="6621187" cy="9363173"/>
                    </a:xfrm>
                    <a:prstGeom prst="rect">
                      <a:avLst/>
                    </a:prstGeom>
                  </pic:spPr>
                </pic:pic>
              </a:graphicData>
            </a:graphic>
          </wp:inline>
        </w:drawing>
      </w:r>
      <w:r>
        <w:rPr>
          <w:rFonts w:hint="eastAsia"/>
          <w:color w:val="auto"/>
        </w:rPr>
        <w:drawing>
          <wp:inline distT="0" distB="0" distL="114300" distR="114300">
            <wp:extent cx="6351270" cy="8980805"/>
            <wp:effectExtent l="0" t="0" r="0" b="0"/>
            <wp:docPr id="220" name="图片 220" descr="罗定市人民政府关于印发罗定市水污染防治“十四五”规划的通知（罗府[2023]2号）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罗定市人民政府关于印发罗定市水污染防治“十四五”规划的通知（罗府[2023]2号）_02"/>
                    <pic:cNvPicPr>
                      <a:picLocks noChangeAspect="1"/>
                    </pic:cNvPicPr>
                  </pic:nvPicPr>
                  <pic:blipFill>
                    <a:blip r:embed="rId147"/>
                    <a:stretch>
                      <a:fillRect/>
                    </a:stretch>
                  </pic:blipFill>
                  <pic:spPr>
                    <a:xfrm>
                      <a:off x="0" y="0"/>
                      <a:ext cx="6353434" cy="8984117"/>
                    </a:xfrm>
                    <a:prstGeom prst="rect">
                      <a:avLst/>
                    </a:prstGeom>
                  </pic:spPr>
                </pic:pic>
              </a:graphicData>
            </a:graphic>
          </wp:inline>
        </w:drawing>
      </w:r>
      <w:r>
        <w:rPr>
          <w:rFonts w:hint="eastAsia"/>
          <w:color w:val="auto"/>
        </w:rPr>
        <w:drawing>
          <wp:inline distT="0" distB="0" distL="114300" distR="114300">
            <wp:extent cx="6496685" cy="9186545"/>
            <wp:effectExtent l="0" t="0" r="0" b="0"/>
            <wp:docPr id="219" name="图片 219" descr="罗定市人民政府关于印发罗定市水污染防治“十四五”规划的通知（罗府[2023]2号）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罗定市人民政府关于印发罗定市水污染防治“十四五”规划的通知（罗府[2023]2号）_03"/>
                    <pic:cNvPicPr>
                      <a:picLocks noChangeAspect="1"/>
                    </pic:cNvPicPr>
                  </pic:nvPicPr>
                  <pic:blipFill>
                    <a:blip r:embed="rId148"/>
                    <a:stretch>
                      <a:fillRect/>
                    </a:stretch>
                  </pic:blipFill>
                  <pic:spPr>
                    <a:xfrm>
                      <a:off x="0" y="0"/>
                      <a:ext cx="6500066" cy="9191371"/>
                    </a:xfrm>
                    <a:prstGeom prst="rect">
                      <a:avLst/>
                    </a:prstGeom>
                  </pic:spPr>
                </pic:pic>
              </a:graphicData>
            </a:graphic>
          </wp:inline>
        </w:drawing>
      </w:r>
      <w:r>
        <w:rPr>
          <w:rFonts w:hint="eastAsia"/>
          <w:color w:val="auto"/>
        </w:rPr>
        <w:drawing>
          <wp:inline distT="0" distB="0" distL="114300" distR="114300">
            <wp:extent cx="6591935" cy="9321800"/>
            <wp:effectExtent l="0" t="0" r="0" b="0"/>
            <wp:docPr id="218" name="图片 218" descr="罗定市人民政府关于印发罗定市水污染防治“十四五”规划的通知（罗府[2023]2号）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罗定市人民政府关于印发罗定市水污染防治“十四五”规划的通知（罗府[2023]2号）_04"/>
                    <pic:cNvPicPr>
                      <a:picLocks noChangeAspect="1"/>
                    </pic:cNvPicPr>
                  </pic:nvPicPr>
                  <pic:blipFill>
                    <a:blip r:embed="rId149"/>
                    <a:stretch>
                      <a:fillRect/>
                    </a:stretch>
                  </pic:blipFill>
                  <pic:spPr>
                    <a:xfrm>
                      <a:off x="0" y="0"/>
                      <a:ext cx="6594868" cy="9325740"/>
                    </a:xfrm>
                    <a:prstGeom prst="rect">
                      <a:avLst/>
                    </a:prstGeom>
                  </pic:spPr>
                </pic:pic>
              </a:graphicData>
            </a:graphic>
          </wp:inline>
        </w:drawing>
      </w:r>
      <w:r>
        <w:rPr>
          <w:rFonts w:hint="eastAsia"/>
          <w:color w:val="auto"/>
        </w:rPr>
        <w:drawing>
          <wp:inline distT="0" distB="0" distL="114300" distR="114300">
            <wp:extent cx="6473190" cy="9154160"/>
            <wp:effectExtent l="0" t="0" r="3810" b="0"/>
            <wp:docPr id="217" name="图片 217" descr="罗定市人民政府关于印发罗定市水污染防治“十四五”规划的通知（罗府[2023]2号）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罗定市人民政府关于印发罗定市水污染防治“十四五”规划的通知（罗府[2023]2号）_05"/>
                    <pic:cNvPicPr>
                      <a:picLocks noChangeAspect="1"/>
                    </pic:cNvPicPr>
                  </pic:nvPicPr>
                  <pic:blipFill>
                    <a:blip r:embed="rId150"/>
                    <a:stretch>
                      <a:fillRect/>
                    </a:stretch>
                  </pic:blipFill>
                  <pic:spPr>
                    <a:xfrm>
                      <a:off x="0" y="0"/>
                      <a:ext cx="6476519" cy="9158198"/>
                    </a:xfrm>
                    <a:prstGeom prst="rect">
                      <a:avLst/>
                    </a:prstGeom>
                  </pic:spPr>
                </pic:pic>
              </a:graphicData>
            </a:graphic>
          </wp:inline>
        </w:drawing>
      </w:r>
      <w:r>
        <w:rPr>
          <w:rFonts w:hint="eastAsia"/>
          <w:color w:val="auto"/>
        </w:rPr>
        <w:drawing>
          <wp:inline distT="0" distB="0" distL="114300" distR="114300">
            <wp:extent cx="6543675" cy="9253855"/>
            <wp:effectExtent l="0" t="0" r="9525" b="4445"/>
            <wp:docPr id="216" name="图片 216" descr="罗定市人民政府关于印发罗定市水污染防治“十四五”规划的通知（罗府[2023]2号）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罗定市人民政府关于印发罗定市水污染防治“十四五”规划的通知（罗府[2023]2号）_06"/>
                    <pic:cNvPicPr>
                      <a:picLocks noChangeAspect="1"/>
                    </pic:cNvPicPr>
                  </pic:nvPicPr>
                  <pic:blipFill>
                    <a:blip r:embed="rId151"/>
                    <a:stretch>
                      <a:fillRect/>
                    </a:stretch>
                  </pic:blipFill>
                  <pic:spPr>
                    <a:xfrm>
                      <a:off x="0" y="0"/>
                      <a:ext cx="6547518" cy="9258463"/>
                    </a:xfrm>
                    <a:prstGeom prst="rect">
                      <a:avLst/>
                    </a:prstGeom>
                  </pic:spPr>
                </pic:pic>
              </a:graphicData>
            </a:graphic>
          </wp:inline>
        </w:drawing>
      </w:r>
      <w:r>
        <w:rPr>
          <w:rFonts w:hint="eastAsia"/>
          <w:color w:val="auto"/>
        </w:rPr>
        <w:drawing>
          <wp:inline distT="0" distB="0" distL="114300" distR="114300">
            <wp:extent cx="6571615" cy="9293225"/>
            <wp:effectExtent l="0" t="0" r="635" b="3175"/>
            <wp:docPr id="215" name="图片 215" descr="罗定市人民政府关于印发罗定市水污染防治“十四五”规划的通知（罗府[2023]2号）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罗定市人民政府关于印发罗定市水污染防治“十四五”规划的通知（罗府[2023]2号）_07"/>
                    <pic:cNvPicPr>
                      <a:picLocks noChangeAspect="1"/>
                    </pic:cNvPicPr>
                  </pic:nvPicPr>
                  <pic:blipFill>
                    <a:blip r:embed="rId152"/>
                    <a:stretch>
                      <a:fillRect/>
                    </a:stretch>
                  </pic:blipFill>
                  <pic:spPr>
                    <a:xfrm>
                      <a:off x="0" y="0"/>
                      <a:ext cx="6574318" cy="9296739"/>
                    </a:xfrm>
                    <a:prstGeom prst="rect">
                      <a:avLst/>
                    </a:prstGeom>
                  </pic:spPr>
                </pic:pic>
              </a:graphicData>
            </a:graphic>
          </wp:inline>
        </w:drawing>
      </w:r>
      <w:r>
        <w:rPr>
          <w:rFonts w:hint="eastAsia"/>
          <w:color w:val="auto"/>
        </w:rPr>
        <w:drawing>
          <wp:inline distT="0" distB="0" distL="114300" distR="114300">
            <wp:extent cx="6353810" cy="8984615"/>
            <wp:effectExtent l="0" t="0" r="8890" b="6985"/>
            <wp:docPr id="214" name="图片 214" descr="罗定市人民政府关于印发罗定市水污染防治“十四五”规划的通知（罗府[2023]2号）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罗定市人民政府关于印发罗定市水污染防治“十四五”规划的通知（罗府[2023]2号）_08"/>
                    <pic:cNvPicPr>
                      <a:picLocks noChangeAspect="1"/>
                    </pic:cNvPicPr>
                  </pic:nvPicPr>
                  <pic:blipFill>
                    <a:blip r:embed="rId153"/>
                    <a:stretch>
                      <a:fillRect/>
                    </a:stretch>
                  </pic:blipFill>
                  <pic:spPr>
                    <a:xfrm>
                      <a:off x="0" y="0"/>
                      <a:ext cx="6357918" cy="8990484"/>
                    </a:xfrm>
                    <a:prstGeom prst="rect">
                      <a:avLst/>
                    </a:prstGeom>
                  </pic:spPr>
                </pic:pic>
              </a:graphicData>
            </a:graphic>
          </wp:inline>
        </w:drawing>
      </w:r>
      <w:r>
        <w:rPr>
          <w:rFonts w:hint="eastAsia"/>
          <w:color w:val="auto"/>
        </w:rPr>
        <w:drawing>
          <wp:inline distT="0" distB="0" distL="114300" distR="114300">
            <wp:extent cx="6489065" cy="9176385"/>
            <wp:effectExtent l="0" t="0" r="6985" b="5715"/>
            <wp:docPr id="213" name="图片 213" descr="罗定市人民政府关于印发罗定市水污染防治“十四五”规划的通知（罗府[2023]2号）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罗定市人民政府关于印发罗定市水污染防治“十四五”规划的通知（罗府[2023]2号）_09"/>
                    <pic:cNvPicPr>
                      <a:picLocks noChangeAspect="1"/>
                    </pic:cNvPicPr>
                  </pic:nvPicPr>
                  <pic:blipFill>
                    <a:blip r:embed="rId154"/>
                    <a:stretch>
                      <a:fillRect/>
                    </a:stretch>
                  </pic:blipFill>
                  <pic:spPr>
                    <a:xfrm>
                      <a:off x="0" y="0"/>
                      <a:ext cx="6491865" cy="9179739"/>
                    </a:xfrm>
                    <a:prstGeom prst="rect">
                      <a:avLst/>
                    </a:prstGeom>
                  </pic:spPr>
                </pic:pic>
              </a:graphicData>
            </a:graphic>
          </wp:inline>
        </w:drawing>
      </w:r>
      <w:r>
        <w:rPr>
          <w:rFonts w:hint="eastAsia"/>
          <w:color w:val="auto"/>
        </w:rPr>
        <w:drawing>
          <wp:inline distT="0" distB="0" distL="114300" distR="114300">
            <wp:extent cx="6845935" cy="9680575"/>
            <wp:effectExtent l="0" t="0" r="12065" b="15875"/>
            <wp:docPr id="212" name="图片 212" descr="罗定市人民政府关于印发罗定市水污染防治“十四五”规划的通知（罗府[2023]2号）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罗定市人民政府关于印发罗定市水污染防治“十四五”规划的通知（罗府[2023]2号）_10"/>
                    <pic:cNvPicPr>
                      <a:picLocks noChangeAspect="1"/>
                    </pic:cNvPicPr>
                  </pic:nvPicPr>
                  <pic:blipFill>
                    <a:blip r:embed="rId155"/>
                    <a:stretch>
                      <a:fillRect/>
                    </a:stretch>
                  </pic:blipFill>
                  <pic:spPr>
                    <a:xfrm>
                      <a:off x="0" y="0"/>
                      <a:ext cx="6845935" cy="9680575"/>
                    </a:xfrm>
                    <a:prstGeom prst="rect">
                      <a:avLst/>
                    </a:prstGeom>
                  </pic:spPr>
                </pic:pic>
              </a:graphicData>
            </a:graphic>
          </wp:inline>
        </w:drawing>
      </w:r>
      <w:r>
        <w:rPr>
          <w:rFonts w:hint="eastAsia"/>
          <w:color w:val="auto"/>
        </w:rPr>
        <w:drawing>
          <wp:inline distT="0" distB="0" distL="114300" distR="114300">
            <wp:extent cx="6455410" cy="9128125"/>
            <wp:effectExtent l="0" t="0" r="2540" b="0"/>
            <wp:docPr id="211" name="图片 211" descr="罗定市人民政府关于印发罗定市水污染防治“十四五”规划的通知（罗府[2023]2号）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罗定市人民政府关于印发罗定市水污染防治“十四五”规划的通知（罗府[2023]2号）_11"/>
                    <pic:cNvPicPr>
                      <a:picLocks noChangeAspect="1"/>
                    </pic:cNvPicPr>
                  </pic:nvPicPr>
                  <pic:blipFill>
                    <a:blip r:embed="rId156"/>
                    <a:stretch>
                      <a:fillRect/>
                    </a:stretch>
                  </pic:blipFill>
                  <pic:spPr>
                    <a:xfrm>
                      <a:off x="0" y="0"/>
                      <a:ext cx="6458122" cy="9132494"/>
                    </a:xfrm>
                    <a:prstGeom prst="rect">
                      <a:avLst/>
                    </a:prstGeom>
                  </pic:spPr>
                </pic:pic>
              </a:graphicData>
            </a:graphic>
          </wp:inline>
        </w:drawing>
      </w:r>
      <w:r>
        <w:rPr>
          <w:rFonts w:hint="eastAsia"/>
          <w:color w:val="auto"/>
        </w:rPr>
        <w:drawing>
          <wp:inline distT="0" distB="0" distL="114300" distR="114300">
            <wp:extent cx="7197090" cy="5089525"/>
            <wp:effectExtent l="0" t="0" r="3810" b="15875"/>
            <wp:docPr id="210" name="图片 210" descr="罗定市人民政府关于印发罗定市水污染防治“十四五”规划的通知（罗府[2023]2号）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罗定市人民政府关于印发罗定市水污染防治“十四五”规划的通知（罗府[2023]2号）_12"/>
                    <pic:cNvPicPr>
                      <a:picLocks noChangeAspect="1"/>
                    </pic:cNvPicPr>
                  </pic:nvPicPr>
                  <pic:blipFill>
                    <a:blip r:embed="rId157"/>
                    <a:stretch>
                      <a:fillRect/>
                    </a:stretch>
                  </pic:blipFill>
                  <pic:spPr>
                    <a:xfrm>
                      <a:off x="0" y="0"/>
                      <a:ext cx="7197090" cy="5089525"/>
                    </a:xfrm>
                    <a:prstGeom prst="rect">
                      <a:avLst/>
                    </a:prstGeom>
                  </pic:spPr>
                </pic:pic>
              </a:graphicData>
            </a:graphic>
          </wp:inline>
        </w:drawing>
      </w:r>
      <w:r>
        <w:rPr>
          <w:rFonts w:hint="eastAsia"/>
          <w:color w:val="auto"/>
        </w:rPr>
        <w:drawing>
          <wp:inline distT="0" distB="0" distL="114300" distR="114300">
            <wp:extent cx="6569710" cy="9290050"/>
            <wp:effectExtent l="0" t="0" r="2540" b="6350"/>
            <wp:docPr id="209" name="图片 209" descr="罗定市人民政府关于印发罗定市水污染防治“十四五”规划的通知（罗府[2023]2号）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罗定市人民政府关于印发罗定市水污染防治“十四五”规划的通知（罗府[2023]2号）_13"/>
                    <pic:cNvPicPr>
                      <a:picLocks noChangeAspect="1"/>
                    </pic:cNvPicPr>
                  </pic:nvPicPr>
                  <pic:blipFill>
                    <a:blip r:embed="rId158"/>
                    <a:stretch>
                      <a:fillRect/>
                    </a:stretch>
                  </pic:blipFill>
                  <pic:spPr>
                    <a:xfrm>
                      <a:off x="0" y="0"/>
                      <a:ext cx="6573218" cy="9294997"/>
                    </a:xfrm>
                    <a:prstGeom prst="rect">
                      <a:avLst/>
                    </a:prstGeom>
                  </pic:spPr>
                </pic:pic>
              </a:graphicData>
            </a:graphic>
          </wp:inline>
        </w:drawing>
      </w:r>
      <w:r>
        <w:rPr>
          <w:rFonts w:hint="eastAsia"/>
          <w:color w:val="auto"/>
        </w:rPr>
        <w:drawing>
          <wp:inline distT="0" distB="0" distL="114300" distR="114300">
            <wp:extent cx="6836410" cy="9667240"/>
            <wp:effectExtent l="0" t="0" r="2540" b="10160"/>
            <wp:docPr id="208" name="图片 208" descr="罗定市人民政府关于印发罗定市水污染防治“十四五”规划的通知（罗府[2023]2号）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罗定市人民政府关于印发罗定市水污染防治“十四五”规划的通知（罗府[2023]2号）_14"/>
                    <pic:cNvPicPr>
                      <a:picLocks noChangeAspect="1"/>
                    </pic:cNvPicPr>
                  </pic:nvPicPr>
                  <pic:blipFill>
                    <a:blip r:embed="rId159"/>
                    <a:stretch>
                      <a:fillRect/>
                    </a:stretch>
                  </pic:blipFill>
                  <pic:spPr>
                    <a:xfrm>
                      <a:off x="0" y="0"/>
                      <a:ext cx="6836410" cy="9667240"/>
                    </a:xfrm>
                    <a:prstGeom prst="rect">
                      <a:avLst/>
                    </a:prstGeom>
                  </pic:spPr>
                </pic:pic>
              </a:graphicData>
            </a:graphic>
          </wp:inline>
        </w:drawing>
      </w:r>
      <w:r>
        <w:rPr>
          <w:rFonts w:hint="eastAsia"/>
          <w:color w:val="auto"/>
        </w:rPr>
        <w:drawing>
          <wp:inline distT="0" distB="0" distL="114300" distR="114300">
            <wp:extent cx="6721475" cy="9504680"/>
            <wp:effectExtent l="0" t="0" r="3175" b="1270"/>
            <wp:docPr id="207" name="图片 207" descr="罗定市人民政府关于印发罗定市水污染防治“十四五”规划的通知（罗府[2023]2号）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罗定市人民政府关于印发罗定市水污染防治“十四五”规划的通知（罗府[2023]2号）_15"/>
                    <pic:cNvPicPr>
                      <a:picLocks noChangeAspect="1"/>
                    </pic:cNvPicPr>
                  </pic:nvPicPr>
                  <pic:blipFill>
                    <a:blip r:embed="rId160"/>
                    <a:stretch>
                      <a:fillRect/>
                    </a:stretch>
                  </pic:blipFill>
                  <pic:spPr>
                    <a:xfrm>
                      <a:off x="0" y="0"/>
                      <a:ext cx="6721475" cy="9504680"/>
                    </a:xfrm>
                    <a:prstGeom prst="rect">
                      <a:avLst/>
                    </a:prstGeom>
                  </pic:spPr>
                </pic:pic>
              </a:graphicData>
            </a:graphic>
          </wp:inline>
        </w:drawing>
      </w:r>
      <w:r>
        <w:rPr>
          <w:rFonts w:hint="eastAsia"/>
          <w:color w:val="auto"/>
        </w:rPr>
        <w:drawing>
          <wp:inline distT="0" distB="0" distL="114300" distR="114300">
            <wp:extent cx="6978650" cy="9868535"/>
            <wp:effectExtent l="0" t="0" r="12700" b="18415"/>
            <wp:docPr id="206" name="图片 206" descr="罗定市人民政府关于印发罗定市水污染防治“十四五”规划的通知（罗府[2023]2号）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罗定市人民政府关于印发罗定市水污染防治“十四五”规划的通知（罗府[2023]2号）_16"/>
                    <pic:cNvPicPr>
                      <a:picLocks noChangeAspect="1"/>
                    </pic:cNvPicPr>
                  </pic:nvPicPr>
                  <pic:blipFill>
                    <a:blip r:embed="rId161"/>
                    <a:stretch>
                      <a:fillRect/>
                    </a:stretch>
                  </pic:blipFill>
                  <pic:spPr>
                    <a:xfrm>
                      <a:off x="0" y="0"/>
                      <a:ext cx="6978650" cy="9868535"/>
                    </a:xfrm>
                    <a:prstGeom prst="rect">
                      <a:avLst/>
                    </a:prstGeom>
                  </pic:spPr>
                </pic:pic>
              </a:graphicData>
            </a:graphic>
          </wp:inline>
        </w:drawing>
      </w:r>
      <w:r>
        <w:rPr>
          <w:rFonts w:hint="eastAsia"/>
          <w:color w:val="auto"/>
        </w:rPr>
        <w:drawing>
          <wp:inline distT="0" distB="0" distL="114300" distR="114300">
            <wp:extent cx="6874510" cy="9721215"/>
            <wp:effectExtent l="0" t="0" r="2540" b="13335"/>
            <wp:docPr id="205" name="图片 205" descr="罗定市人民政府关于印发罗定市水污染防治“十四五”规划的通知（罗府[2023]2号）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罗定市人民政府关于印发罗定市水污染防治“十四五”规划的通知（罗府[2023]2号）_17"/>
                    <pic:cNvPicPr>
                      <a:picLocks noChangeAspect="1"/>
                    </pic:cNvPicPr>
                  </pic:nvPicPr>
                  <pic:blipFill>
                    <a:blip r:embed="rId162"/>
                    <a:stretch>
                      <a:fillRect/>
                    </a:stretch>
                  </pic:blipFill>
                  <pic:spPr>
                    <a:xfrm>
                      <a:off x="0" y="0"/>
                      <a:ext cx="6874510" cy="9721215"/>
                    </a:xfrm>
                    <a:prstGeom prst="rect">
                      <a:avLst/>
                    </a:prstGeom>
                  </pic:spPr>
                </pic:pic>
              </a:graphicData>
            </a:graphic>
          </wp:inline>
        </w:drawing>
      </w:r>
      <w:r>
        <w:rPr>
          <w:rFonts w:hint="eastAsia"/>
          <w:color w:val="auto"/>
        </w:rPr>
        <w:drawing>
          <wp:inline distT="0" distB="0" distL="114300" distR="114300">
            <wp:extent cx="6998335" cy="9896475"/>
            <wp:effectExtent l="0" t="0" r="12065" b="9525"/>
            <wp:docPr id="204" name="图片 204" descr="罗定市人民政府关于印发罗定市水污染防治“十四五”规划的通知（罗府[2023]2号）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罗定市人民政府关于印发罗定市水污染防治“十四五”规划的通知（罗府[2023]2号）_18"/>
                    <pic:cNvPicPr>
                      <a:picLocks noChangeAspect="1"/>
                    </pic:cNvPicPr>
                  </pic:nvPicPr>
                  <pic:blipFill>
                    <a:blip r:embed="rId163"/>
                    <a:stretch>
                      <a:fillRect/>
                    </a:stretch>
                  </pic:blipFill>
                  <pic:spPr>
                    <a:xfrm>
                      <a:off x="0" y="0"/>
                      <a:ext cx="6998335" cy="9896475"/>
                    </a:xfrm>
                    <a:prstGeom prst="rect">
                      <a:avLst/>
                    </a:prstGeom>
                  </pic:spPr>
                </pic:pic>
              </a:graphicData>
            </a:graphic>
          </wp:inline>
        </w:drawing>
      </w:r>
      <w:r>
        <w:rPr>
          <w:rFonts w:hint="eastAsia"/>
          <w:color w:val="auto"/>
        </w:rPr>
        <w:drawing>
          <wp:inline distT="0" distB="0" distL="114300" distR="114300">
            <wp:extent cx="6836410" cy="9667240"/>
            <wp:effectExtent l="0" t="0" r="2540" b="10160"/>
            <wp:docPr id="203" name="图片 203" descr="罗定市人民政府关于印发罗定市水污染防治“十四五”规划的通知（罗府[2023]2号）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罗定市人民政府关于印发罗定市水污染防治“十四五”规划的通知（罗府[2023]2号）_19"/>
                    <pic:cNvPicPr>
                      <a:picLocks noChangeAspect="1"/>
                    </pic:cNvPicPr>
                  </pic:nvPicPr>
                  <pic:blipFill>
                    <a:blip r:embed="rId164"/>
                    <a:stretch>
                      <a:fillRect/>
                    </a:stretch>
                  </pic:blipFill>
                  <pic:spPr>
                    <a:xfrm>
                      <a:off x="0" y="0"/>
                      <a:ext cx="6836410" cy="9667240"/>
                    </a:xfrm>
                    <a:prstGeom prst="rect">
                      <a:avLst/>
                    </a:prstGeom>
                  </pic:spPr>
                </pic:pic>
              </a:graphicData>
            </a:graphic>
          </wp:inline>
        </w:drawing>
      </w:r>
      <w:r>
        <w:rPr>
          <w:rFonts w:hint="eastAsia"/>
          <w:color w:val="auto"/>
        </w:rPr>
        <w:drawing>
          <wp:inline distT="0" distB="0" distL="114300" distR="114300">
            <wp:extent cx="6511290" cy="9208135"/>
            <wp:effectExtent l="0" t="0" r="3810" b="0"/>
            <wp:docPr id="202" name="图片 202" descr="罗定市人民政府关于印发罗定市水污染防治“十四五”规划的通知（罗府[2023]2号）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罗定市人民政府关于印发罗定市水污染防治“十四五”规划的通知（罗府[2023]2号）_20"/>
                    <pic:cNvPicPr>
                      <a:picLocks noChangeAspect="1"/>
                    </pic:cNvPicPr>
                  </pic:nvPicPr>
                  <pic:blipFill>
                    <a:blip r:embed="rId165"/>
                    <a:stretch>
                      <a:fillRect/>
                    </a:stretch>
                  </pic:blipFill>
                  <pic:spPr>
                    <a:xfrm>
                      <a:off x="0" y="0"/>
                      <a:ext cx="6514318" cy="9211742"/>
                    </a:xfrm>
                    <a:prstGeom prst="rect">
                      <a:avLst/>
                    </a:prstGeom>
                  </pic:spPr>
                </pic:pic>
              </a:graphicData>
            </a:graphic>
          </wp:inline>
        </w:drawing>
      </w:r>
      <w:r>
        <w:rPr>
          <w:rFonts w:hint="eastAsia"/>
          <w:color w:val="auto"/>
        </w:rPr>
        <w:drawing>
          <wp:inline distT="0" distB="0" distL="114300" distR="114300">
            <wp:extent cx="6633210" cy="9380220"/>
            <wp:effectExtent l="0" t="0" r="0" b="0"/>
            <wp:docPr id="201" name="图片 201" descr="罗定市人民政府关于印发罗定市水污染防治“十四五”规划的通知（罗府[2023]2号）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罗定市人民政府关于印发罗定市水污染防治“十四五”规划的通知（罗府[2023]2号）_21"/>
                    <pic:cNvPicPr>
                      <a:picLocks noChangeAspect="1"/>
                    </pic:cNvPicPr>
                  </pic:nvPicPr>
                  <pic:blipFill>
                    <a:blip r:embed="rId166"/>
                    <a:stretch>
                      <a:fillRect/>
                    </a:stretch>
                  </pic:blipFill>
                  <pic:spPr>
                    <a:xfrm>
                      <a:off x="0" y="0"/>
                      <a:ext cx="6635077" cy="9382723"/>
                    </a:xfrm>
                    <a:prstGeom prst="rect">
                      <a:avLst/>
                    </a:prstGeom>
                  </pic:spPr>
                </pic:pic>
              </a:graphicData>
            </a:graphic>
          </wp:inline>
        </w:drawing>
      </w:r>
      <w:r>
        <w:rPr>
          <w:rFonts w:hint="eastAsia"/>
          <w:color w:val="auto"/>
        </w:rPr>
        <w:drawing>
          <wp:inline distT="0" distB="0" distL="114300" distR="114300">
            <wp:extent cx="6424295" cy="9084310"/>
            <wp:effectExtent l="0" t="0" r="0" b="2540"/>
            <wp:docPr id="200" name="图片 200" descr="罗定市人民政府关于印发罗定市水污染防治“十四五”规划的通知（罗府[2023]2号）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罗定市人民政府关于印发罗定市水污染防治“十四五”规划的通知（罗府[2023]2号）_22"/>
                    <pic:cNvPicPr>
                      <a:picLocks noChangeAspect="1"/>
                    </pic:cNvPicPr>
                  </pic:nvPicPr>
                  <pic:blipFill>
                    <a:blip r:embed="rId167"/>
                    <a:stretch>
                      <a:fillRect/>
                    </a:stretch>
                  </pic:blipFill>
                  <pic:spPr>
                    <a:xfrm>
                      <a:off x="0" y="0"/>
                      <a:ext cx="6427339" cy="9088498"/>
                    </a:xfrm>
                    <a:prstGeom prst="rect">
                      <a:avLst/>
                    </a:prstGeom>
                  </pic:spPr>
                </pic:pic>
              </a:graphicData>
            </a:graphic>
          </wp:inline>
        </w:drawing>
      </w:r>
      <w:r>
        <w:rPr>
          <w:rFonts w:hint="eastAsia"/>
          <w:color w:val="auto"/>
        </w:rPr>
        <w:drawing>
          <wp:inline distT="0" distB="0" distL="114300" distR="114300">
            <wp:extent cx="6263005" cy="8856345"/>
            <wp:effectExtent l="0" t="0" r="4445" b="1905"/>
            <wp:docPr id="199" name="图片 199" descr="罗定市人民政府关于印发罗定市水污染防治“十四五”规划的通知（罗府[2023]2号）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罗定市人民政府关于印发罗定市水污染防治“十四五”规划的通知（罗府[2023]2号）_23"/>
                    <pic:cNvPicPr>
                      <a:picLocks noChangeAspect="1"/>
                    </pic:cNvPicPr>
                  </pic:nvPicPr>
                  <pic:blipFill>
                    <a:blip r:embed="rId168"/>
                    <a:stretch>
                      <a:fillRect/>
                    </a:stretch>
                  </pic:blipFill>
                  <pic:spPr>
                    <a:xfrm>
                      <a:off x="0" y="0"/>
                      <a:ext cx="6265331" cy="8859533"/>
                    </a:xfrm>
                    <a:prstGeom prst="rect">
                      <a:avLst/>
                    </a:prstGeom>
                  </pic:spPr>
                </pic:pic>
              </a:graphicData>
            </a:graphic>
          </wp:inline>
        </w:drawing>
      </w:r>
      <w:r>
        <w:rPr>
          <w:rFonts w:hint="eastAsia"/>
          <w:color w:val="auto"/>
        </w:rPr>
        <w:drawing>
          <wp:inline distT="0" distB="0" distL="114300" distR="114300">
            <wp:extent cx="6434455" cy="9099550"/>
            <wp:effectExtent l="0" t="0" r="4445" b="6350"/>
            <wp:docPr id="198" name="图片 198" descr="罗定市人民政府关于印发罗定市水污染防治“十四五”规划的通知（罗府[2023]2号）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罗定市人民政府关于印发罗定市水污染防治“十四五”规划的通知（罗府[2023]2号）_24"/>
                    <pic:cNvPicPr>
                      <a:picLocks noChangeAspect="1"/>
                    </pic:cNvPicPr>
                  </pic:nvPicPr>
                  <pic:blipFill>
                    <a:blip r:embed="rId169"/>
                    <a:stretch>
                      <a:fillRect/>
                    </a:stretch>
                  </pic:blipFill>
                  <pic:spPr>
                    <a:xfrm>
                      <a:off x="0" y="0"/>
                      <a:ext cx="6438418" cy="9104686"/>
                    </a:xfrm>
                    <a:prstGeom prst="rect">
                      <a:avLst/>
                    </a:prstGeom>
                  </pic:spPr>
                </pic:pic>
              </a:graphicData>
            </a:graphic>
          </wp:inline>
        </w:drawing>
      </w:r>
      <w:r>
        <w:rPr>
          <w:rFonts w:hint="eastAsia"/>
          <w:color w:val="auto"/>
        </w:rPr>
        <w:drawing>
          <wp:inline distT="0" distB="0" distL="114300" distR="114300">
            <wp:extent cx="6644005" cy="9394825"/>
            <wp:effectExtent l="0" t="0" r="4445" b="0"/>
            <wp:docPr id="197" name="图片 197" descr="罗定市人民政府关于印发罗定市水污染防治“十四五”规划的通知（罗府[2023]2号）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罗定市人民政府关于印发罗定市水污染防治“十四五”规划的通知（罗府[2023]2号）_25"/>
                    <pic:cNvPicPr>
                      <a:picLocks noChangeAspect="1"/>
                    </pic:cNvPicPr>
                  </pic:nvPicPr>
                  <pic:blipFill>
                    <a:blip r:embed="rId170"/>
                    <a:stretch>
                      <a:fillRect/>
                    </a:stretch>
                  </pic:blipFill>
                  <pic:spPr>
                    <a:xfrm>
                      <a:off x="0" y="0"/>
                      <a:ext cx="6645781" cy="9397540"/>
                    </a:xfrm>
                    <a:prstGeom prst="rect">
                      <a:avLst/>
                    </a:prstGeom>
                  </pic:spPr>
                </pic:pic>
              </a:graphicData>
            </a:graphic>
          </wp:inline>
        </w:drawing>
      </w:r>
      <w:r>
        <w:rPr>
          <w:rFonts w:hint="eastAsia"/>
          <w:color w:val="auto"/>
        </w:rPr>
        <w:drawing>
          <wp:inline distT="0" distB="0" distL="114300" distR="114300">
            <wp:extent cx="6208395" cy="8779510"/>
            <wp:effectExtent l="0" t="0" r="1905" b="2540"/>
            <wp:docPr id="196" name="图片 196" descr="罗定市人民政府关于印发罗定市水污染防治“十四五”规划的通知（罗府[2023]2号）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罗定市人民政府关于印发罗定市水污染防治“十四五”规划的通知（罗府[2023]2号）_26"/>
                    <pic:cNvPicPr>
                      <a:picLocks noChangeAspect="1"/>
                    </pic:cNvPicPr>
                  </pic:nvPicPr>
                  <pic:blipFill>
                    <a:blip r:embed="rId171"/>
                    <a:stretch>
                      <a:fillRect/>
                    </a:stretch>
                  </pic:blipFill>
                  <pic:spPr>
                    <a:xfrm>
                      <a:off x="0" y="0"/>
                      <a:ext cx="6212081" cy="8784613"/>
                    </a:xfrm>
                    <a:prstGeom prst="rect">
                      <a:avLst/>
                    </a:prstGeom>
                  </pic:spPr>
                </pic:pic>
              </a:graphicData>
            </a:graphic>
          </wp:inline>
        </w:drawing>
      </w:r>
      <w:r>
        <w:rPr>
          <w:rFonts w:hint="eastAsia"/>
          <w:color w:val="auto"/>
        </w:rPr>
        <w:drawing>
          <wp:inline distT="0" distB="0" distL="114300" distR="114300">
            <wp:extent cx="6059805" cy="8569325"/>
            <wp:effectExtent l="0" t="0" r="0" b="3175"/>
            <wp:docPr id="195" name="图片 195" descr="罗定市人民政府关于印发罗定市水污染防治“十四五”规划的通知（罗府[2023]2号）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罗定市人民政府关于印发罗定市水污染防治“十四五”规划的通知（罗府[2023]2号）_27"/>
                    <pic:cNvPicPr>
                      <a:picLocks noChangeAspect="1"/>
                    </pic:cNvPicPr>
                  </pic:nvPicPr>
                  <pic:blipFill>
                    <a:blip r:embed="rId172"/>
                    <a:stretch>
                      <a:fillRect/>
                    </a:stretch>
                  </pic:blipFill>
                  <pic:spPr>
                    <a:xfrm>
                      <a:off x="0" y="0"/>
                      <a:ext cx="6062320" cy="8572733"/>
                    </a:xfrm>
                    <a:prstGeom prst="rect">
                      <a:avLst/>
                    </a:prstGeom>
                  </pic:spPr>
                </pic:pic>
              </a:graphicData>
            </a:graphic>
          </wp:inline>
        </w:drawing>
      </w:r>
      <w:r>
        <w:rPr>
          <w:rFonts w:hint="eastAsia"/>
          <w:color w:val="auto"/>
        </w:rPr>
        <w:drawing>
          <wp:inline distT="0" distB="0" distL="114300" distR="114300">
            <wp:extent cx="6189980" cy="8753475"/>
            <wp:effectExtent l="0" t="0" r="1270" b="0"/>
            <wp:docPr id="194" name="图片 194" descr="罗定市人民政府关于印发罗定市水污染防治“十四五”规划的通知（罗府[2023]2号）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罗定市人民政府关于印发罗定市水污染防治“十四五”规划的通知（罗府[2023]2号）_28"/>
                    <pic:cNvPicPr>
                      <a:picLocks noChangeAspect="1"/>
                    </pic:cNvPicPr>
                  </pic:nvPicPr>
                  <pic:blipFill>
                    <a:blip r:embed="rId173"/>
                    <a:stretch>
                      <a:fillRect/>
                    </a:stretch>
                  </pic:blipFill>
                  <pic:spPr>
                    <a:xfrm>
                      <a:off x="0" y="0"/>
                      <a:ext cx="6195927" cy="8761776"/>
                    </a:xfrm>
                    <a:prstGeom prst="rect">
                      <a:avLst/>
                    </a:prstGeom>
                  </pic:spPr>
                </pic:pic>
              </a:graphicData>
            </a:graphic>
          </wp:inline>
        </w:drawing>
      </w:r>
      <w:r>
        <w:rPr>
          <w:rFonts w:hint="eastAsia"/>
          <w:color w:val="auto"/>
        </w:rPr>
        <w:drawing>
          <wp:inline distT="0" distB="0" distL="114300" distR="114300">
            <wp:extent cx="6349365" cy="8978900"/>
            <wp:effectExtent l="0" t="0" r="0" b="0"/>
            <wp:docPr id="193" name="图片 193" descr="罗定市人民政府关于印发罗定市水污染防治“十四五”规划的通知（罗府[2023]2号）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罗定市人民政府关于印发罗定市水污染防治“十四五”规划的通知（罗府[2023]2号）_29"/>
                    <pic:cNvPicPr>
                      <a:picLocks noChangeAspect="1"/>
                    </pic:cNvPicPr>
                  </pic:nvPicPr>
                  <pic:blipFill>
                    <a:blip r:embed="rId174"/>
                    <a:stretch>
                      <a:fillRect/>
                    </a:stretch>
                  </pic:blipFill>
                  <pic:spPr>
                    <a:xfrm>
                      <a:off x="0" y="0"/>
                      <a:ext cx="6356131" cy="8988323"/>
                    </a:xfrm>
                    <a:prstGeom prst="rect">
                      <a:avLst/>
                    </a:prstGeom>
                  </pic:spPr>
                </pic:pic>
              </a:graphicData>
            </a:graphic>
          </wp:inline>
        </w:drawing>
      </w:r>
      <w:r>
        <w:rPr>
          <w:rFonts w:hint="eastAsia"/>
          <w:color w:val="auto"/>
        </w:rPr>
        <w:drawing>
          <wp:inline distT="0" distB="0" distL="114300" distR="114300">
            <wp:extent cx="6513830" cy="9211310"/>
            <wp:effectExtent l="0" t="0" r="1270" b="8890"/>
            <wp:docPr id="192" name="图片 192" descr="罗定市人民政府关于印发罗定市水污染防治“十四五”规划的通知（罗府[2023]2号）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罗定市人民政府关于印发罗定市水污染防治“十四五”规划的通知（罗府[2023]2号）_30"/>
                    <pic:cNvPicPr>
                      <a:picLocks noChangeAspect="1"/>
                    </pic:cNvPicPr>
                  </pic:nvPicPr>
                  <pic:blipFill>
                    <a:blip r:embed="rId175"/>
                    <a:stretch>
                      <a:fillRect/>
                    </a:stretch>
                  </pic:blipFill>
                  <pic:spPr>
                    <a:xfrm>
                      <a:off x="0" y="0"/>
                      <a:ext cx="6516274" cy="9214727"/>
                    </a:xfrm>
                    <a:prstGeom prst="rect">
                      <a:avLst/>
                    </a:prstGeom>
                  </pic:spPr>
                </pic:pic>
              </a:graphicData>
            </a:graphic>
          </wp:inline>
        </w:drawing>
      </w:r>
      <w:r>
        <w:rPr>
          <w:rFonts w:hint="eastAsia"/>
          <w:color w:val="auto"/>
        </w:rPr>
        <w:drawing>
          <wp:inline distT="0" distB="0" distL="114300" distR="114300">
            <wp:extent cx="6546215" cy="9257665"/>
            <wp:effectExtent l="0" t="0" r="6985" b="635"/>
            <wp:docPr id="191" name="图片 191" descr="罗定市人民政府关于印发罗定市水污染防治“十四五”规划的通知（罗府[2023]2号）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罗定市人民政府关于印发罗定市水污染防治“十四五”规划的通知（罗府[2023]2号）_31"/>
                    <pic:cNvPicPr>
                      <a:picLocks noChangeAspect="1"/>
                    </pic:cNvPicPr>
                  </pic:nvPicPr>
                  <pic:blipFill>
                    <a:blip r:embed="rId176"/>
                    <a:stretch>
                      <a:fillRect/>
                    </a:stretch>
                  </pic:blipFill>
                  <pic:spPr>
                    <a:xfrm>
                      <a:off x="0" y="0"/>
                      <a:ext cx="6550622" cy="9263370"/>
                    </a:xfrm>
                    <a:prstGeom prst="rect">
                      <a:avLst/>
                    </a:prstGeom>
                  </pic:spPr>
                </pic:pic>
              </a:graphicData>
            </a:graphic>
          </wp:inline>
        </w:drawing>
      </w:r>
      <w:r>
        <w:rPr>
          <w:rFonts w:hint="eastAsia"/>
          <w:color w:val="auto"/>
        </w:rPr>
        <w:drawing>
          <wp:inline distT="0" distB="0" distL="114300" distR="114300">
            <wp:extent cx="5995035" cy="4239260"/>
            <wp:effectExtent l="0" t="0" r="5715" b="8890"/>
            <wp:docPr id="190" name="图片 190" descr="罗定市人民政府关于印发罗定市水污染防治“十四五”规划的通知（罗府[2023]2号）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罗定市人民政府关于印发罗定市水污染防治“十四五”规划的通知（罗府[2023]2号）_32"/>
                    <pic:cNvPicPr>
                      <a:picLocks noChangeAspect="1"/>
                    </pic:cNvPicPr>
                  </pic:nvPicPr>
                  <pic:blipFill>
                    <a:blip r:embed="rId177"/>
                    <a:stretch>
                      <a:fillRect/>
                    </a:stretch>
                  </pic:blipFill>
                  <pic:spPr>
                    <a:xfrm>
                      <a:off x="0" y="0"/>
                      <a:ext cx="6010564" cy="4250456"/>
                    </a:xfrm>
                    <a:prstGeom prst="rect">
                      <a:avLst/>
                    </a:prstGeom>
                  </pic:spPr>
                </pic:pic>
              </a:graphicData>
            </a:graphic>
          </wp:inline>
        </w:drawing>
      </w:r>
      <w:r>
        <w:rPr>
          <w:rFonts w:hint="eastAsia"/>
          <w:color w:val="auto"/>
        </w:rPr>
        <w:drawing>
          <wp:inline distT="0" distB="0" distL="114300" distR="114300">
            <wp:extent cx="5919470" cy="4185920"/>
            <wp:effectExtent l="0" t="0" r="5080" b="5080"/>
            <wp:docPr id="189" name="图片 189" descr="罗定市人民政府关于印发罗定市水污染防治“十四五”规划的通知（罗府[2023]2号）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罗定市人民政府关于印发罗定市水污染防治“十四五”规划的通知（罗府[2023]2号）_33"/>
                    <pic:cNvPicPr>
                      <a:picLocks noChangeAspect="1"/>
                    </pic:cNvPicPr>
                  </pic:nvPicPr>
                  <pic:blipFill>
                    <a:blip r:embed="rId178"/>
                    <a:stretch>
                      <a:fillRect/>
                    </a:stretch>
                  </pic:blipFill>
                  <pic:spPr>
                    <a:xfrm>
                      <a:off x="0" y="0"/>
                      <a:ext cx="5926077" cy="4190674"/>
                    </a:xfrm>
                    <a:prstGeom prst="rect">
                      <a:avLst/>
                    </a:prstGeom>
                  </pic:spPr>
                </pic:pic>
              </a:graphicData>
            </a:graphic>
          </wp:inline>
        </w:drawing>
      </w:r>
      <w:r>
        <w:rPr>
          <w:rFonts w:hint="eastAsia"/>
          <w:color w:val="auto"/>
        </w:rPr>
        <w:drawing>
          <wp:inline distT="0" distB="0" distL="114300" distR="114300">
            <wp:extent cx="5931535" cy="4194175"/>
            <wp:effectExtent l="0" t="0" r="0" b="0"/>
            <wp:docPr id="188" name="图片 188" descr="罗定市人民政府关于印发罗定市水污染防治“十四五”规划的通知（罗府[2023]2号）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罗定市人民政府关于印发罗定市水污染防治“十四五”规划的通知（罗府[2023]2号）_34"/>
                    <pic:cNvPicPr>
                      <a:picLocks noChangeAspect="1"/>
                    </pic:cNvPicPr>
                  </pic:nvPicPr>
                  <pic:blipFill>
                    <a:blip r:embed="rId179"/>
                    <a:stretch>
                      <a:fillRect/>
                    </a:stretch>
                  </pic:blipFill>
                  <pic:spPr>
                    <a:xfrm>
                      <a:off x="0" y="0"/>
                      <a:ext cx="5931816" cy="4194768"/>
                    </a:xfrm>
                    <a:prstGeom prst="rect">
                      <a:avLst/>
                    </a:prstGeom>
                  </pic:spPr>
                </pic:pic>
              </a:graphicData>
            </a:graphic>
          </wp:inline>
        </w:drawing>
      </w:r>
      <w:r>
        <w:rPr>
          <w:rFonts w:hint="eastAsia"/>
          <w:color w:val="auto"/>
        </w:rPr>
        <w:drawing>
          <wp:inline distT="0" distB="0" distL="114300" distR="114300">
            <wp:extent cx="5760085" cy="3724910"/>
            <wp:effectExtent l="0" t="0" r="0" b="8890"/>
            <wp:docPr id="187" name="图片 187" descr="罗定市人民政府关于印发罗定市水污染防治“十四五”规划的通知（罗府[2023]2号）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罗定市人民政府关于印发罗定市水污染防治“十四五”规划的通知（罗府[2023]2号）_35"/>
                    <pic:cNvPicPr>
                      <a:picLocks noChangeAspect="1"/>
                    </pic:cNvPicPr>
                  </pic:nvPicPr>
                  <pic:blipFill>
                    <a:blip r:embed="rId180"/>
                    <a:srcRect t="52355"/>
                    <a:stretch>
                      <a:fillRect/>
                    </a:stretch>
                  </pic:blipFill>
                  <pic:spPr>
                    <a:xfrm>
                      <a:off x="0" y="0"/>
                      <a:ext cx="5765943" cy="3729073"/>
                    </a:xfrm>
                    <a:prstGeom prst="rect">
                      <a:avLst/>
                    </a:prstGeom>
                    <a:ln>
                      <a:noFill/>
                    </a:ln>
                  </pic:spPr>
                </pic:pic>
              </a:graphicData>
            </a:graphic>
          </wp:inline>
        </w:drawing>
      </w:r>
      <w:bookmarkEnd w:id="250"/>
    </w:p>
    <w:p>
      <w:pPr>
        <w:pStyle w:val="26"/>
        <w:rPr>
          <w:color w:val="auto"/>
        </w:rPr>
      </w:pPr>
    </w:p>
    <w:p>
      <w:pPr>
        <w:pStyle w:val="25"/>
        <w:ind w:firstLine="280"/>
        <w:rPr>
          <w:color w:val="auto"/>
        </w:rPr>
      </w:pPr>
    </w:p>
    <w:p>
      <w:pPr>
        <w:rPr>
          <w:color w:val="auto"/>
        </w:rPr>
      </w:pPr>
    </w:p>
    <w:p>
      <w:pPr>
        <w:pStyle w:val="25"/>
        <w:ind w:firstLine="280"/>
        <w:rPr>
          <w:color w:val="auto"/>
        </w:rPr>
      </w:pPr>
    </w:p>
    <w:sectPr>
      <w:type w:val="nextColumn"/>
      <w:pgSz w:w="11906" w:h="16838"/>
      <w:pgMar w:top="1418" w:right="1418" w:bottom="1418" w:left="1701" w:header="0" w:footer="454"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auto"/>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line="14" w:lineRule="auto"/>
      <w:rPr>
        <w:sz w:val="20"/>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line="14" w:lineRule="auto"/>
      <w:rPr>
        <w:sz w:val="20"/>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ge">
                <wp:posOffset>10217785</wp:posOffset>
              </wp:positionV>
              <wp:extent cx="222250" cy="139700"/>
              <wp:effectExtent l="0" t="0" r="0" b="0"/>
              <wp:wrapNone/>
              <wp:docPr id="78" name="文本框 25"/>
              <wp:cNvGraphicFramePr/>
              <a:graphic xmlns:a="http://schemas.openxmlformats.org/drawingml/2006/main">
                <a:graphicData uri="http://schemas.microsoft.com/office/word/2010/wordprocessingShape">
                  <wps:wsp>
                    <wps:cNvSpPr txBox="1"/>
                    <wps:spPr>
                      <a:xfrm>
                        <a:off x="0" y="0"/>
                        <a:ext cx="222250" cy="139700"/>
                      </a:xfrm>
                      <a:prstGeom prst="rect">
                        <a:avLst/>
                      </a:prstGeom>
                      <a:noFill/>
                      <a:ln>
                        <a:noFill/>
                      </a:ln>
                    </wps:spPr>
                    <wps:txbx>
                      <w:txbxContent>
                        <w:p>
                          <w:pPr>
                            <w:spacing w:line="220" w:lineRule="exact"/>
                            <w:ind w:left="40"/>
                            <w:rPr>
                              <w:sz w:val="18"/>
                            </w:rPr>
                          </w:pPr>
                          <w:r>
                            <w:fldChar w:fldCharType="begin"/>
                          </w:r>
                          <w:r>
                            <w:rPr>
                              <w:sz w:val="18"/>
                            </w:rPr>
                            <w:instrText xml:space="preserve"> PAGE </w:instrText>
                          </w:r>
                          <w:r>
                            <w:fldChar w:fldCharType="separate"/>
                          </w:r>
                          <w:r>
                            <w:rPr>
                              <w:sz w:val="18"/>
                            </w:rPr>
                            <w:t>182</w:t>
                          </w:r>
                          <w:r>
                            <w:fldChar w:fldCharType="end"/>
                          </w:r>
                        </w:p>
                      </w:txbxContent>
                    </wps:txbx>
                    <wps:bodyPr lIns="0" tIns="0" rIns="0" bIns="0" upright="1"/>
                  </wps:wsp>
                </a:graphicData>
              </a:graphic>
            </wp:anchor>
          </w:drawing>
        </mc:Choice>
        <mc:Fallback>
          <w:pict>
            <v:shape id="文本框 25" o:spid="_x0000_s1026" o:spt="202" type="#_x0000_t202" style="position:absolute;left:0pt;margin-top:804.55pt;height:11pt;width:17.5pt;mso-position-horizontal:center;mso-position-horizontal-relative:margin;mso-position-vertical-relative:page;z-index:251659264;mso-width-relative:page;mso-height-relative:page;" filled="f" stroked="f" coordsize="21600,21600" o:gfxdata="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DiOIN1gAAAAkBAAAPAAAAAAAAAAEAIAAAACIAAABkcnMvZG93bnJldi54bWxQSwECFAAU&#10;AAAACACHTuJATE/DaboBAABzAwAADgAAAAAAAAABACAAAAAlAQAAZHJzL2Uyb0RvYy54bWxQSwUG&#10;AAAAAAYABgBZAQAAUQUAAAAA&#10;">
              <v:fill on="f" focussize="0,0"/>
              <v:stroke on="f"/>
              <v:imagedata o:title=""/>
              <o:lock v:ext="edit" aspectratio="f"/>
              <v:textbox inset="0mm,0mm,0mm,0mm">
                <w:txbxContent>
                  <w:p>
                    <w:pPr>
                      <w:spacing w:line="220" w:lineRule="exact"/>
                      <w:ind w:left="40"/>
                      <w:rPr>
                        <w:sz w:val="18"/>
                      </w:rPr>
                    </w:pPr>
                    <w:r>
                      <w:fldChar w:fldCharType="begin"/>
                    </w:r>
                    <w:r>
                      <w:rPr>
                        <w:sz w:val="18"/>
                      </w:rPr>
                      <w:instrText xml:space="preserve"> PAGE </w:instrText>
                    </w:r>
                    <w:r>
                      <w:fldChar w:fldCharType="separate"/>
                    </w:r>
                    <w:r>
                      <w:rPr>
                        <w:sz w:val="18"/>
                      </w:rPr>
                      <w:t>182</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line="14" w:lineRule="auto"/>
      <w:rPr>
        <w:sz w:val="20"/>
      </w:rPr>
    </w:pPr>
    <w: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ge">
                <wp:posOffset>10217785</wp:posOffset>
              </wp:positionV>
              <wp:extent cx="222250" cy="139700"/>
              <wp:effectExtent l="0" t="0" r="0" b="0"/>
              <wp:wrapNone/>
              <wp:docPr id="79" name="文本框 26"/>
              <wp:cNvGraphicFramePr/>
              <a:graphic xmlns:a="http://schemas.openxmlformats.org/drawingml/2006/main">
                <a:graphicData uri="http://schemas.microsoft.com/office/word/2010/wordprocessingShape">
                  <wps:wsp>
                    <wps:cNvSpPr txBox="1"/>
                    <wps:spPr>
                      <a:xfrm>
                        <a:off x="0" y="0"/>
                        <a:ext cx="222250" cy="139700"/>
                      </a:xfrm>
                      <a:prstGeom prst="rect">
                        <a:avLst/>
                      </a:prstGeom>
                      <a:noFill/>
                      <a:ln>
                        <a:noFill/>
                      </a:ln>
                    </wps:spPr>
                    <wps:txbx>
                      <w:txbxContent>
                        <w:p>
                          <w:pPr>
                            <w:spacing w:line="220" w:lineRule="exact"/>
                            <w:ind w:left="40"/>
                            <w:rPr>
                              <w:sz w:val="18"/>
                            </w:rPr>
                          </w:pPr>
                          <w:r>
                            <w:fldChar w:fldCharType="begin"/>
                          </w:r>
                          <w:r>
                            <w:rPr>
                              <w:sz w:val="18"/>
                            </w:rPr>
                            <w:instrText xml:space="preserve"> PAGE </w:instrText>
                          </w:r>
                          <w:r>
                            <w:fldChar w:fldCharType="separate"/>
                          </w:r>
                          <w:r>
                            <w:rPr>
                              <w:sz w:val="18"/>
                            </w:rPr>
                            <w:t>192</w:t>
                          </w:r>
                          <w:r>
                            <w:fldChar w:fldCharType="end"/>
                          </w:r>
                        </w:p>
                      </w:txbxContent>
                    </wps:txbx>
                    <wps:bodyPr lIns="0" tIns="0" rIns="0" bIns="0" upright="1"/>
                  </wps:wsp>
                </a:graphicData>
              </a:graphic>
            </wp:anchor>
          </w:drawing>
        </mc:Choice>
        <mc:Fallback>
          <w:pict>
            <v:shape id="文本框 26" o:spid="_x0000_s1026" o:spt="202" type="#_x0000_t202" style="position:absolute;left:0pt;margin-top:804.55pt;height:11pt;width:17.5pt;mso-position-horizontal:center;mso-position-horizontal-relative:margin;mso-position-vertical-relative:page;z-index:251670528;mso-width-relative:page;mso-height-relative:page;" filled="f" stroked="f" coordsize="21600,21600" o:gfxdata="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w4jiDdYAAAAJAQAADwAAAAAAAAABACAAAAAiAAAAZHJzL2Rvd25yZXYueG1sUEsBAhQA&#10;FAAAAAgAh07iQFVeqRS7AQAAcwMAAA4AAAAAAAAAAQAgAAAAJQEAAGRycy9lMm9Eb2MueG1sUEsF&#10;BgAAAAAGAAYAWQEAAFIFAAAAAA==&#10;">
              <v:fill on="f" focussize="0,0"/>
              <v:stroke on="f"/>
              <v:imagedata o:title=""/>
              <o:lock v:ext="edit" aspectratio="f"/>
              <v:textbox inset="0mm,0mm,0mm,0mm">
                <w:txbxContent>
                  <w:p>
                    <w:pPr>
                      <w:spacing w:line="220" w:lineRule="exact"/>
                      <w:ind w:left="40"/>
                      <w:rPr>
                        <w:sz w:val="18"/>
                      </w:rPr>
                    </w:pPr>
                    <w:r>
                      <w:fldChar w:fldCharType="begin"/>
                    </w:r>
                    <w:r>
                      <w:rPr>
                        <w:sz w:val="18"/>
                      </w:rPr>
                      <w:instrText xml:space="preserve"> PAGE </w:instrText>
                    </w:r>
                    <w:r>
                      <w:fldChar w:fldCharType="separate"/>
                    </w:r>
                    <w:r>
                      <w:rPr>
                        <w:sz w:val="18"/>
                      </w:rPr>
                      <w:t>192</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line="14" w:lineRule="auto"/>
      <w:rPr>
        <w:sz w:val="20"/>
      </w:rPr>
    </w:pPr>
    <w: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ge">
                <wp:posOffset>10217785</wp:posOffset>
              </wp:positionV>
              <wp:extent cx="222250" cy="139700"/>
              <wp:effectExtent l="0" t="0" r="0" b="0"/>
              <wp:wrapNone/>
              <wp:docPr id="80" name="文本框 27"/>
              <wp:cNvGraphicFramePr/>
              <a:graphic xmlns:a="http://schemas.openxmlformats.org/drawingml/2006/main">
                <a:graphicData uri="http://schemas.microsoft.com/office/word/2010/wordprocessingShape">
                  <wps:wsp>
                    <wps:cNvSpPr txBox="1"/>
                    <wps:spPr>
                      <a:xfrm>
                        <a:off x="0" y="0"/>
                        <a:ext cx="222250" cy="139700"/>
                      </a:xfrm>
                      <a:prstGeom prst="rect">
                        <a:avLst/>
                      </a:prstGeom>
                      <a:noFill/>
                      <a:ln>
                        <a:noFill/>
                      </a:ln>
                    </wps:spPr>
                    <wps:txbx>
                      <w:txbxContent>
                        <w:p>
                          <w:pPr>
                            <w:spacing w:line="220" w:lineRule="exact"/>
                            <w:ind w:left="40"/>
                            <w:rPr>
                              <w:sz w:val="18"/>
                            </w:rPr>
                          </w:pPr>
                          <w:r>
                            <w:fldChar w:fldCharType="begin"/>
                          </w:r>
                          <w:r>
                            <w:rPr>
                              <w:sz w:val="18"/>
                            </w:rPr>
                            <w:instrText xml:space="preserve"> PAGE </w:instrText>
                          </w:r>
                          <w:r>
                            <w:fldChar w:fldCharType="separate"/>
                          </w:r>
                          <w:r>
                            <w:rPr>
                              <w:sz w:val="18"/>
                            </w:rPr>
                            <w:t>202</w:t>
                          </w:r>
                          <w:r>
                            <w:fldChar w:fldCharType="end"/>
                          </w:r>
                        </w:p>
                      </w:txbxContent>
                    </wps:txbx>
                    <wps:bodyPr lIns="0" tIns="0" rIns="0" bIns="0" upright="1"/>
                  </wps:wsp>
                </a:graphicData>
              </a:graphic>
            </wp:anchor>
          </w:drawing>
        </mc:Choice>
        <mc:Fallback>
          <w:pict>
            <v:shape id="文本框 27" o:spid="_x0000_s1026" o:spt="202" type="#_x0000_t202" style="position:absolute;left:0pt;margin-top:804.55pt;height:11pt;width:17.5pt;mso-position-horizontal:center;mso-position-horizontal-relative:margin;mso-position-vertical-relative:page;z-index:251671552;mso-width-relative:page;mso-height-relative:page;" filled="f" stroked="f" coordsize="21600,21600" o:gfxdata="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DiOIN1gAAAAkBAAAPAAAAAAAAAAEAIAAAACIAAABkcnMvZG93bnJldi54bWxQSwECFAAU&#10;AAAACACHTuJAbRKW0LoBAABzAwAADgAAAAAAAAABACAAAAAlAQAAZHJzL2Uyb0RvYy54bWxQSwUG&#10;AAAAAAYABgBZAQAAUQUAAAAA&#10;">
              <v:fill on="f" focussize="0,0"/>
              <v:stroke on="f"/>
              <v:imagedata o:title=""/>
              <o:lock v:ext="edit" aspectratio="f"/>
              <v:textbox inset="0mm,0mm,0mm,0mm">
                <w:txbxContent>
                  <w:p>
                    <w:pPr>
                      <w:spacing w:line="220" w:lineRule="exact"/>
                      <w:ind w:left="40"/>
                      <w:rPr>
                        <w:sz w:val="18"/>
                      </w:rPr>
                    </w:pPr>
                    <w:r>
                      <w:fldChar w:fldCharType="begin"/>
                    </w:r>
                    <w:r>
                      <w:rPr>
                        <w:sz w:val="18"/>
                      </w:rPr>
                      <w:instrText xml:space="preserve"> PAGE </w:instrText>
                    </w:r>
                    <w:r>
                      <w:fldChar w:fldCharType="separate"/>
                    </w:r>
                    <w:r>
                      <w:rPr>
                        <w:sz w:val="18"/>
                      </w:rPr>
                      <w:t>202</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line="14" w:lineRule="auto"/>
      <w:rPr>
        <w:sz w:val="12"/>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ge">
                <wp:posOffset>10217785</wp:posOffset>
              </wp:positionV>
              <wp:extent cx="222250" cy="139700"/>
              <wp:effectExtent l="0" t="0" r="0" b="0"/>
              <wp:wrapNone/>
              <wp:docPr id="81" name="文本框 28"/>
              <wp:cNvGraphicFramePr/>
              <a:graphic xmlns:a="http://schemas.openxmlformats.org/drawingml/2006/main">
                <a:graphicData uri="http://schemas.microsoft.com/office/word/2010/wordprocessingShape">
                  <wps:wsp>
                    <wps:cNvSpPr txBox="1"/>
                    <wps:spPr>
                      <a:xfrm>
                        <a:off x="0" y="0"/>
                        <a:ext cx="222250" cy="139700"/>
                      </a:xfrm>
                      <a:prstGeom prst="rect">
                        <a:avLst/>
                      </a:prstGeom>
                      <a:noFill/>
                      <a:ln>
                        <a:noFill/>
                      </a:ln>
                    </wps:spPr>
                    <wps:txbx>
                      <w:txbxContent>
                        <w:p>
                          <w:pPr>
                            <w:spacing w:line="220" w:lineRule="exact"/>
                            <w:ind w:left="40"/>
                            <w:rPr>
                              <w:sz w:val="18"/>
                            </w:rPr>
                          </w:pPr>
                          <w:r>
                            <w:fldChar w:fldCharType="begin"/>
                          </w:r>
                          <w:r>
                            <w:rPr>
                              <w:sz w:val="18"/>
                            </w:rPr>
                            <w:instrText xml:space="preserve"> PAGE </w:instrText>
                          </w:r>
                          <w:r>
                            <w:fldChar w:fldCharType="separate"/>
                          </w:r>
                          <w:r>
                            <w:rPr>
                              <w:sz w:val="18"/>
                            </w:rPr>
                            <w:t>215</w:t>
                          </w:r>
                          <w:r>
                            <w:fldChar w:fldCharType="end"/>
                          </w:r>
                        </w:p>
                      </w:txbxContent>
                    </wps:txbx>
                    <wps:bodyPr lIns="0" tIns="0" rIns="0" bIns="0" upright="1"/>
                  </wps:wsp>
                </a:graphicData>
              </a:graphic>
            </wp:anchor>
          </w:drawing>
        </mc:Choice>
        <mc:Fallback>
          <w:pict>
            <v:shape id="文本框 28" o:spid="_x0000_s1026" o:spt="202" type="#_x0000_t202" style="position:absolute;left:0pt;margin-top:804.55pt;height:11pt;width:17.5pt;mso-position-horizontal:center;mso-position-horizontal-relative:margin;mso-position-vertical-relative:page;z-index:251660288;mso-width-relative:page;mso-height-relative:page;" filled="f" stroked="f" coordsize="21600,21600" o:gfxdata="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DiOIN1gAAAAkBAAAPAAAAAAAAAAEAIAAAACIAAABkcnMvZG93bnJldi54bWxQSwECFAAU&#10;AAAACACHTuJAPmPnxLoBAABzAwAADgAAAAAAAAABACAAAAAlAQAAZHJzL2Uyb0RvYy54bWxQSwUG&#10;AAAAAAYABgBZAQAAUQUAAAAA&#10;">
              <v:fill on="f" focussize="0,0"/>
              <v:stroke on="f"/>
              <v:imagedata o:title=""/>
              <o:lock v:ext="edit" aspectratio="f"/>
              <v:textbox inset="0mm,0mm,0mm,0mm">
                <w:txbxContent>
                  <w:p>
                    <w:pPr>
                      <w:spacing w:line="220" w:lineRule="exact"/>
                      <w:ind w:left="40"/>
                      <w:rPr>
                        <w:sz w:val="18"/>
                      </w:rPr>
                    </w:pPr>
                    <w:r>
                      <w:fldChar w:fldCharType="begin"/>
                    </w:r>
                    <w:r>
                      <w:rPr>
                        <w:sz w:val="18"/>
                      </w:rPr>
                      <w:instrText xml:space="preserve"> PAGE </w:instrText>
                    </w:r>
                    <w:r>
                      <w:fldChar w:fldCharType="separate"/>
                    </w:r>
                    <w:r>
                      <w:rPr>
                        <w:sz w:val="18"/>
                      </w:rPr>
                      <w:t>215</w:t>
                    </w:r>
                    <w: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line="14" w:lineRule="auto"/>
      <w:rPr>
        <w:sz w:val="20"/>
      </w:rPr>
    </w:pPr>
    <w: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ge">
                <wp:posOffset>10217785</wp:posOffset>
              </wp:positionV>
              <wp:extent cx="222250" cy="139700"/>
              <wp:effectExtent l="0" t="0" r="0" b="0"/>
              <wp:wrapNone/>
              <wp:docPr id="82" name="文本框 29"/>
              <wp:cNvGraphicFramePr/>
              <a:graphic xmlns:a="http://schemas.openxmlformats.org/drawingml/2006/main">
                <a:graphicData uri="http://schemas.microsoft.com/office/word/2010/wordprocessingShape">
                  <wps:wsp>
                    <wps:cNvSpPr txBox="1"/>
                    <wps:spPr>
                      <a:xfrm>
                        <a:off x="0" y="0"/>
                        <a:ext cx="222250" cy="139700"/>
                      </a:xfrm>
                      <a:prstGeom prst="rect">
                        <a:avLst/>
                      </a:prstGeom>
                      <a:noFill/>
                      <a:ln>
                        <a:noFill/>
                      </a:ln>
                    </wps:spPr>
                    <wps:txbx>
                      <w:txbxContent>
                        <w:p>
                          <w:pPr>
                            <w:spacing w:line="220" w:lineRule="exact"/>
                            <w:ind w:left="40"/>
                            <w:rPr>
                              <w:sz w:val="18"/>
                            </w:rPr>
                          </w:pPr>
                          <w:r>
                            <w:fldChar w:fldCharType="begin"/>
                          </w:r>
                          <w:r>
                            <w:rPr>
                              <w:sz w:val="18"/>
                            </w:rPr>
                            <w:instrText xml:space="preserve"> PAGE </w:instrText>
                          </w:r>
                          <w:r>
                            <w:fldChar w:fldCharType="separate"/>
                          </w:r>
                          <w:r>
                            <w:rPr>
                              <w:sz w:val="18"/>
                            </w:rPr>
                            <w:t>230</w:t>
                          </w:r>
                          <w:r>
                            <w:fldChar w:fldCharType="end"/>
                          </w:r>
                        </w:p>
                      </w:txbxContent>
                    </wps:txbx>
                    <wps:bodyPr lIns="0" tIns="0" rIns="0" bIns="0" upright="1"/>
                  </wps:wsp>
                </a:graphicData>
              </a:graphic>
            </wp:anchor>
          </w:drawing>
        </mc:Choice>
        <mc:Fallback>
          <w:pict>
            <v:shape id="文本框 29" o:spid="_x0000_s1026" o:spt="202" type="#_x0000_t202" style="position:absolute;left:0pt;margin-top:804.55pt;height:11pt;width:17.5pt;mso-position-horizontal:center;mso-position-horizontal-relative:margin;mso-position-vertical-relative:page;z-index:251672576;mso-width-relative:page;mso-height-relative:page;" filled="f" stroked="f" coordsize="21600,21600" o:gfxdata="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w4jiDdYAAAAJAQAADwAAAAAAAAABACAAAAAiAAAAZHJzL2Rvd25yZXYueG1sUEsBAhQA&#10;FAAAAAgAh07iQOyNgNK7AQAAcwMAAA4AAAAAAAAAAQAgAAAAJQEAAGRycy9lMm9Eb2MueG1sUEsF&#10;BgAAAAAGAAYAWQEAAFIFAAAAAA==&#10;">
              <v:fill on="f" focussize="0,0"/>
              <v:stroke on="f"/>
              <v:imagedata o:title=""/>
              <o:lock v:ext="edit" aspectratio="f"/>
              <v:textbox inset="0mm,0mm,0mm,0mm">
                <w:txbxContent>
                  <w:p>
                    <w:pPr>
                      <w:spacing w:line="220" w:lineRule="exact"/>
                      <w:ind w:left="40"/>
                      <w:rPr>
                        <w:sz w:val="18"/>
                      </w:rPr>
                    </w:pPr>
                    <w:r>
                      <w:fldChar w:fldCharType="begin"/>
                    </w:r>
                    <w:r>
                      <w:rPr>
                        <w:sz w:val="18"/>
                      </w:rPr>
                      <w:instrText xml:space="preserve"> PAGE </w:instrText>
                    </w:r>
                    <w:r>
                      <w:fldChar w:fldCharType="separate"/>
                    </w:r>
                    <w:r>
                      <w:rPr>
                        <w:sz w:val="18"/>
                      </w:rPr>
                      <w:t>230</w:t>
                    </w:r>
                    <w: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line="14" w:lineRule="auto"/>
      <w:rPr>
        <w:sz w:val="20"/>
      </w:rPr>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ge">
                <wp:posOffset>10217785</wp:posOffset>
              </wp:positionV>
              <wp:extent cx="222250" cy="139700"/>
              <wp:effectExtent l="0" t="0" r="0" b="0"/>
              <wp:wrapNone/>
              <wp:docPr id="85" name="文本框 32"/>
              <wp:cNvGraphicFramePr/>
              <a:graphic xmlns:a="http://schemas.openxmlformats.org/drawingml/2006/main">
                <a:graphicData uri="http://schemas.microsoft.com/office/word/2010/wordprocessingShape">
                  <wps:wsp>
                    <wps:cNvSpPr txBox="1"/>
                    <wps:spPr>
                      <a:xfrm>
                        <a:off x="0" y="0"/>
                        <a:ext cx="222250" cy="139700"/>
                      </a:xfrm>
                      <a:prstGeom prst="rect">
                        <a:avLst/>
                      </a:prstGeom>
                      <a:noFill/>
                      <a:ln>
                        <a:noFill/>
                      </a:ln>
                    </wps:spPr>
                    <wps:txbx>
                      <w:txbxContent>
                        <w:p>
                          <w:pPr>
                            <w:spacing w:line="220" w:lineRule="exact"/>
                            <w:ind w:left="40"/>
                            <w:rPr>
                              <w:sz w:val="18"/>
                            </w:rPr>
                          </w:pPr>
                          <w:r>
                            <w:fldChar w:fldCharType="begin"/>
                          </w:r>
                          <w:r>
                            <w:rPr>
                              <w:sz w:val="18"/>
                            </w:rPr>
                            <w:instrText xml:space="preserve"> PAGE </w:instrText>
                          </w:r>
                          <w:r>
                            <w:fldChar w:fldCharType="separate"/>
                          </w:r>
                          <w:r>
                            <w:rPr>
                              <w:sz w:val="18"/>
                            </w:rPr>
                            <w:t>250</w:t>
                          </w:r>
                          <w:r>
                            <w:fldChar w:fldCharType="end"/>
                          </w:r>
                        </w:p>
                      </w:txbxContent>
                    </wps:txbx>
                    <wps:bodyPr lIns="0" tIns="0" rIns="0" bIns="0" upright="1"/>
                  </wps:wsp>
                </a:graphicData>
              </a:graphic>
            </wp:anchor>
          </w:drawing>
        </mc:Choice>
        <mc:Fallback>
          <w:pict>
            <v:shape id="文本框 32" o:spid="_x0000_s1026" o:spt="202" type="#_x0000_t202" style="position:absolute;left:0pt;margin-top:804.55pt;height:11pt;width:17.5pt;mso-position-horizontal:center;mso-position-horizontal-relative:margin;mso-position-vertical-relative:page;z-index:251665408;mso-width-relative:page;mso-height-relative:page;" filled="f" stroked="f" coordsize="21600,21600" o:gfxdata="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w4jiDdYAAAAJAQAADwAAAAAAAAABACAAAAAiAAAAZHJzL2Rvd25yZXYueG1sUEsBAhQA&#10;FAAAAAgAh07iQHf0U5m7AQAAcwMAAA4AAAAAAAAAAQAgAAAAJQEAAGRycy9lMm9Eb2MueG1sUEsF&#10;BgAAAAAGAAYAWQEAAFIFAAAAAA==&#10;">
              <v:fill on="f" focussize="0,0"/>
              <v:stroke on="f"/>
              <v:imagedata o:title=""/>
              <o:lock v:ext="edit" aspectratio="f"/>
              <v:textbox inset="0mm,0mm,0mm,0mm">
                <w:txbxContent>
                  <w:p>
                    <w:pPr>
                      <w:spacing w:line="220" w:lineRule="exact"/>
                      <w:ind w:left="40"/>
                      <w:rPr>
                        <w:sz w:val="18"/>
                      </w:rPr>
                    </w:pPr>
                    <w:r>
                      <w:fldChar w:fldCharType="begin"/>
                    </w:r>
                    <w:r>
                      <w:rPr>
                        <w:sz w:val="18"/>
                      </w:rPr>
                      <w:instrText xml:space="preserve"> PAGE </w:instrText>
                    </w:r>
                    <w:r>
                      <w:fldChar w:fldCharType="separate"/>
                    </w:r>
                    <w:r>
                      <w:rPr>
                        <w:sz w:val="18"/>
                      </w:rPr>
                      <w:t>250</w:t>
                    </w:r>
                    <w:r>
                      <w:fldChar w:fldCharType="end"/>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line="14" w:lineRule="auto"/>
      <w:rPr>
        <w:sz w:val="2"/>
      </w:rPr>
    </w:pPr>
    <w:r>
      <w:rPr>
        <w:sz w:val="2"/>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ge">
                <wp:posOffset>10217785</wp:posOffset>
              </wp:positionV>
              <wp:extent cx="1828800" cy="1828800"/>
              <wp:effectExtent l="0" t="0" r="0" b="0"/>
              <wp:wrapNone/>
              <wp:docPr id="95" name="文本框 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7"/>
                          </w:pPr>
                          <w:r>
                            <w:fldChar w:fldCharType="begin"/>
                          </w:r>
                          <w:r>
                            <w:instrText xml:space="preserve"> PAGE  \* MERGEFORMAT </w:instrText>
                          </w:r>
                          <w:r>
                            <w:fldChar w:fldCharType="separate"/>
                          </w:r>
                          <w:r>
                            <w:t>268</w:t>
                          </w:r>
                          <w:r>
                            <w:fldChar w:fldCharType="end"/>
                          </w:r>
                        </w:p>
                      </w:txbxContent>
                    </wps:txbx>
                    <wps:bodyPr wrap="none" lIns="0" tIns="0" rIns="0" bIns="0" upright="1">
                      <a:spAutoFit/>
                    </wps:bodyPr>
                  </wps:wsp>
                </a:graphicData>
              </a:graphic>
            </wp:anchor>
          </w:drawing>
        </mc:Choice>
        <mc:Fallback>
          <w:pict>
            <v:shape id="文本框 43" o:spid="_x0000_s1026" o:spt="202" type="#_x0000_t202" style="position:absolute;left:0pt;margin-top:804.55pt;height:144pt;width:144pt;mso-position-horizontal:center;mso-position-horizontal-relative:margin;mso-position-vertical-relative:page;mso-wrap-style:none;z-index:251674624;mso-width-relative:page;mso-height-relative:page;" filled="f" stroked="f" coordsize="21600,21600" o:gfxdata="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HIbcu3VAAAACgEAAA8AAAAAAAAAAQAgAAAAIgAAAGRycy9k&#10;b3ducmV2LnhtbFBLAQIUABQAAAAIAIdO4kCEQvEwzAEAAJsDAAAOAAAAAAAAAAEAIAAAACQBAABk&#10;cnMvZTJvRG9jLnhtbFBLBQYAAAAABgAGAFkBAABiBQAAAAA=&#10;">
              <v:fill on="f" focussize="0,0"/>
              <v:stroke on="f"/>
              <v:imagedata o:title=""/>
              <o:lock v:ext="edit" aspectratio="f"/>
              <v:textbox inset="0mm,0mm,0mm,0mm" style="mso-fit-shape-to-text:t;">
                <w:txbxContent>
                  <w:p>
                    <w:pPr>
                      <w:pStyle w:val="17"/>
                    </w:pPr>
                    <w:r>
                      <w:fldChar w:fldCharType="begin"/>
                    </w:r>
                    <w:r>
                      <w:instrText xml:space="preserve"> PAGE  \* MERGEFORMAT </w:instrText>
                    </w:r>
                    <w:r>
                      <w:fldChar w:fldCharType="separate"/>
                    </w:r>
                    <w:r>
                      <w:t>268</w:t>
                    </w:r>
                    <w:r>
                      <w:fldChar w:fldCharType="end"/>
                    </w:r>
                  </w:p>
                </w:txbxContent>
              </v:textbox>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line="14" w:lineRule="auto"/>
      <w:rPr>
        <w:sz w:val="2"/>
      </w:rPr>
    </w:pPr>
    <w:r>
      <w:rPr>
        <w:sz w:val="2"/>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ge">
                <wp:posOffset>10217785</wp:posOffset>
              </wp:positionV>
              <wp:extent cx="1828800" cy="1828800"/>
              <wp:effectExtent l="0" t="0" r="0" b="0"/>
              <wp:wrapNone/>
              <wp:docPr id="97" name="文本框 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7"/>
                          </w:pPr>
                          <w:r>
                            <w:fldChar w:fldCharType="begin"/>
                          </w:r>
                          <w:r>
                            <w:instrText xml:space="preserve"> PAGE  \* MERGEFORMAT </w:instrText>
                          </w:r>
                          <w:r>
                            <w:fldChar w:fldCharType="separate"/>
                          </w:r>
                          <w:r>
                            <w:t>270</w:t>
                          </w:r>
                          <w:r>
                            <w:fldChar w:fldCharType="end"/>
                          </w:r>
                        </w:p>
                      </w:txbxContent>
                    </wps:txbx>
                    <wps:bodyPr wrap="none" lIns="0" tIns="0" rIns="0" bIns="0" upright="1">
                      <a:spAutoFit/>
                    </wps:bodyPr>
                  </wps:wsp>
                </a:graphicData>
              </a:graphic>
            </wp:anchor>
          </w:drawing>
        </mc:Choice>
        <mc:Fallback>
          <w:pict>
            <v:shape id="文本框 47" o:spid="_x0000_s1026" o:spt="202" type="#_x0000_t202" style="position:absolute;left:0pt;margin-top:804.55pt;height:144pt;width:144pt;mso-position-horizontal:center;mso-position-horizontal-relative:margin;mso-position-vertical-relative:page;mso-wrap-style:none;z-index:251676672;mso-width-relative:page;mso-height-relative:page;" filled="f" stroked="f" coordsize="21600,21600" o:gfxdata="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HIbcu3VAAAACgEAAA8AAAAAAAAAAQAgAAAAIgAAAGRycy9k&#10;b3ducmV2LnhtbFBLAQIUABQAAAAIAIdO4kCTHeETzAEAAJsDAAAOAAAAAAAAAAEAIAAAACQBAABk&#10;cnMvZTJvRG9jLnhtbFBLBQYAAAAABgAGAFkBAABiBQAAAAA=&#10;">
              <v:fill on="f" focussize="0,0"/>
              <v:stroke on="f"/>
              <v:imagedata o:title=""/>
              <o:lock v:ext="edit" aspectratio="f"/>
              <v:textbox inset="0mm,0mm,0mm,0mm" style="mso-fit-shape-to-text:t;">
                <w:txbxContent>
                  <w:p>
                    <w:pPr>
                      <w:pStyle w:val="17"/>
                    </w:pPr>
                    <w:r>
                      <w:fldChar w:fldCharType="begin"/>
                    </w:r>
                    <w:r>
                      <w:instrText xml:space="preserve"> PAGE  \* MERGEFORMAT </w:instrText>
                    </w:r>
                    <w:r>
                      <w:fldChar w:fldCharType="separate"/>
                    </w:r>
                    <w:r>
                      <w:t>270</w:t>
                    </w:r>
                    <w:r>
                      <w:fldChar w:fldCharType="end"/>
                    </w:r>
                  </w:p>
                </w:txbxContent>
              </v:textbox>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line="14" w:lineRule="auto"/>
      <w:rPr>
        <w:sz w:val="2"/>
      </w:rPr>
    </w:pPr>
    <w:r>
      <w:rPr>
        <w:sz w:val="2"/>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ge">
                <wp:posOffset>10217785</wp:posOffset>
              </wp:positionV>
              <wp:extent cx="1828800" cy="1828800"/>
              <wp:effectExtent l="0" t="0" r="0" b="0"/>
              <wp:wrapNone/>
              <wp:docPr id="96" name="文本框 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7"/>
                          </w:pPr>
                          <w:r>
                            <w:fldChar w:fldCharType="begin"/>
                          </w:r>
                          <w:r>
                            <w:instrText xml:space="preserve"> PAGE  \* MERGEFORMAT </w:instrText>
                          </w:r>
                          <w:r>
                            <w:fldChar w:fldCharType="separate"/>
                          </w:r>
                          <w:r>
                            <w:t>278</w:t>
                          </w:r>
                          <w:r>
                            <w:fldChar w:fldCharType="end"/>
                          </w:r>
                        </w:p>
                      </w:txbxContent>
                    </wps:txbx>
                    <wps:bodyPr wrap="none" lIns="0" tIns="0" rIns="0" bIns="0" upright="1">
                      <a:spAutoFit/>
                    </wps:bodyPr>
                  </wps:wsp>
                </a:graphicData>
              </a:graphic>
            </wp:anchor>
          </w:drawing>
        </mc:Choice>
        <mc:Fallback>
          <w:pict>
            <v:shape id="文本框 46" o:spid="_x0000_s1026" o:spt="202" type="#_x0000_t202" style="position:absolute;left:0pt;margin-top:804.55pt;height:144pt;width:144pt;mso-position-horizontal:center;mso-position-horizontal-relative:margin;mso-position-vertical-relative:page;mso-wrap-style:none;z-index:251675648;mso-width-relative:page;mso-height-relative:page;" filled="f" stroked="f" coordsize="21600,21600" o:gfxdata="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HIbcu3VAAAACgEAAA8AAAAAAAAAAQAgAAAAIgAAAGRycy9k&#10;b3ducmV2LnhtbFBLAQIUABQAAAAIAIdO4kA7fiTCzAEAAJsDAAAOAAAAAAAAAAEAIAAAACQBAABk&#10;cnMvZTJvRG9jLnhtbFBLBQYAAAAABgAGAFkBAABiBQAAAAA=&#10;">
              <v:fill on="f" focussize="0,0"/>
              <v:stroke on="f"/>
              <v:imagedata o:title=""/>
              <o:lock v:ext="edit" aspectratio="f"/>
              <v:textbox inset="0mm,0mm,0mm,0mm" style="mso-fit-shape-to-text:t;">
                <w:txbxContent>
                  <w:p>
                    <w:pPr>
                      <w:pStyle w:val="17"/>
                    </w:pPr>
                    <w:r>
                      <w:fldChar w:fldCharType="begin"/>
                    </w:r>
                    <w:r>
                      <w:instrText xml:space="preserve"> PAGE  \* MERGEFORMAT </w:instrText>
                    </w:r>
                    <w:r>
                      <w:fldChar w:fldCharType="separate"/>
                    </w:r>
                    <w:r>
                      <w:t>278</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line="14" w:lineRule="auto"/>
      <w:rPr>
        <w:sz w:val="20"/>
      </w:rPr>
    </w:pPr>
    <w:r>
      <mc:AlternateContent>
        <mc:Choice Requires="wps">
          <w:drawing>
            <wp:anchor distT="0" distB="0" distL="114300" distR="114300" simplePos="0" relativeHeight="251661312" behindDoc="1" locked="0" layoutInCell="1" allowOverlap="1">
              <wp:simplePos x="0" y="0"/>
              <wp:positionH relativeFrom="page">
                <wp:posOffset>4222115</wp:posOffset>
              </wp:positionH>
              <wp:positionV relativeFrom="page">
                <wp:posOffset>10227945</wp:posOffset>
              </wp:positionV>
              <wp:extent cx="82550" cy="139700"/>
              <wp:effectExtent l="0" t="0" r="0" b="0"/>
              <wp:wrapNone/>
              <wp:docPr id="53" name="文本框 2"/>
              <wp:cNvGraphicFramePr/>
              <a:graphic xmlns:a="http://schemas.openxmlformats.org/drawingml/2006/main">
                <a:graphicData uri="http://schemas.microsoft.com/office/word/2010/wordprocessingShape">
                  <wps:wsp>
                    <wps:cNvSpPr txBox="1"/>
                    <wps:spPr>
                      <a:xfrm>
                        <a:off x="0" y="0"/>
                        <a:ext cx="82550" cy="139700"/>
                      </a:xfrm>
                      <a:prstGeom prst="rect">
                        <a:avLst/>
                      </a:prstGeom>
                      <a:noFill/>
                      <a:ln>
                        <a:noFill/>
                      </a:ln>
                    </wps:spPr>
                    <wps:txbx>
                      <w:txbxContent>
                        <w:p>
                          <w:pPr>
                            <w:spacing w:line="220" w:lineRule="exact"/>
                            <w:ind w:left="20"/>
                            <w:rPr>
                              <w:sz w:val="18"/>
                            </w:rPr>
                          </w:pPr>
                        </w:p>
                      </w:txbxContent>
                    </wps:txbx>
                    <wps:bodyPr lIns="0" tIns="0" rIns="0" bIns="0" upright="1"/>
                  </wps:wsp>
                </a:graphicData>
              </a:graphic>
            </wp:anchor>
          </w:drawing>
        </mc:Choice>
        <mc:Fallback>
          <w:pict>
            <v:shape id="文本框 2" o:spid="_x0000_s1026" o:spt="202" type="#_x0000_t202" style="position:absolute;left:0pt;margin-left:332.45pt;margin-top:805.35pt;height:11pt;width:6.5pt;mso-position-horizontal-relative:page;mso-position-vertical-relative:page;z-index:-251655168;mso-width-relative:page;mso-height-relative:page;" filled="f" stroked="f" coordsize="21600,21600" o:gfxdata="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3qf4D9kAAAANAQAADwAAAAAAAAABACAAAAAiAAAAZHJzL2Rvd25yZXYueG1sUEsB&#10;AhQAFAAAAAgAh07iQGn5FaC7AQAAcQMAAA4AAAAAAAAAAQAgAAAAKAEAAGRycy9lMm9Eb2MueG1s&#10;UEsFBgAAAAAGAAYAWQEAAFUFAAAAAA==&#10;">
              <v:fill on="f" focussize="0,0"/>
              <v:stroke on="f"/>
              <v:imagedata o:title=""/>
              <o:lock v:ext="edit" aspectratio="f"/>
              <v:textbox inset="0mm,0mm,0mm,0mm">
                <w:txbxContent>
                  <w:p>
                    <w:pPr>
                      <w:spacing w:line="220" w:lineRule="exact"/>
                      <w:ind w:left="20"/>
                      <w:rPr>
                        <w:sz w:val="18"/>
                      </w:rPr>
                    </w:pP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line="14" w:lineRule="auto"/>
      <w:rPr>
        <w:sz w:val="18"/>
      </w:rP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ge">
                <wp:posOffset>10217785</wp:posOffset>
              </wp:positionV>
              <wp:extent cx="107950" cy="150495"/>
              <wp:effectExtent l="0" t="0" r="0" b="0"/>
              <wp:wrapNone/>
              <wp:docPr id="54" name="文本框 44"/>
              <wp:cNvGraphicFramePr/>
              <a:graphic xmlns:a="http://schemas.openxmlformats.org/drawingml/2006/main">
                <a:graphicData uri="http://schemas.microsoft.com/office/word/2010/wordprocessingShape">
                  <wps:wsp>
                    <wps:cNvSpPr txBox="1"/>
                    <wps:spPr>
                      <a:xfrm>
                        <a:off x="0" y="0"/>
                        <a:ext cx="107950" cy="150495"/>
                      </a:xfrm>
                      <a:prstGeom prst="rect">
                        <a:avLst/>
                      </a:prstGeom>
                      <a:noFill/>
                      <a:ln>
                        <a:noFill/>
                      </a:ln>
                    </wps:spPr>
                    <wps:txbx>
                      <w:txbxContent>
                        <w:p>
                          <w:pPr>
                            <w:spacing w:before="11" w:line="225" w:lineRule="exact"/>
                            <w:ind w:left="40"/>
                            <w:rPr>
                              <w:sz w:val="18"/>
                            </w:rPr>
                          </w:pPr>
                          <w:r>
                            <w:fldChar w:fldCharType="begin"/>
                          </w:r>
                          <w:r>
                            <w:rPr>
                              <w:sz w:val="18"/>
                            </w:rPr>
                            <w:instrText xml:space="preserve"> PAGE </w:instrText>
                          </w:r>
                          <w:r>
                            <w:fldChar w:fldCharType="separate"/>
                          </w:r>
                          <w:r>
                            <w:rPr>
                              <w:sz w:val="18"/>
                            </w:rPr>
                            <w:t>3</w:t>
                          </w:r>
                          <w:r>
                            <w:fldChar w:fldCharType="end"/>
                          </w:r>
                        </w:p>
                      </w:txbxContent>
                    </wps:txbx>
                    <wps:bodyPr lIns="0" tIns="0" rIns="0" bIns="0" upright="1"/>
                  </wps:wsp>
                </a:graphicData>
              </a:graphic>
            </wp:anchor>
          </w:drawing>
        </mc:Choice>
        <mc:Fallback>
          <w:pict>
            <v:shape id="文本框 44" o:spid="_x0000_s1026" o:spt="202" type="#_x0000_t202" style="position:absolute;left:0pt;margin-top:804.55pt;height:11.85pt;width:8.5pt;mso-position-horizontal:center;mso-position-horizontal-relative:margin;mso-position-vertical-relative:page;z-index:251662336;mso-width-relative:page;mso-height-relative:page;" filled="f" stroked="f" coordsize="21600,21600" o:gfxdata="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k8GGdYAAAAJAQAADwAAAAAAAAABACAAAAAiAAAAZHJzL2Rvd25yZXYueG1sUEsBAhQA&#10;FAAAAAgAh07iQCpdGU+7AQAAcwMAAA4AAAAAAAAAAQAgAAAAJQEAAGRycy9lMm9Eb2MueG1sUEsF&#10;BgAAAAAGAAYAWQEAAFIFAAAAAA==&#10;">
              <v:fill on="f" focussize="0,0"/>
              <v:stroke on="f"/>
              <v:imagedata o:title=""/>
              <o:lock v:ext="edit" aspectratio="f"/>
              <v:textbox inset="0mm,0mm,0mm,0mm">
                <w:txbxContent>
                  <w:p>
                    <w:pPr>
                      <w:spacing w:before="11" w:line="225" w:lineRule="exact"/>
                      <w:ind w:left="40"/>
                      <w:rPr>
                        <w:sz w:val="18"/>
                      </w:rPr>
                    </w:pPr>
                    <w:r>
                      <w:fldChar w:fldCharType="begin"/>
                    </w:r>
                    <w:r>
                      <w:rPr>
                        <w:sz w:val="18"/>
                      </w:rPr>
                      <w:instrText xml:space="preserve"> PAGE </w:instrText>
                    </w:r>
                    <w:r>
                      <w:fldChar w:fldCharType="separate"/>
                    </w:r>
                    <w:r>
                      <w:rPr>
                        <w:sz w:val="18"/>
                      </w:rPr>
                      <w:t>3</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line="14" w:lineRule="auto"/>
      <w:rPr>
        <w:sz w:val="18"/>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ge">
                <wp:posOffset>10217785</wp:posOffset>
              </wp:positionV>
              <wp:extent cx="107950" cy="150495"/>
              <wp:effectExtent l="0" t="0" r="0" b="0"/>
              <wp:wrapNone/>
              <wp:docPr id="55" name="文本框 51"/>
              <wp:cNvGraphicFramePr/>
              <a:graphic xmlns:a="http://schemas.openxmlformats.org/drawingml/2006/main">
                <a:graphicData uri="http://schemas.microsoft.com/office/word/2010/wordprocessingShape">
                  <wps:wsp>
                    <wps:cNvSpPr txBox="1"/>
                    <wps:spPr>
                      <a:xfrm>
                        <a:off x="0" y="0"/>
                        <a:ext cx="107950" cy="150495"/>
                      </a:xfrm>
                      <a:prstGeom prst="rect">
                        <a:avLst/>
                      </a:prstGeom>
                      <a:noFill/>
                      <a:ln>
                        <a:noFill/>
                      </a:ln>
                    </wps:spPr>
                    <wps:txbx>
                      <w:txbxContent>
                        <w:p>
                          <w:pPr>
                            <w:spacing w:before="11" w:line="225" w:lineRule="exact"/>
                            <w:ind w:left="40"/>
                            <w:rPr>
                              <w:sz w:val="18"/>
                            </w:rPr>
                          </w:pPr>
                          <w:r>
                            <w:fldChar w:fldCharType="begin"/>
                          </w:r>
                          <w:r>
                            <w:rPr>
                              <w:sz w:val="18"/>
                            </w:rPr>
                            <w:instrText xml:space="preserve"> PAGE </w:instrText>
                          </w:r>
                          <w:r>
                            <w:fldChar w:fldCharType="separate"/>
                          </w:r>
                          <w:r>
                            <w:rPr>
                              <w:sz w:val="18"/>
                            </w:rPr>
                            <w:t>1</w:t>
                          </w:r>
                          <w:r>
                            <w:fldChar w:fldCharType="end"/>
                          </w:r>
                        </w:p>
                      </w:txbxContent>
                    </wps:txbx>
                    <wps:bodyPr lIns="0" tIns="0" rIns="0" bIns="0" upright="1"/>
                  </wps:wsp>
                </a:graphicData>
              </a:graphic>
            </wp:anchor>
          </w:drawing>
        </mc:Choice>
        <mc:Fallback>
          <w:pict>
            <v:shape id="文本框 51" o:spid="_x0000_s1026" o:spt="202" type="#_x0000_t202" style="position:absolute;left:0pt;margin-top:804.55pt;height:11.85pt;width:8.5pt;mso-position-horizontal:center;mso-position-horizontal-relative:margin;mso-position-vertical-relative:page;z-index:251663360;mso-width-relative:page;mso-height-relative:page;" filled="f" stroked="f" coordsize="21600,21600" o:gfxdata="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BmTwYZ1gAAAAkBAAAPAAAAAAAAAAEAIAAAACIAAABkcnMvZG93bnJldi54bWxQSwECFAAU&#10;AAAACACHTuJAX5keQboBAABzAwAADgAAAAAAAAABACAAAAAlAQAAZHJzL2Uyb0RvYy54bWxQSwUG&#10;AAAAAAYABgBZAQAAUQUAAAAA&#10;">
              <v:fill on="f" focussize="0,0"/>
              <v:stroke on="f"/>
              <v:imagedata o:title=""/>
              <o:lock v:ext="edit" aspectratio="f"/>
              <v:textbox inset="0mm,0mm,0mm,0mm">
                <w:txbxContent>
                  <w:p>
                    <w:pPr>
                      <w:spacing w:before="11" w:line="225" w:lineRule="exact"/>
                      <w:ind w:left="40"/>
                      <w:rPr>
                        <w:sz w:val="18"/>
                      </w:rPr>
                    </w:pPr>
                    <w:r>
                      <w:fldChar w:fldCharType="begin"/>
                    </w:r>
                    <w:r>
                      <w:rPr>
                        <w:sz w:val="18"/>
                      </w:rPr>
                      <w:instrText xml:space="preserve"> PAGE </w:instrText>
                    </w:r>
                    <w:r>
                      <w:fldChar w:fldCharType="separate"/>
                    </w:r>
                    <w:r>
                      <w:rPr>
                        <w:sz w:val="18"/>
                      </w:rP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line="14" w:lineRule="auto"/>
      <w:rPr>
        <w:sz w:val="20"/>
      </w:rP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ge">
                <wp:posOffset>10217785</wp:posOffset>
              </wp:positionV>
              <wp:extent cx="166370" cy="139700"/>
              <wp:effectExtent l="0" t="0" r="0" b="0"/>
              <wp:wrapNone/>
              <wp:docPr id="58" name="文本框 5"/>
              <wp:cNvGraphicFramePr/>
              <a:graphic xmlns:a="http://schemas.openxmlformats.org/drawingml/2006/main">
                <a:graphicData uri="http://schemas.microsoft.com/office/word/2010/wordprocessingShape">
                  <wps:wsp>
                    <wps:cNvSpPr txBox="1"/>
                    <wps:spPr>
                      <a:xfrm>
                        <a:off x="0" y="0"/>
                        <a:ext cx="166370" cy="139700"/>
                      </a:xfrm>
                      <a:prstGeom prst="rect">
                        <a:avLst/>
                      </a:prstGeom>
                      <a:noFill/>
                      <a:ln>
                        <a:noFill/>
                      </a:ln>
                    </wps:spPr>
                    <wps:txbx>
                      <w:txbxContent>
                        <w:p>
                          <w:pPr>
                            <w:spacing w:line="220" w:lineRule="exact"/>
                            <w:ind w:left="40"/>
                            <w:rPr>
                              <w:sz w:val="18"/>
                            </w:rPr>
                          </w:pPr>
                          <w:r>
                            <w:fldChar w:fldCharType="begin"/>
                          </w:r>
                          <w:r>
                            <w:rPr>
                              <w:sz w:val="18"/>
                            </w:rPr>
                            <w:instrText xml:space="preserve"> PAGE </w:instrText>
                          </w:r>
                          <w:r>
                            <w:fldChar w:fldCharType="separate"/>
                          </w:r>
                          <w:r>
                            <w:rPr>
                              <w:sz w:val="18"/>
                            </w:rPr>
                            <w:t>10</w:t>
                          </w:r>
                          <w:r>
                            <w:fldChar w:fldCharType="end"/>
                          </w:r>
                        </w:p>
                      </w:txbxContent>
                    </wps:txbx>
                    <wps:bodyPr lIns="0" tIns="0" rIns="0" bIns="0" upright="1"/>
                  </wps:wsp>
                </a:graphicData>
              </a:graphic>
            </wp:anchor>
          </w:drawing>
        </mc:Choice>
        <mc:Fallback>
          <w:pict>
            <v:shape id="文本框 5" o:spid="_x0000_s1026" o:spt="202" type="#_x0000_t202" style="position:absolute;left:0pt;margin-top:804.55pt;height:11pt;width:13.1pt;mso-position-horizontal:center;mso-position-horizontal-relative:margin;mso-position-vertical-relative:page;z-index:251664384;mso-width-relative:page;mso-height-relative:page;" filled="f" stroked="f" coordsize="21600,21600" o:gfxdata="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QvergdYAAAAJAQAADwAAAAAAAAABACAAAAAiAAAAZHJzL2Rvd25yZXYueG1sUEsBAhQA&#10;FAAAAAgAh07iQKzGE/G7AQAAcgMAAA4AAAAAAAAAAQAgAAAAJQEAAGRycy9lMm9Eb2MueG1sUEsF&#10;BgAAAAAGAAYAWQEAAFIFAAAAAA==&#10;">
              <v:fill on="f" focussize="0,0"/>
              <v:stroke on="f"/>
              <v:imagedata o:title=""/>
              <o:lock v:ext="edit" aspectratio="f"/>
              <v:textbox inset="0mm,0mm,0mm,0mm">
                <w:txbxContent>
                  <w:p>
                    <w:pPr>
                      <w:spacing w:line="220" w:lineRule="exact"/>
                      <w:ind w:left="40"/>
                      <w:rPr>
                        <w:sz w:val="18"/>
                      </w:rPr>
                    </w:pPr>
                    <w:r>
                      <w:fldChar w:fldCharType="begin"/>
                    </w:r>
                    <w:r>
                      <w:rPr>
                        <w:sz w:val="18"/>
                      </w:rPr>
                      <w:instrText xml:space="preserve"> PAGE </w:instrText>
                    </w:r>
                    <w:r>
                      <w:fldChar w:fldCharType="separate"/>
                    </w:r>
                    <w:r>
                      <w:rPr>
                        <w:sz w:val="18"/>
                      </w:rPr>
                      <w:t>10</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line="14" w:lineRule="auto"/>
      <w:rPr>
        <w:sz w:val="11"/>
      </w:rPr>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ge">
                <wp:posOffset>10217785</wp:posOffset>
              </wp:positionV>
              <wp:extent cx="166370" cy="194945"/>
              <wp:effectExtent l="0" t="0" r="0" b="0"/>
              <wp:wrapNone/>
              <wp:docPr id="60" name="文本框 7"/>
              <wp:cNvGraphicFramePr/>
              <a:graphic xmlns:a="http://schemas.openxmlformats.org/drawingml/2006/main">
                <a:graphicData uri="http://schemas.microsoft.com/office/word/2010/wordprocessingShape">
                  <wps:wsp>
                    <wps:cNvSpPr txBox="1"/>
                    <wps:spPr>
                      <a:xfrm>
                        <a:off x="0" y="0"/>
                        <a:ext cx="166370" cy="194945"/>
                      </a:xfrm>
                      <a:prstGeom prst="rect">
                        <a:avLst/>
                      </a:prstGeom>
                      <a:noFill/>
                      <a:ln>
                        <a:noFill/>
                      </a:ln>
                    </wps:spPr>
                    <wps:txbx>
                      <w:txbxContent>
                        <w:p>
                          <w:pPr>
                            <w:spacing w:before="81" w:line="225" w:lineRule="exact"/>
                            <w:ind w:left="40"/>
                            <w:rPr>
                              <w:sz w:val="18"/>
                            </w:rPr>
                          </w:pPr>
                          <w:r>
                            <w:fldChar w:fldCharType="begin"/>
                          </w:r>
                          <w:r>
                            <w:rPr>
                              <w:sz w:val="18"/>
                            </w:rPr>
                            <w:instrText xml:space="preserve"> PAGE </w:instrText>
                          </w:r>
                          <w:r>
                            <w:fldChar w:fldCharType="separate"/>
                          </w:r>
                          <w:r>
                            <w:rPr>
                              <w:sz w:val="18"/>
                            </w:rPr>
                            <w:t>29</w:t>
                          </w:r>
                          <w:r>
                            <w:fldChar w:fldCharType="end"/>
                          </w:r>
                        </w:p>
                      </w:txbxContent>
                    </wps:txbx>
                    <wps:bodyPr lIns="0" tIns="0" rIns="0" bIns="0" upright="1"/>
                  </wps:wsp>
                </a:graphicData>
              </a:graphic>
            </wp:anchor>
          </w:drawing>
        </mc:Choice>
        <mc:Fallback>
          <w:pict>
            <v:shape id="文本框 7" o:spid="_x0000_s1026" o:spt="202" type="#_x0000_t202" style="position:absolute;left:0pt;margin-top:804.55pt;height:15.35pt;width:13.1pt;mso-position-horizontal:center;mso-position-horizontal-relative:margin;mso-position-vertical-relative:page;z-index:251666432;mso-width-relative:page;mso-height-relative:page;" filled="f" stroked="f" coordsize="21600,21600" o:gfxdata="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C28M8LXAAAACQEAAA8AAAAAAAAAAQAgAAAAIgAAAGRycy9kb3ducmV2LnhtbFBLAQIU&#10;ABQAAAAIAIdO4kCV6xhWuwEAAHIDAAAOAAAAAAAAAAEAIAAAACYBAABkcnMvZTJvRG9jLnhtbFBL&#10;BQYAAAAABgAGAFkBAABTBQAAAAA=&#10;">
              <v:fill on="f" focussize="0,0"/>
              <v:stroke on="f"/>
              <v:imagedata o:title=""/>
              <o:lock v:ext="edit" aspectratio="f"/>
              <v:textbox inset="0mm,0mm,0mm,0mm">
                <w:txbxContent>
                  <w:p>
                    <w:pPr>
                      <w:spacing w:before="81" w:line="225" w:lineRule="exact"/>
                      <w:ind w:left="40"/>
                      <w:rPr>
                        <w:sz w:val="18"/>
                      </w:rPr>
                    </w:pPr>
                    <w:r>
                      <w:fldChar w:fldCharType="begin"/>
                    </w:r>
                    <w:r>
                      <w:rPr>
                        <w:sz w:val="18"/>
                      </w:rPr>
                      <w:instrText xml:space="preserve"> PAGE </w:instrText>
                    </w:r>
                    <w:r>
                      <w:fldChar w:fldCharType="separate"/>
                    </w:r>
                    <w:r>
                      <w:rPr>
                        <w:sz w:val="18"/>
                      </w:rPr>
                      <w:t>29</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line="14" w:lineRule="auto"/>
      <w:rPr>
        <w:sz w:val="20"/>
      </w:rPr>
    </w:pPr>
    <w: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ge">
                <wp:posOffset>10217785</wp:posOffset>
              </wp:positionV>
              <wp:extent cx="166370" cy="139700"/>
              <wp:effectExtent l="0" t="0" r="0" b="0"/>
              <wp:wrapNone/>
              <wp:docPr id="66" name="文本框 13"/>
              <wp:cNvGraphicFramePr/>
              <a:graphic xmlns:a="http://schemas.openxmlformats.org/drawingml/2006/main">
                <a:graphicData uri="http://schemas.microsoft.com/office/word/2010/wordprocessingShape">
                  <wps:wsp>
                    <wps:cNvSpPr txBox="1"/>
                    <wps:spPr>
                      <a:xfrm>
                        <a:off x="0" y="0"/>
                        <a:ext cx="166370" cy="139700"/>
                      </a:xfrm>
                      <a:prstGeom prst="rect">
                        <a:avLst/>
                      </a:prstGeom>
                      <a:noFill/>
                      <a:ln>
                        <a:noFill/>
                      </a:ln>
                    </wps:spPr>
                    <wps:txbx>
                      <w:txbxContent>
                        <w:p>
                          <w:pPr>
                            <w:spacing w:line="220" w:lineRule="exact"/>
                            <w:ind w:left="40"/>
                            <w:rPr>
                              <w:sz w:val="18"/>
                            </w:rPr>
                          </w:pPr>
                          <w:r>
                            <w:fldChar w:fldCharType="begin"/>
                          </w:r>
                          <w:r>
                            <w:rPr>
                              <w:sz w:val="18"/>
                            </w:rPr>
                            <w:instrText xml:space="preserve"> PAGE </w:instrText>
                          </w:r>
                          <w:r>
                            <w:fldChar w:fldCharType="separate"/>
                          </w:r>
                          <w:r>
                            <w:rPr>
                              <w:sz w:val="18"/>
                            </w:rPr>
                            <w:t>77</w:t>
                          </w:r>
                          <w:r>
                            <w:fldChar w:fldCharType="end"/>
                          </w:r>
                        </w:p>
                      </w:txbxContent>
                    </wps:txbx>
                    <wps:bodyPr lIns="0" tIns="0" rIns="0" bIns="0" upright="1"/>
                  </wps:wsp>
                </a:graphicData>
              </a:graphic>
            </wp:anchor>
          </w:drawing>
        </mc:Choice>
        <mc:Fallback>
          <w:pict>
            <v:shape id="文本框 13" o:spid="_x0000_s1026" o:spt="202" type="#_x0000_t202" style="position:absolute;left:0pt;margin-top:804.55pt;height:11pt;width:13.1pt;mso-position-horizontal:center;mso-position-horizontal-relative:margin;mso-position-vertical-relative:page;z-index:251667456;mso-width-relative:page;mso-height-relative:page;" filled="f" stroked="f" coordsize="21600,21600" o:gfxdata="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QvergdYAAAAJAQAADwAAAAAAAAABACAAAAAiAAAAZHJzL2Rvd25yZXYueG1sUEsBAhQA&#10;FAAAAAgAh07iQPej7Ei7AQAAcwMAAA4AAAAAAAAAAQAgAAAAJQEAAGRycy9lMm9Eb2MueG1sUEsF&#10;BgAAAAAGAAYAWQEAAFIFAAAAAA==&#10;">
              <v:fill on="f" focussize="0,0"/>
              <v:stroke on="f"/>
              <v:imagedata o:title=""/>
              <o:lock v:ext="edit" aspectratio="f"/>
              <v:textbox inset="0mm,0mm,0mm,0mm">
                <w:txbxContent>
                  <w:p>
                    <w:pPr>
                      <w:spacing w:line="220" w:lineRule="exact"/>
                      <w:ind w:left="40"/>
                      <w:rPr>
                        <w:sz w:val="18"/>
                      </w:rPr>
                    </w:pPr>
                    <w:r>
                      <w:fldChar w:fldCharType="begin"/>
                    </w:r>
                    <w:r>
                      <w:rPr>
                        <w:sz w:val="18"/>
                      </w:rPr>
                      <w:instrText xml:space="preserve"> PAGE </w:instrText>
                    </w:r>
                    <w:r>
                      <w:fldChar w:fldCharType="separate"/>
                    </w:r>
                    <w:r>
                      <w:rPr>
                        <w:sz w:val="18"/>
                      </w:rPr>
                      <w:t>77</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line="14" w:lineRule="auto"/>
      <w:rPr>
        <w:sz w:val="20"/>
      </w:rPr>
    </w:pPr>
    <w:r>
      <mc:AlternateContent>
        <mc:Choice Requires="wps">
          <w:drawing>
            <wp:anchor distT="0" distB="0" distL="114300" distR="114300" simplePos="0" relativeHeight="251668480" behindDoc="0" locked="0" layoutInCell="1" allowOverlap="1">
              <wp:simplePos x="0" y="0"/>
              <wp:positionH relativeFrom="margin">
                <wp:posOffset>2704465</wp:posOffset>
              </wp:positionH>
              <wp:positionV relativeFrom="page">
                <wp:posOffset>10219055</wp:posOffset>
              </wp:positionV>
              <wp:extent cx="363855" cy="139700"/>
              <wp:effectExtent l="0" t="0" r="17145" b="12700"/>
              <wp:wrapNone/>
              <wp:docPr id="69" name="文本框 16"/>
              <wp:cNvGraphicFramePr/>
              <a:graphic xmlns:a="http://schemas.openxmlformats.org/drawingml/2006/main">
                <a:graphicData uri="http://schemas.microsoft.com/office/word/2010/wordprocessingShape">
                  <wps:wsp>
                    <wps:cNvSpPr txBox="1"/>
                    <wps:spPr>
                      <a:xfrm>
                        <a:off x="0" y="0"/>
                        <a:ext cx="364067" cy="139700"/>
                      </a:xfrm>
                      <a:prstGeom prst="rect">
                        <a:avLst/>
                      </a:prstGeom>
                      <a:noFill/>
                      <a:ln>
                        <a:noFill/>
                      </a:ln>
                    </wps:spPr>
                    <wps:txbx>
                      <w:txbxContent>
                        <w:p>
                          <w:pPr>
                            <w:spacing w:line="220" w:lineRule="exact"/>
                            <w:ind w:left="40"/>
                            <w:rPr>
                              <w:sz w:val="18"/>
                            </w:rPr>
                          </w:pPr>
                          <w:r>
                            <w:fldChar w:fldCharType="begin"/>
                          </w:r>
                          <w:r>
                            <w:rPr>
                              <w:sz w:val="18"/>
                            </w:rPr>
                            <w:instrText xml:space="preserve"> PAGE </w:instrText>
                          </w:r>
                          <w:r>
                            <w:fldChar w:fldCharType="separate"/>
                          </w:r>
                          <w:r>
                            <w:rPr>
                              <w:sz w:val="18"/>
                            </w:rPr>
                            <w:t>98</w:t>
                          </w:r>
                          <w:r>
                            <w:fldChar w:fldCharType="end"/>
                          </w:r>
                        </w:p>
                      </w:txbxContent>
                    </wps:txbx>
                    <wps:bodyPr wrap="square" lIns="0" tIns="0" rIns="0" bIns="0" upright="1"/>
                  </wps:wsp>
                </a:graphicData>
              </a:graphic>
            </wp:anchor>
          </w:drawing>
        </mc:Choice>
        <mc:Fallback>
          <w:pict>
            <v:shape id="文本框 16" o:spid="_x0000_s1026" o:spt="202" type="#_x0000_t202" style="position:absolute;left:0pt;margin-left:212.95pt;margin-top:804.65pt;height:11pt;width:28.65pt;mso-position-horizontal-relative:margin;mso-position-vertical-relative:page;z-index:251668480;mso-width-relative:page;mso-height-relative:page;" filled="f" stroked="f" coordsize="21600,21600" o:gfxdata="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DvhIbK2wAAAA0BAAAPAAAAAAAAAAEAIAAAACIAAABkcnMv&#10;ZG93bnJldi54bWxQSwECFAAUAAAACACHTuJArl9x0McBAACBAwAADgAAAAAAAAABACAAAAAqAQAA&#10;ZHJzL2Uyb0RvYy54bWxQSwUGAAAAAAYABgBZAQAAYwUAAAAA&#10;">
              <v:fill on="f" focussize="0,0"/>
              <v:stroke on="f"/>
              <v:imagedata o:title=""/>
              <o:lock v:ext="edit" aspectratio="f"/>
              <v:textbox inset="0mm,0mm,0mm,0mm">
                <w:txbxContent>
                  <w:p>
                    <w:pPr>
                      <w:spacing w:line="220" w:lineRule="exact"/>
                      <w:ind w:left="40"/>
                      <w:rPr>
                        <w:sz w:val="18"/>
                      </w:rPr>
                    </w:pPr>
                    <w:r>
                      <w:fldChar w:fldCharType="begin"/>
                    </w:r>
                    <w:r>
                      <w:rPr>
                        <w:sz w:val="18"/>
                      </w:rPr>
                      <w:instrText xml:space="preserve"> PAGE </w:instrText>
                    </w:r>
                    <w:r>
                      <w:fldChar w:fldCharType="separate"/>
                    </w:r>
                    <w:r>
                      <w:rPr>
                        <w:sz w:val="18"/>
                      </w:rPr>
                      <w:t>98</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spacing w:line="14" w:lineRule="auto"/>
      <w:rPr>
        <w:sz w:val="20"/>
      </w:rPr>
    </w:pPr>
    <w: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ge">
                <wp:posOffset>10217785</wp:posOffset>
              </wp:positionV>
              <wp:extent cx="222250" cy="139700"/>
              <wp:effectExtent l="0" t="0" r="0" b="0"/>
              <wp:wrapNone/>
              <wp:docPr id="77" name="文本框 24"/>
              <wp:cNvGraphicFramePr/>
              <a:graphic xmlns:a="http://schemas.openxmlformats.org/drawingml/2006/main">
                <a:graphicData uri="http://schemas.microsoft.com/office/word/2010/wordprocessingShape">
                  <wps:wsp>
                    <wps:cNvSpPr txBox="1"/>
                    <wps:spPr>
                      <a:xfrm>
                        <a:off x="0" y="0"/>
                        <a:ext cx="222250" cy="139700"/>
                      </a:xfrm>
                      <a:prstGeom prst="rect">
                        <a:avLst/>
                      </a:prstGeom>
                      <a:noFill/>
                      <a:ln>
                        <a:noFill/>
                      </a:ln>
                    </wps:spPr>
                    <wps:txbx>
                      <w:txbxContent>
                        <w:p>
                          <w:pPr>
                            <w:spacing w:line="220" w:lineRule="exact"/>
                            <w:ind w:left="40"/>
                            <w:rPr>
                              <w:sz w:val="18"/>
                            </w:rPr>
                          </w:pPr>
                          <w:r>
                            <w:fldChar w:fldCharType="begin"/>
                          </w:r>
                          <w:r>
                            <w:rPr>
                              <w:sz w:val="18"/>
                            </w:rPr>
                            <w:instrText xml:space="preserve"> PAGE </w:instrText>
                          </w:r>
                          <w:r>
                            <w:fldChar w:fldCharType="separate"/>
                          </w:r>
                          <w:r>
                            <w:rPr>
                              <w:sz w:val="18"/>
                            </w:rPr>
                            <w:t>172</w:t>
                          </w:r>
                          <w:r>
                            <w:fldChar w:fldCharType="end"/>
                          </w:r>
                        </w:p>
                      </w:txbxContent>
                    </wps:txbx>
                    <wps:bodyPr lIns="0" tIns="0" rIns="0" bIns="0" upright="1"/>
                  </wps:wsp>
                </a:graphicData>
              </a:graphic>
            </wp:anchor>
          </w:drawing>
        </mc:Choice>
        <mc:Fallback>
          <w:pict>
            <v:shape id="文本框 24" o:spid="_x0000_s1026" o:spt="202" type="#_x0000_t202" style="position:absolute;left:0pt;margin-top:804.55pt;height:11pt;width:17.5pt;mso-position-horizontal:center;mso-position-horizontal-relative:margin;mso-position-vertical-relative:page;z-index:251669504;mso-width-relative:page;mso-height-relative:page;" filled="f" stroked="f" coordsize="21600,21600" o:gfxdata="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w4jiDdYAAAAJAQAADwAAAAAAAAABACAAAAAiAAAAZHJzL2Rvd25yZXYueG1sUEsBAhQA&#10;FAAAAAgAh07iQC/H4re7AQAAcwMAAA4AAAAAAAAAAQAgAAAAJQEAAGRycy9lMm9Eb2MueG1sUEsF&#10;BgAAAAAGAAYAWQEAAFIFAAAAAA==&#10;">
              <v:fill on="f" focussize="0,0"/>
              <v:stroke on="f"/>
              <v:imagedata o:title=""/>
              <o:lock v:ext="edit" aspectratio="f"/>
              <v:textbox inset="0mm,0mm,0mm,0mm">
                <w:txbxContent>
                  <w:p>
                    <w:pPr>
                      <w:spacing w:line="220" w:lineRule="exact"/>
                      <w:ind w:left="40"/>
                      <w:rPr>
                        <w:sz w:val="18"/>
                      </w:rPr>
                    </w:pPr>
                    <w:r>
                      <w:fldChar w:fldCharType="begin"/>
                    </w:r>
                    <w:r>
                      <w:rPr>
                        <w:sz w:val="18"/>
                      </w:rPr>
                      <w:instrText xml:space="preserve"> PAGE </w:instrText>
                    </w:r>
                    <w:r>
                      <w:fldChar w:fldCharType="separate"/>
                    </w:r>
                    <w:r>
                      <w:rPr>
                        <w:sz w:val="18"/>
                      </w:rPr>
                      <w:t>172</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4E4E29"/>
    <w:multiLevelType w:val="multilevel"/>
    <w:tmpl w:val="804E4E29"/>
    <w:lvl w:ilvl="0" w:tentative="0">
      <w:start w:val="1"/>
      <w:numFmt w:val="decimal"/>
      <w:suff w:val="space"/>
      <w:lvlText w:val="（%1）"/>
      <w:lvlJc w:val="left"/>
      <w:pPr>
        <w:ind w:left="1682" w:hanging="704"/>
      </w:pPr>
      <w:rPr>
        <w:rFonts w:hint="default" w:ascii="仿宋" w:hAnsi="仿宋" w:eastAsia="仿宋" w:cs="仿宋"/>
        <w:spacing w:val="-3"/>
        <w:w w:val="99"/>
        <w:sz w:val="26"/>
        <w:szCs w:val="26"/>
        <w:lang w:val="zh-CN" w:eastAsia="zh-CN" w:bidi="zh-CN"/>
      </w:rPr>
    </w:lvl>
    <w:lvl w:ilvl="1" w:tentative="0">
      <w:start w:val="0"/>
      <w:numFmt w:val="bullet"/>
      <w:lvlText w:val="•"/>
      <w:lvlJc w:val="left"/>
      <w:pPr>
        <w:ind w:left="2541" w:hanging="704"/>
      </w:pPr>
      <w:rPr>
        <w:rFonts w:hint="default"/>
        <w:lang w:val="zh-CN" w:eastAsia="zh-CN" w:bidi="zh-CN"/>
      </w:rPr>
    </w:lvl>
    <w:lvl w:ilvl="2" w:tentative="0">
      <w:start w:val="0"/>
      <w:numFmt w:val="bullet"/>
      <w:lvlText w:val="•"/>
      <w:lvlJc w:val="left"/>
      <w:pPr>
        <w:ind w:left="3402" w:hanging="704"/>
      </w:pPr>
      <w:rPr>
        <w:rFonts w:hint="default"/>
        <w:lang w:val="zh-CN" w:eastAsia="zh-CN" w:bidi="zh-CN"/>
      </w:rPr>
    </w:lvl>
    <w:lvl w:ilvl="3" w:tentative="0">
      <w:start w:val="0"/>
      <w:numFmt w:val="bullet"/>
      <w:lvlText w:val="•"/>
      <w:lvlJc w:val="left"/>
      <w:pPr>
        <w:ind w:left="4263" w:hanging="704"/>
      </w:pPr>
      <w:rPr>
        <w:rFonts w:hint="default"/>
        <w:lang w:val="zh-CN" w:eastAsia="zh-CN" w:bidi="zh-CN"/>
      </w:rPr>
    </w:lvl>
    <w:lvl w:ilvl="4" w:tentative="0">
      <w:start w:val="0"/>
      <w:numFmt w:val="bullet"/>
      <w:lvlText w:val="•"/>
      <w:lvlJc w:val="left"/>
      <w:pPr>
        <w:ind w:left="5124" w:hanging="704"/>
      </w:pPr>
      <w:rPr>
        <w:rFonts w:hint="default"/>
        <w:lang w:val="zh-CN" w:eastAsia="zh-CN" w:bidi="zh-CN"/>
      </w:rPr>
    </w:lvl>
    <w:lvl w:ilvl="5" w:tentative="0">
      <w:start w:val="0"/>
      <w:numFmt w:val="bullet"/>
      <w:lvlText w:val="•"/>
      <w:lvlJc w:val="left"/>
      <w:pPr>
        <w:ind w:left="5985" w:hanging="704"/>
      </w:pPr>
      <w:rPr>
        <w:rFonts w:hint="default"/>
        <w:lang w:val="zh-CN" w:eastAsia="zh-CN" w:bidi="zh-CN"/>
      </w:rPr>
    </w:lvl>
    <w:lvl w:ilvl="6" w:tentative="0">
      <w:start w:val="0"/>
      <w:numFmt w:val="bullet"/>
      <w:lvlText w:val="•"/>
      <w:lvlJc w:val="left"/>
      <w:pPr>
        <w:ind w:left="6846" w:hanging="704"/>
      </w:pPr>
      <w:rPr>
        <w:rFonts w:hint="default"/>
        <w:lang w:val="zh-CN" w:eastAsia="zh-CN" w:bidi="zh-CN"/>
      </w:rPr>
    </w:lvl>
    <w:lvl w:ilvl="7" w:tentative="0">
      <w:start w:val="0"/>
      <w:numFmt w:val="bullet"/>
      <w:lvlText w:val="•"/>
      <w:lvlJc w:val="left"/>
      <w:pPr>
        <w:ind w:left="7707" w:hanging="704"/>
      </w:pPr>
      <w:rPr>
        <w:rFonts w:hint="default"/>
        <w:lang w:val="zh-CN" w:eastAsia="zh-CN" w:bidi="zh-CN"/>
      </w:rPr>
    </w:lvl>
    <w:lvl w:ilvl="8" w:tentative="0">
      <w:start w:val="0"/>
      <w:numFmt w:val="bullet"/>
      <w:lvlText w:val="•"/>
      <w:lvlJc w:val="left"/>
      <w:pPr>
        <w:ind w:left="8568" w:hanging="704"/>
      </w:pPr>
      <w:rPr>
        <w:rFonts w:hint="default"/>
        <w:lang w:val="zh-CN" w:eastAsia="zh-CN" w:bidi="zh-CN"/>
      </w:rPr>
    </w:lvl>
  </w:abstractNum>
  <w:abstractNum w:abstractNumId="1">
    <w:nsid w:val="813A4B87"/>
    <w:multiLevelType w:val="multilevel"/>
    <w:tmpl w:val="813A4B87"/>
    <w:lvl w:ilvl="0" w:tentative="0">
      <w:start w:val="1"/>
      <w:numFmt w:val="decimal"/>
      <w:suff w:val="space"/>
      <w:lvlText w:val="%1)"/>
      <w:lvlJc w:val="left"/>
      <w:pPr>
        <w:ind w:left="1999" w:hanging="423"/>
      </w:pPr>
      <w:rPr>
        <w:rFonts w:hint="default"/>
        <w:spacing w:val="0"/>
        <w:w w:val="100"/>
        <w:lang w:val="zh-CN" w:eastAsia="zh-CN" w:bidi="zh-CN"/>
      </w:rPr>
    </w:lvl>
    <w:lvl w:ilvl="1" w:tentative="0">
      <w:start w:val="0"/>
      <w:numFmt w:val="bullet"/>
      <w:lvlText w:val="•"/>
      <w:lvlJc w:val="left"/>
      <w:pPr>
        <w:ind w:left="2829" w:hanging="423"/>
      </w:pPr>
      <w:rPr>
        <w:rFonts w:hint="default"/>
        <w:lang w:val="zh-CN" w:eastAsia="zh-CN" w:bidi="zh-CN"/>
      </w:rPr>
    </w:lvl>
    <w:lvl w:ilvl="2" w:tentative="0">
      <w:start w:val="0"/>
      <w:numFmt w:val="bullet"/>
      <w:lvlText w:val="•"/>
      <w:lvlJc w:val="left"/>
      <w:pPr>
        <w:ind w:left="3658" w:hanging="423"/>
      </w:pPr>
      <w:rPr>
        <w:rFonts w:hint="default"/>
        <w:lang w:val="zh-CN" w:eastAsia="zh-CN" w:bidi="zh-CN"/>
      </w:rPr>
    </w:lvl>
    <w:lvl w:ilvl="3" w:tentative="0">
      <w:start w:val="0"/>
      <w:numFmt w:val="bullet"/>
      <w:lvlText w:val="•"/>
      <w:lvlJc w:val="left"/>
      <w:pPr>
        <w:ind w:left="4487" w:hanging="423"/>
      </w:pPr>
      <w:rPr>
        <w:rFonts w:hint="default"/>
        <w:lang w:val="zh-CN" w:eastAsia="zh-CN" w:bidi="zh-CN"/>
      </w:rPr>
    </w:lvl>
    <w:lvl w:ilvl="4" w:tentative="0">
      <w:start w:val="0"/>
      <w:numFmt w:val="bullet"/>
      <w:lvlText w:val="•"/>
      <w:lvlJc w:val="left"/>
      <w:pPr>
        <w:ind w:left="5316" w:hanging="423"/>
      </w:pPr>
      <w:rPr>
        <w:rFonts w:hint="default"/>
        <w:lang w:val="zh-CN" w:eastAsia="zh-CN" w:bidi="zh-CN"/>
      </w:rPr>
    </w:lvl>
    <w:lvl w:ilvl="5" w:tentative="0">
      <w:start w:val="0"/>
      <w:numFmt w:val="bullet"/>
      <w:lvlText w:val="•"/>
      <w:lvlJc w:val="left"/>
      <w:pPr>
        <w:ind w:left="6145" w:hanging="423"/>
      </w:pPr>
      <w:rPr>
        <w:rFonts w:hint="default"/>
        <w:lang w:val="zh-CN" w:eastAsia="zh-CN" w:bidi="zh-CN"/>
      </w:rPr>
    </w:lvl>
    <w:lvl w:ilvl="6" w:tentative="0">
      <w:start w:val="0"/>
      <w:numFmt w:val="bullet"/>
      <w:lvlText w:val="•"/>
      <w:lvlJc w:val="left"/>
      <w:pPr>
        <w:ind w:left="6974" w:hanging="423"/>
      </w:pPr>
      <w:rPr>
        <w:rFonts w:hint="default"/>
        <w:lang w:val="zh-CN" w:eastAsia="zh-CN" w:bidi="zh-CN"/>
      </w:rPr>
    </w:lvl>
    <w:lvl w:ilvl="7" w:tentative="0">
      <w:start w:val="0"/>
      <w:numFmt w:val="bullet"/>
      <w:lvlText w:val="•"/>
      <w:lvlJc w:val="left"/>
      <w:pPr>
        <w:ind w:left="7803" w:hanging="423"/>
      </w:pPr>
      <w:rPr>
        <w:rFonts w:hint="default"/>
        <w:lang w:val="zh-CN" w:eastAsia="zh-CN" w:bidi="zh-CN"/>
      </w:rPr>
    </w:lvl>
    <w:lvl w:ilvl="8" w:tentative="0">
      <w:start w:val="0"/>
      <w:numFmt w:val="bullet"/>
      <w:lvlText w:val="•"/>
      <w:lvlJc w:val="left"/>
      <w:pPr>
        <w:ind w:left="8632" w:hanging="423"/>
      </w:pPr>
      <w:rPr>
        <w:rFonts w:hint="default"/>
        <w:lang w:val="zh-CN" w:eastAsia="zh-CN" w:bidi="zh-CN"/>
      </w:rPr>
    </w:lvl>
  </w:abstractNum>
  <w:abstractNum w:abstractNumId="2">
    <w:nsid w:val="825EC3C5"/>
    <w:multiLevelType w:val="multilevel"/>
    <w:tmpl w:val="825EC3C5"/>
    <w:lvl w:ilvl="0" w:tentative="0">
      <w:start w:val="1"/>
      <w:numFmt w:val="decimal"/>
      <w:suff w:val="space"/>
      <w:lvlText w:val="（%1）"/>
      <w:lvlJc w:val="left"/>
      <w:pPr>
        <w:ind w:left="2270" w:hanging="694"/>
      </w:pPr>
      <w:rPr>
        <w:rFonts w:hint="default" w:ascii="仿宋" w:hAnsi="仿宋" w:eastAsia="仿宋" w:cs="仿宋"/>
        <w:spacing w:val="-8"/>
        <w:w w:val="99"/>
        <w:sz w:val="26"/>
        <w:szCs w:val="26"/>
        <w:lang w:val="zh-CN" w:eastAsia="zh-CN" w:bidi="zh-CN"/>
      </w:rPr>
    </w:lvl>
    <w:lvl w:ilvl="1" w:tentative="0">
      <w:start w:val="0"/>
      <w:numFmt w:val="bullet"/>
      <w:lvlText w:val="•"/>
      <w:lvlJc w:val="left"/>
      <w:pPr>
        <w:ind w:left="3081" w:hanging="694"/>
      </w:pPr>
      <w:rPr>
        <w:rFonts w:hint="default"/>
        <w:lang w:val="zh-CN" w:eastAsia="zh-CN" w:bidi="zh-CN"/>
      </w:rPr>
    </w:lvl>
    <w:lvl w:ilvl="2" w:tentative="0">
      <w:start w:val="0"/>
      <w:numFmt w:val="bullet"/>
      <w:lvlText w:val="•"/>
      <w:lvlJc w:val="left"/>
      <w:pPr>
        <w:ind w:left="3882" w:hanging="694"/>
      </w:pPr>
      <w:rPr>
        <w:rFonts w:hint="default"/>
        <w:lang w:val="zh-CN" w:eastAsia="zh-CN" w:bidi="zh-CN"/>
      </w:rPr>
    </w:lvl>
    <w:lvl w:ilvl="3" w:tentative="0">
      <w:start w:val="0"/>
      <w:numFmt w:val="bullet"/>
      <w:lvlText w:val="•"/>
      <w:lvlJc w:val="left"/>
      <w:pPr>
        <w:ind w:left="4683" w:hanging="694"/>
      </w:pPr>
      <w:rPr>
        <w:rFonts w:hint="default"/>
        <w:lang w:val="zh-CN" w:eastAsia="zh-CN" w:bidi="zh-CN"/>
      </w:rPr>
    </w:lvl>
    <w:lvl w:ilvl="4" w:tentative="0">
      <w:start w:val="0"/>
      <w:numFmt w:val="bullet"/>
      <w:lvlText w:val="•"/>
      <w:lvlJc w:val="left"/>
      <w:pPr>
        <w:ind w:left="5484" w:hanging="694"/>
      </w:pPr>
      <w:rPr>
        <w:rFonts w:hint="default"/>
        <w:lang w:val="zh-CN" w:eastAsia="zh-CN" w:bidi="zh-CN"/>
      </w:rPr>
    </w:lvl>
    <w:lvl w:ilvl="5" w:tentative="0">
      <w:start w:val="0"/>
      <w:numFmt w:val="bullet"/>
      <w:lvlText w:val="•"/>
      <w:lvlJc w:val="left"/>
      <w:pPr>
        <w:ind w:left="6285" w:hanging="694"/>
      </w:pPr>
      <w:rPr>
        <w:rFonts w:hint="default"/>
        <w:lang w:val="zh-CN" w:eastAsia="zh-CN" w:bidi="zh-CN"/>
      </w:rPr>
    </w:lvl>
    <w:lvl w:ilvl="6" w:tentative="0">
      <w:start w:val="0"/>
      <w:numFmt w:val="bullet"/>
      <w:lvlText w:val="•"/>
      <w:lvlJc w:val="left"/>
      <w:pPr>
        <w:ind w:left="7086" w:hanging="694"/>
      </w:pPr>
      <w:rPr>
        <w:rFonts w:hint="default"/>
        <w:lang w:val="zh-CN" w:eastAsia="zh-CN" w:bidi="zh-CN"/>
      </w:rPr>
    </w:lvl>
    <w:lvl w:ilvl="7" w:tentative="0">
      <w:start w:val="0"/>
      <w:numFmt w:val="bullet"/>
      <w:lvlText w:val="•"/>
      <w:lvlJc w:val="left"/>
      <w:pPr>
        <w:ind w:left="7887" w:hanging="694"/>
      </w:pPr>
      <w:rPr>
        <w:rFonts w:hint="default"/>
        <w:lang w:val="zh-CN" w:eastAsia="zh-CN" w:bidi="zh-CN"/>
      </w:rPr>
    </w:lvl>
    <w:lvl w:ilvl="8" w:tentative="0">
      <w:start w:val="0"/>
      <w:numFmt w:val="bullet"/>
      <w:lvlText w:val="•"/>
      <w:lvlJc w:val="left"/>
      <w:pPr>
        <w:ind w:left="8688" w:hanging="694"/>
      </w:pPr>
      <w:rPr>
        <w:rFonts w:hint="default"/>
        <w:lang w:val="zh-CN" w:eastAsia="zh-CN" w:bidi="zh-CN"/>
      </w:rPr>
    </w:lvl>
  </w:abstractNum>
  <w:abstractNum w:abstractNumId="3">
    <w:nsid w:val="8461FADE"/>
    <w:multiLevelType w:val="multilevel"/>
    <w:tmpl w:val="8461FADE"/>
    <w:lvl w:ilvl="0" w:tentative="0">
      <w:start w:val="1"/>
      <w:numFmt w:val="decimal"/>
      <w:suff w:val="space"/>
      <w:lvlText w:val="%1)"/>
      <w:lvlJc w:val="left"/>
      <w:pPr>
        <w:ind w:left="1020" w:hanging="284"/>
      </w:pPr>
      <w:rPr>
        <w:rFonts w:hint="default" w:ascii="仿宋" w:hAnsi="仿宋" w:eastAsia="仿宋" w:cs="仿宋"/>
        <w:w w:val="99"/>
        <w:sz w:val="26"/>
        <w:szCs w:val="26"/>
        <w:lang w:val="zh-CN" w:eastAsia="zh-CN" w:bidi="zh-CN"/>
      </w:rPr>
    </w:lvl>
    <w:lvl w:ilvl="1" w:tentative="0">
      <w:start w:val="0"/>
      <w:numFmt w:val="bullet"/>
      <w:lvlText w:val="•"/>
      <w:lvlJc w:val="left"/>
      <w:pPr>
        <w:ind w:left="1947" w:hanging="284"/>
      </w:pPr>
      <w:rPr>
        <w:rFonts w:hint="default"/>
        <w:lang w:val="zh-CN" w:eastAsia="zh-CN" w:bidi="zh-CN"/>
      </w:rPr>
    </w:lvl>
    <w:lvl w:ilvl="2" w:tentative="0">
      <w:start w:val="0"/>
      <w:numFmt w:val="bullet"/>
      <w:lvlText w:val="•"/>
      <w:lvlJc w:val="left"/>
      <w:pPr>
        <w:ind w:left="2874" w:hanging="284"/>
      </w:pPr>
      <w:rPr>
        <w:rFonts w:hint="default"/>
        <w:lang w:val="zh-CN" w:eastAsia="zh-CN" w:bidi="zh-CN"/>
      </w:rPr>
    </w:lvl>
    <w:lvl w:ilvl="3" w:tentative="0">
      <w:start w:val="0"/>
      <w:numFmt w:val="bullet"/>
      <w:lvlText w:val="•"/>
      <w:lvlJc w:val="left"/>
      <w:pPr>
        <w:ind w:left="3801" w:hanging="284"/>
      </w:pPr>
      <w:rPr>
        <w:rFonts w:hint="default"/>
        <w:lang w:val="zh-CN" w:eastAsia="zh-CN" w:bidi="zh-CN"/>
      </w:rPr>
    </w:lvl>
    <w:lvl w:ilvl="4" w:tentative="0">
      <w:start w:val="0"/>
      <w:numFmt w:val="bullet"/>
      <w:lvlText w:val="•"/>
      <w:lvlJc w:val="left"/>
      <w:pPr>
        <w:ind w:left="4728" w:hanging="284"/>
      </w:pPr>
      <w:rPr>
        <w:rFonts w:hint="default"/>
        <w:lang w:val="zh-CN" w:eastAsia="zh-CN" w:bidi="zh-CN"/>
      </w:rPr>
    </w:lvl>
    <w:lvl w:ilvl="5" w:tentative="0">
      <w:start w:val="0"/>
      <w:numFmt w:val="bullet"/>
      <w:lvlText w:val="•"/>
      <w:lvlJc w:val="left"/>
      <w:pPr>
        <w:ind w:left="5655" w:hanging="284"/>
      </w:pPr>
      <w:rPr>
        <w:rFonts w:hint="default"/>
        <w:lang w:val="zh-CN" w:eastAsia="zh-CN" w:bidi="zh-CN"/>
      </w:rPr>
    </w:lvl>
    <w:lvl w:ilvl="6" w:tentative="0">
      <w:start w:val="0"/>
      <w:numFmt w:val="bullet"/>
      <w:lvlText w:val="•"/>
      <w:lvlJc w:val="left"/>
      <w:pPr>
        <w:ind w:left="6582" w:hanging="284"/>
      </w:pPr>
      <w:rPr>
        <w:rFonts w:hint="default"/>
        <w:lang w:val="zh-CN" w:eastAsia="zh-CN" w:bidi="zh-CN"/>
      </w:rPr>
    </w:lvl>
    <w:lvl w:ilvl="7" w:tentative="0">
      <w:start w:val="0"/>
      <w:numFmt w:val="bullet"/>
      <w:lvlText w:val="•"/>
      <w:lvlJc w:val="left"/>
      <w:pPr>
        <w:ind w:left="7509" w:hanging="284"/>
      </w:pPr>
      <w:rPr>
        <w:rFonts w:hint="default"/>
        <w:lang w:val="zh-CN" w:eastAsia="zh-CN" w:bidi="zh-CN"/>
      </w:rPr>
    </w:lvl>
    <w:lvl w:ilvl="8" w:tentative="0">
      <w:start w:val="0"/>
      <w:numFmt w:val="bullet"/>
      <w:lvlText w:val="•"/>
      <w:lvlJc w:val="left"/>
      <w:pPr>
        <w:ind w:left="8436" w:hanging="284"/>
      </w:pPr>
      <w:rPr>
        <w:rFonts w:hint="default"/>
        <w:lang w:val="zh-CN" w:eastAsia="zh-CN" w:bidi="zh-CN"/>
      </w:rPr>
    </w:lvl>
  </w:abstractNum>
  <w:abstractNum w:abstractNumId="4">
    <w:nsid w:val="84870DE6"/>
    <w:multiLevelType w:val="multilevel"/>
    <w:tmpl w:val="84870DE6"/>
    <w:lvl w:ilvl="0" w:tentative="0">
      <w:start w:val="17"/>
      <w:numFmt w:val="decimal"/>
      <w:lvlText w:val="%1"/>
      <w:lvlJc w:val="left"/>
      <w:pPr>
        <w:ind w:left="938" w:hanging="682"/>
      </w:pPr>
      <w:rPr>
        <w:rFonts w:hint="default"/>
        <w:lang w:val="zh-CN" w:eastAsia="zh-CN" w:bidi="zh-CN"/>
      </w:rPr>
    </w:lvl>
    <w:lvl w:ilvl="1" w:tentative="0">
      <w:start w:val="1"/>
      <w:numFmt w:val="decimal"/>
      <w:suff w:val="space"/>
      <w:lvlText w:val="%1.%2"/>
      <w:lvlJc w:val="left"/>
      <w:pPr>
        <w:ind w:left="0" w:firstLine="0"/>
      </w:pPr>
      <w:rPr>
        <w:rFonts w:hint="default" w:ascii="黑体" w:hAnsi="黑体" w:eastAsia="黑体" w:cs="黑体"/>
        <w:b/>
        <w:bCs/>
        <w:spacing w:val="0"/>
        <w:w w:val="99"/>
        <w:sz w:val="30"/>
        <w:szCs w:val="30"/>
        <w:lang w:val="zh-CN" w:eastAsia="zh-CN" w:bidi="zh-CN"/>
      </w:rPr>
    </w:lvl>
    <w:lvl w:ilvl="2" w:tentative="0">
      <w:start w:val="1"/>
      <w:numFmt w:val="decimal"/>
      <w:suff w:val="nothing"/>
      <w:lvlText w:val="(%3)"/>
      <w:lvlJc w:val="left"/>
      <w:pPr>
        <w:ind w:left="679" w:hanging="406"/>
      </w:pPr>
      <w:rPr>
        <w:rFonts w:hint="default" w:ascii="仿宋" w:hAnsi="仿宋" w:eastAsia="仿宋" w:cs="仿宋"/>
        <w:spacing w:val="-15"/>
        <w:w w:val="99"/>
        <w:sz w:val="26"/>
        <w:szCs w:val="26"/>
        <w:lang w:val="zh-CN" w:eastAsia="zh-CN" w:bidi="zh-CN"/>
      </w:rPr>
    </w:lvl>
    <w:lvl w:ilvl="3" w:tentative="0">
      <w:start w:val="0"/>
      <w:numFmt w:val="bullet"/>
      <w:lvlText w:val="•"/>
      <w:lvlJc w:val="left"/>
      <w:pPr>
        <w:ind w:left="3017" w:hanging="406"/>
      </w:pPr>
      <w:rPr>
        <w:rFonts w:hint="default"/>
        <w:lang w:val="zh-CN" w:eastAsia="zh-CN" w:bidi="zh-CN"/>
      </w:rPr>
    </w:lvl>
    <w:lvl w:ilvl="4" w:tentative="0">
      <w:start w:val="0"/>
      <w:numFmt w:val="bullet"/>
      <w:lvlText w:val="•"/>
      <w:lvlJc w:val="left"/>
      <w:pPr>
        <w:ind w:left="4056" w:hanging="406"/>
      </w:pPr>
      <w:rPr>
        <w:rFonts w:hint="default"/>
        <w:lang w:val="zh-CN" w:eastAsia="zh-CN" w:bidi="zh-CN"/>
      </w:rPr>
    </w:lvl>
    <w:lvl w:ilvl="5" w:tentative="0">
      <w:start w:val="0"/>
      <w:numFmt w:val="bullet"/>
      <w:lvlText w:val="•"/>
      <w:lvlJc w:val="left"/>
      <w:pPr>
        <w:ind w:left="5095" w:hanging="406"/>
      </w:pPr>
      <w:rPr>
        <w:rFonts w:hint="default"/>
        <w:lang w:val="zh-CN" w:eastAsia="zh-CN" w:bidi="zh-CN"/>
      </w:rPr>
    </w:lvl>
    <w:lvl w:ilvl="6" w:tentative="0">
      <w:start w:val="0"/>
      <w:numFmt w:val="bullet"/>
      <w:lvlText w:val="•"/>
      <w:lvlJc w:val="left"/>
      <w:pPr>
        <w:ind w:left="6134" w:hanging="406"/>
      </w:pPr>
      <w:rPr>
        <w:rFonts w:hint="default"/>
        <w:lang w:val="zh-CN" w:eastAsia="zh-CN" w:bidi="zh-CN"/>
      </w:rPr>
    </w:lvl>
    <w:lvl w:ilvl="7" w:tentative="0">
      <w:start w:val="0"/>
      <w:numFmt w:val="bullet"/>
      <w:lvlText w:val="•"/>
      <w:lvlJc w:val="left"/>
      <w:pPr>
        <w:ind w:left="7173" w:hanging="406"/>
      </w:pPr>
      <w:rPr>
        <w:rFonts w:hint="default"/>
        <w:lang w:val="zh-CN" w:eastAsia="zh-CN" w:bidi="zh-CN"/>
      </w:rPr>
    </w:lvl>
    <w:lvl w:ilvl="8" w:tentative="0">
      <w:start w:val="0"/>
      <w:numFmt w:val="bullet"/>
      <w:lvlText w:val="•"/>
      <w:lvlJc w:val="left"/>
      <w:pPr>
        <w:ind w:left="8212" w:hanging="406"/>
      </w:pPr>
      <w:rPr>
        <w:rFonts w:hint="default"/>
        <w:lang w:val="zh-CN" w:eastAsia="zh-CN" w:bidi="zh-CN"/>
      </w:rPr>
    </w:lvl>
  </w:abstractNum>
  <w:abstractNum w:abstractNumId="5">
    <w:nsid w:val="86177475"/>
    <w:multiLevelType w:val="multilevel"/>
    <w:tmpl w:val="86177475"/>
    <w:lvl w:ilvl="0" w:tentative="0">
      <w:start w:val="7"/>
      <w:numFmt w:val="decimal"/>
      <w:lvlText w:val="%1"/>
      <w:lvlJc w:val="left"/>
      <w:pPr>
        <w:ind w:left="1548" w:hanging="528"/>
      </w:pPr>
      <w:rPr>
        <w:rFonts w:hint="default"/>
        <w:lang w:val="zh-CN" w:eastAsia="zh-CN" w:bidi="zh-CN"/>
      </w:rPr>
    </w:lvl>
    <w:lvl w:ilvl="1" w:tentative="0">
      <w:start w:val="1"/>
      <w:numFmt w:val="decimal"/>
      <w:suff w:val="space"/>
      <w:lvlText w:val="%1.%2"/>
      <w:lvlJc w:val="left"/>
      <w:pPr>
        <w:ind w:left="0" w:firstLine="0"/>
      </w:pPr>
      <w:rPr>
        <w:rFonts w:hint="default" w:ascii="黑体" w:hAnsi="黑体" w:eastAsia="黑体" w:cs="黑体"/>
        <w:b/>
        <w:bCs/>
        <w:spacing w:val="0"/>
        <w:w w:val="99"/>
        <w:sz w:val="30"/>
        <w:szCs w:val="30"/>
        <w:lang w:val="zh-CN" w:eastAsia="zh-CN" w:bidi="zh-CN"/>
      </w:rPr>
    </w:lvl>
    <w:lvl w:ilvl="2" w:tentative="0">
      <w:start w:val="0"/>
      <w:numFmt w:val="bullet"/>
      <w:lvlText w:val="•"/>
      <w:lvlJc w:val="left"/>
      <w:pPr>
        <w:ind w:left="3290" w:hanging="528"/>
      </w:pPr>
      <w:rPr>
        <w:rFonts w:hint="default"/>
        <w:lang w:val="zh-CN" w:eastAsia="zh-CN" w:bidi="zh-CN"/>
      </w:rPr>
    </w:lvl>
    <w:lvl w:ilvl="3" w:tentative="0">
      <w:start w:val="0"/>
      <w:numFmt w:val="bullet"/>
      <w:lvlText w:val="•"/>
      <w:lvlJc w:val="left"/>
      <w:pPr>
        <w:ind w:left="4165" w:hanging="528"/>
      </w:pPr>
      <w:rPr>
        <w:rFonts w:hint="default"/>
        <w:lang w:val="zh-CN" w:eastAsia="zh-CN" w:bidi="zh-CN"/>
      </w:rPr>
    </w:lvl>
    <w:lvl w:ilvl="4" w:tentative="0">
      <w:start w:val="0"/>
      <w:numFmt w:val="bullet"/>
      <w:lvlText w:val="•"/>
      <w:lvlJc w:val="left"/>
      <w:pPr>
        <w:ind w:left="5040" w:hanging="528"/>
      </w:pPr>
      <w:rPr>
        <w:rFonts w:hint="default"/>
        <w:lang w:val="zh-CN" w:eastAsia="zh-CN" w:bidi="zh-CN"/>
      </w:rPr>
    </w:lvl>
    <w:lvl w:ilvl="5" w:tentative="0">
      <w:start w:val="0"/>
      <w:numFmt w:val="bullet"/>
      <w:lvlText w:val="•"/>
      <w:lvlJc w:val="left"/>
      <w:pPr>
        <w:ind w:left="5915" w:hanging="528"/>
      </w:pPr>
      <w:rPr>
        <w:rFonts w:hint="default"/>
        <w:lang w:val="zh-CN" w:eastAsia="zh-CN" w:bidi="zh-CN"/>
      </w:rPr>
    </w:lvl>
    <w:lvl w:ilvl="6" w:tentative="0">
      <w:start w:val="0"/>
      <w:numFmt w:val="bullet"/>
      <w:lvlText w:val="•"/>
      <w:lvlJc w:val="left"/>
      <w:pPr>
        <w:ind w:left="6790" w:hanging="528"/>
      </w:pPr>
      <w:rPr>
        <w:rFonts w:hint="default"/>
        <w:lang w:val="zh-CN" w:eastAsia="zh-CN" w:bidi="zh-CN"/>
      </w:rPr>
    </w:lvl>
    <w:lvl w:ilvl="7" w:tentative="0">
      <w:start w:val="0"/>
      <w:numFmt w:val="bullet"/>
      <w:lvlText w:val="•"/>
      <w:lvlJc w:val="left"/>
      <w:pPr>
        <w:ind w:left="7665" w:hanging="528"/>
      </w:pPr>
      <w:rPr>
        <w:rFonts w:hint="default"/>
        <w:lang w:val="zh-CN" w:eastAsia="zh-CN" w:bidi="zh-CN"/>
      </w:rPr>
    </w:lvl>
    <w:lvl w:ilvl="8" w:tentative="0">
      <w:start w:val="0"/>
      <w:numFmt w:val="bullet"/>
      <w:lvlText w:val="•"/>
      <w:lvlJc w:val="left"/>
      <w:pPr>
        <w:ind w:left="8540" w:hanging="528"/>
      </w:pPr>
      <w:rPr>
        <w:rFonts w:hint="default"/>
        <w:lang w:val="zh-CN" w:eastAsia="zh-CN" w:bidi="zh-CN"/>
      </w:rPr>
    </w:lvl>
  </w:abstractNum>
  <w:abstractNum w:abstractNumId="6">
    <w:nsid w:val="883B3669"/>
    <w:multiLevelType w:val="multilevel"/>
    <w:tmpl w:val="883B3669"/>
    <w:lvl w:ilvl="0" w:tentative="0">
      <w:start w:val="1"/>
      <w:numFmt w:val="decimal"/>
      <w:suff w:val="space"/>
      <w:lvlText w:val="%1）"/>
      <w:lvlJc w:val="left"/>
      <w:pPr>
        <w:ind w:left="2004" w:hanging="428"/>
      </w:pPr>
      <w:rPr>
        <w:rFonts w:hint="default" w:ascii="仿宋" w:hAnsi="仿宋" w:eastAsia="仿宋" w:cs="仿宋"/>
        <w:w w:val="99"/>
        <w:sz w:val="26"/>
        <w:szCs w:val="26"/>
        <w:lang w:val="zh-CN" w:eastAsia="zh-CN" w:bidi="zh-CN"/>
      </w:rPr>
    </w:lvl>
    <w:lvl w:ilvl="1" w:tentative="0">
      <w:start w:val="0"/>
      <w:numFmt w:val="bullet"/>
      <w:lvlText w:val="•"/>
      <w:lvlJc w:val="left"/>
      <w:pPr>
        <w:ind w:left="2829" w:hanging="428"/>
      </w:pPr>
      <w:rPr>
        <w:rFonts w:hint="default"/>
        <w:lang w:val="zh-CN" w:eastAsia="zh-CN" w:bidi="zh-CN"/>
      </w:rPr>
    </w:lvl>
    <w:lvl w:ilvl="2" w:tentative="0">
      <w:start w:val="0"/>
      <w:numFmt w:val="bullet"/>
      <w:lvlText w:val="•"/>
      <w:lvlJc w:val="left"/>
      <w:pPr>
        <w:ind w:left="3658" w:hanging="428"/>
      </w:pPr>
      <w:rPr>
        <w:rFonts w:hint="default"/>
        <w:lang w:val="zh-CN" w:eastAsia="zh-CN" w:bidi="zh-CN"/>
      </w:rPr>
    </w:lvl>
    <w:lvl w:ilvl="3" w:tentative="0">
      <w:start w:val="0"/>
      <w:numFmt w:val="bullet"/>
      <w:lvlText w:val="•"/>
      <w:lvlJc w:val="left"/>
      <w:pPr>
        <w:ind w:left="4487" w:hanging="428"/>
      </w:pPr>
      <w:rPr>
        <w:rFonts w:hint="default"/>
        <w:lang w:val="zh-CN" w:eastAsia="zh-CN" w:bidi="zh-CN"/>
      </w:rPr>
    </w:lvl>
    <w:lvl w:ilvl="4" w:tentative="0">
      <w:start w:val="0"/>
      <w:numFmt w:val="bullet"/>
      <w:lvlText w:val="•"/>
      <w:lvlJc w:val="left"/>
      <w:pPr>
        <w:ind w:left="5316" w:hanging="428"/>
      </w:pPr>
      <w:rPr>
        <w:rFonts w:hint="default"/>
        <w:lang w:val="zh-CN" w:eastAsia="zh-CN" w:bidi="zh-CN"/>
      </w:rPr>
    </w:lvl>
    <w:lvl w:ilvl="5" w:tentative="0">
      <w:start w:val="0"/>
      <w:numFmt w:val="bullet"/>
      <w:lvlText w:val="•"/>
      <w:lvlJc w:val="left"/>
      <w:pPr>
        <w:ind w:left="6145" w:hanging="428"/>
      </w:pPr>
      <w:rPr>
        <w:rFonts w:hint="default"/>
        <w:lang w:val="zh-CN" w:eastAsia="zh-CN" w:bidi="zh-CN"/>
      </w:rPr>
    </w:lvl>
    <w:lvl w:ilvl="6" w:tentative="0">
      <w:start w:val="0"/>
      <w:numFmt w:val="bullet"/>
      <w:lvlText w:val="•"/>
      <w:lvlJc w:val="left"/>
      <w:pPr>
        <w:ind w:left="6974" w:hanging="428"/>
      </w:pPr>
      <w:rPr>
        <w:rFonts w:hint="default"/>
        <w:lang w:val="zh-CN" w:eastAsia="zh-CN" w:bidi="zh-CN"/>
      </w:rPr>
    </w:lvl>
    <w:lvl w:ilvl="7" w:tentative="0">
      <w:start w:val="0"/>
      <w:numFmt w:val="bullet"/>
      <w:lvlText w:val="•"/>
      <w:lvlJc w:val="left"/>
      <w:pPr>
        <w:ind w:left="7803" w:hanging="428"/>
      </w:pPr>
      <w:rPr>
        <w:rFonts w:hint="default"/>
        <w:lang w:val="zh-CN" w:eastAsia="zh-CN" w:bidi="zh-CN"/>
      </w:rPr>
    </w:lvl>
    <w:lvl w:ilvl="8" w:tentative="0">
      <w:start w:val="0"/>
      <w:numFmt w:val="bullet"/>
      <w:lvlText w:val="•"/>
      <w:lvlJc w:val="left"/>
      <w:pPr>
        <w:ind w:left="8632" w:hanging="428"/>
      </w:pPr>
      <w:rPr>
        <w:rFonts w:hint="default"/>
        <w:lang w:val="zh-CN" w:eastAsia="zh-CN" w:bidi="zh-CN"/>
      </w:rPr>
    </w:lvl>
  </w:abstractNum>
  <w:abstractNum w:abstractNumId="7">
    <w:nsid w:val="91B69C97"/>
    <w:multiLevelType w:val="multilevel"/>
    <w:tmpl w:val="91B69C97"/>
    <w:lvl w:ilvl="0" w:tentative="0">
      <w:start w:val="1"/>
      <w:numFmt w:val="decimal"/>
      <w:suff w:val="space"/>
      <w:lvlText w:val="（%1）"/>
      <w:lvlJc w:val="left"/>
      <w:pPr>
        <w:ind w:left="979" w:hanging="704"/>
      </w:pPr>
      <w:rPr>
        <w:rFonts w:hint="default" w:ascii="仿宋" w:hAnsi="仿宋" w:eastAsia="仿宋" w:cs="仿宋"/>
        <w:spacing w:val="-3"/>
        <w:w w:val="99"/>
        <w:sz w:val="26"/>
        <w:szCs w:val="26"/>
        <w:lang w:val="zh-CN" w:eastAsia="zh-CN" w:bidi="zh-CN"/>
      </w:rPr>
    </w:lvl>
    <w:lvl w:ilvl="1" w:tentative="0">
      <w:start w:val="0"/>
      <w:numFmt w:val="bullet"/>
      <w:lvlText w:val="•"/>
      <w:lvlJc w:val="left"/>
      <w:pPr>
        <w:ind w:left="1911" w:hanging="704"/>
      </w:pPr>
      <w:rPr>
        <w:rFonts w:hint="default"/>
        <w:lang w:val="zh-CN" w:eastAsia="zh-CN" w:bidi="zh-CN"/>
      </w:rPr>
    </w:lvl>
    <w:lvl w:ilvl="2" w:tentative="0">
      <w:start w:val="0"/>
      <w:numFmt w:val="bullet"/>
      <w:lvlText w:val="•"/>
      <w:lvlJc w:val="left"/>
      <w:pPr>
        <w:ind w:left="2842" w:hanging="704"/>
      </w:pPr>
      <w:rPr>
        <w:rFonts w:hint="default"/>
        <w:lang w:val="zh-CN" w:eastAsia="zh-CN" w:bidi="zh-CN"/>
      </w:rPr>
    </w:lvl>
    <w:lvl w:ilvl="3" w:tentative="0">
      <w:start w:val="0"/>
      <w:numFmt w:val="bullet"/>
      <w:lvlText w:val="•"/>
      <w:lvlJc w:val="left"/>
      <w:pPr>
        <w:ind w:left="3773" w:hanging="704"/>
      </w:pPr>
      <w:rPr>
        <w:rFonts w:hint="default"/>
        <w:lang w:val="zh-CN" w:eastAsia="zh-CN" w:bidi="zh-CN"/>
      </w:rPr>
    </w:lvl>
    <w:lvl w:ilvl="4" w:tentative="0">
      <w:start w:val="0"/>
      <w:numFmt w:val="bullet"/>
      <w:lvlText w:val="•"/>
      <w:lvlJc w:val="left"/>
      <w:pPr>
        <w:ind w:left="4704" w:hanging="704"/>
      </w:pPr>
      <w:rPr>
        <w:rFonts w:hint="default"/>
        <w:lang w:val="zh-CN" w:eastAsia="zh-CN" w:bidi="zh-CN"/>
      </w:rPr>
    </w:lvl>
    <w:lvl w:ilvl="5" w:tentative="0">
      <w:start w:val="0"/>
      <w:numFmt w:val="bullet"/>
      <w:lvlText w:val="•"/>
      <w:lvlJc w:val="left"/>
      <w:pPr>
        <w:ind w:left="5635" w:hanging="704"/>
      </w:pPr>
      <w:rPr>
        <w:rFonts w:hint="default"/>
        <w:lang w:val="zh-CN" w:eastAsia="zh-CN" w:bidi="zh-CN"/>
      </w:rPr>
    </w:lvl>
    <w:lvl w:ilvl="6" w:tentative="0">
      <w:start w:val="0"/>
      <w:numFmt w:val="bullet"/>
      <w:lvlText w:val="•"/>
      <w:lvlJc w:val="left"/>
      <w:pPr>
        <w:ind w:left="6566" w:hanging="704"/>
      </w:pPr>
      <w:rPr>
        <w:rFonts w:hint="default"/>
        <w:lang w:val="zh-CN" w:eastAsia="zh-CN" w:bidi="zh-CN"/>
      </w:rPr>
    </w:lvl>
    <w:lvl w:ilvl="7" w:tentative="0">
      <w:start w:val="0"/>
      <w:numFmt w:val="bullet"/>
      <w:lvlText w:val="•"/>
      <w:lvlJc w:val="left"/>
      <w:pPr>
        <w:ind w:left="7497" w:hanging="704"/>
      </w:pPr>
      <w:rPr>
        <w:rFonts w:hint="default"/>
        <w:lang w:val="zh-CN" w:eastAsia="zh-CN" w:bidi="zh-CN"/>
      </w:rPr>
    </w:lvl>
    <w:lvl w:ilvl="8" w:tentative="0">
      <w:start w:val="0"/>
      <w:numFmt w:val="bullet"/>
      <w:lvlText w:val="•"/>
      <w:lvlJc w:val="left"/>
      <w:pPr>
        <w:ind w:left="8428" w:hanging="704"/>
      </w:pPr>
      <w:rPr>
        <w:rFonts w:hint="default"/>
        <w:lang w:val="zh-CN" w:eastAsia="zh-CN" w:bidi="zh-CN"/>
      </w:rPr>
    </w:lvl>
  </w:abstractNum>
  <w:abstractNum w:abstractNumId="8">
    <w:nsid w:val="925F2092"/>
    <w:multiLevelType w:val="multilevel"/>
    <w:tmpl w:val="925F2092"/>
    <w:lvl w:ilvl="0" w:tentative="0">
      <w:start w:val="13"/>
      <w:numFmt w:val="decimal"/>
      <w:lvlText w:val="%1"/>
      <w:lvlJc w:val="left"/>
      <w:pPr>
        <w:ind w:left="1358" w:hanging="682"/>
      </w:pPr>
      <w:rPr>
        <w:rFonts w:hint="default"/>
        <w:lang w:val="zh-CN" w:eastAsia="zh-CN" w:bidi="zh-CN"/>
      </w:rPr>
    </w:lvl>
    <w:lvl w:ilvl="1" w:tentative="0">
      <w:start w:val="1"/>
      <w:numFmt w:val="decimal"/>
      <w:suff w:val="space"/>
      <w:lvlText w:val="%1.%2"/>
      <w:lvlJc w:val="left"/>
      <w:pPr>
        <w:ind w:left="0" w:firstLine="0"/>
      </w:pPr>
      <w:rPr>
        <w:rFonts w:hint="default" w:ascii="黑体" w:hAnsi="黑体" w:eastAsia="黑体" w:cs="黑体"/>
        <w:b/>
        <w:bCs/>
        <w:spacing w:val="0"/>
        <w:w w:val="99"/>
        <w:sz w:val="30"/>
        <w:szCs w:val="30"/>
        <w:lang w:val="zh-CN" w:eastAsia="zh-CN" w:bidi="zh-CN"/>
      </w:rPr>
    </w:lvl>
    <w:lvl w:ilvl="2" w:tentative="0">
      <w:start w:val="1"/>
      <w:numFmt w:val="decimal"/>
      <w:suff w:val="space"/>
      <w:lvlText w:val="(%3)"/>
      <w:lvlJc w:val="left"/>
      <w:pPr>
        <w:ind w:left="1134" w:hanging="680"/>
      </w:pPr>
      <w:rPr>
        <w:rFonts w:hint="default" w:ascii="仿宋" w:hAnsi="仿宋" w:eastAsia="仿宋" w:cs="仿宋"/>
        <w:spacing w:val="-10"/>
        <w:w w:val="99"/>
        <w:sz w:val="26"/>
        <w:szCs w:val="26"/>
        <w:lang w:val="zh-CN" w:eastAsia="zh-CN" w:bidi="zh-CN"/>
      </w:rPr>
    </w:lvl>
    <w:lvl w:ilvl="3" w:tentative="0">
      <w:start w:val="0"/>
      <w:numFmt w:val="bullet"/>
      <w:lvlText w:val="•"/>
      <w:lvlJc w:val="left"/>
      <w:pPr>
        <w:ind w:left="3577" w:hanging="423"/>
      </w:pPr>
      <w:rPr>
        <w:rFonts w:hint="default"/>
        <w:lang w:val="zh-CN" w:eastAsia="zh-CN" w:bidi="zh-CN"/>
      </w:rPr>
    </w:lvl>
    <w:lvl w:ilvl="4" w:tentative="0">
      <w:start w:val="0"/>
      <w:numFmt w:val="bullet"/>
      <w:lvlText w:val="•"/>
      <w:lvlJc w:val="left"/>
      <w:pPr>
        <w:ind w:left="4536" w:hanging="423"/>
      </w:pPr>
      <w:rPr>
        <w:rFonts w:hint="default"/>
        <w:lang w:val="zh-CN" w:eastAsia="zh-CN" w:bidi="zh-CN"/>
      </w:rPr>
    </w:lvl>
    <w:lvl w:ilvl="5" w:tentative="0">
      <w:start w:val="0"/>
      <w:numFmt w:val="bullet"/>
      <w:lvlText w:val="•"/>
      <w:lvlJc w:val="left"/>
      <w:pPr>
        <w:ind w:left="5495" w:hanging="423"/>
      </w:pPr>
      <w:rPr>
        <w:rFonts w:hint="default"/>
        <w:lang w:val="zh-CN" w:eastAsia="zh-CN" w:bidi="zh-CN"/>
      </w:rPr>
    </w:lvl>
    <w:lvl w:ilvl="6" w:tentative="0">
      <w:start w:val="0"/>
      <w:numFmt w:val="bullet"/>
      <w:lvlText w:val="•"/>
      <w:lvlJc w:val="left"/>
      <w:pPr>
        <w:ind w:left="6454" w:hanging="423"/>
      </w:pPr>
      <w:rPr>
        <w:rFonts w:hint="default"/>
        <w:lang w:val="zh-CN" w:eastAsia="zh-CN" w:bidi="zh-CN"/>
      </w:rPr>
    </w:lvl>
    <w:lvl w:ilvl="7" w:tentative="0">
      <w:start w:val="0"/>
      <w:numFmt w:val="bullet"/>
      <w:lvlText w:val="•"/>
      <w:lvlJc w:val="left"/>
      <w:pPr>
        <w:ind w:left="7413" w:hanging="423"/>
      </w:pPr>
      <w:rPr>
        <w:rFonts w:hint="default"/>
        <w:lang w:val="zh-CN" w:eastAsia="zh-CN" w:bidi="zh-CN"/>
      </w:rPr>
    </w:lvl>
    <w:lvl w:ilvl="8" w:tentative="0">
      <w:start w:val="0"/>
      <w:numFmt w:val="bullet"/>
      <w:lvlText w:val="•"/>
      <w:lvlJc w:val="left"/>
      <w:pPr>
        <w:ind w:left="8372" w:hanging="423"/>
      </w:pPr>
      <w:rPr>
        <w:rFonts w:hint="default"/>
        <w:lang w:val="zh-CN" w:eastAsia="zh-CN" w:bidi="zh-CN"/>
      </w:rPr>
    </w:lvl>
  </w:abstractNum>
  <w:abstractNum w:abstractNumId="9">
    <w:nsid w:val="9288B902"/>
    <w:multiLevelType w:val="multilevel"/>
    <w:tmpl w:val="9288B902"/>
    <w:lvl w:ilvl="0" w:tentative="0">
      <w:start w:val="1"/>
      <w:numFmt w:val="decimal"/>
      <w:suff w:val="space"/>
      <w:lvlText w:val="%1)"/>
      <w:lvlJc w:val="left"/>
      <w:pPr>
        <w:ind w:left="1020" w:hanging="276"/>
      </w:pPr>
      <w:rPr>
        <w:rFonts w:hint="default" w:ascii="仿宋" w:hAnsi="仿宋" w:eastAsia="仿宋" w:cs="仿宋"/>
        <w:spacing w:val="-12"/>
        <w:w w:val="99"/>
        <w:sz w:val="26"/>
        <w:szCs w:val="26"/>
        <w:lang w:val="zh-CN" w:eastAsia="zh-CN" w:bidi="zh-CN"/>
      </w:rPr>
    </w:lvl>
    <w:lvl w:ilvl="1" w:tentative="0">
      <w:start w:val="0"/>
      <w:numFmt w:val="bullet"/>
      <w:lvlText w:val="•"/>
      <w:lvlJc w:val="left"/>
      <w:pPr>
        <w:ind w:left="1947" w:hanging="276"/>
      </w:pPr>
      <w:rPr>
        <w:rFonts w:hint="default"/>
        <w:lang w:val="zh-CN" w:eastAsia="zh-CN" w:bidi="zh-CN"/>
      </w:rPr>
    </w:lvl>
    <w:lvl w:ilvl="2" w:tentative="0">
      <w:start w:val="0"/>
      <w:numFmt w:val="bullet"/>
      <w:lvlText w:val="•"/>
      <w:lvlJc w:val="left"/>
      <w:pPr>
        <w:ind w:left="2874" w:hanging="276"/>
      </w:pPr>
      <w:rPr>
        <w:rFonts w:hint="default"/>
        <w:lang w:val="zh-CN" w:eastAsia="zh-CN" w:bidi="zh-CN"/>
      </w:rPr>
    </w:lvl>
    <w:lvl w:ilvl="3" w:tentative="0">
      <w:start w:val="0"/>
      <w:numFmt w:val="bullet"/>
      <w:lvlText w:val="•"/>
      <w:lvlJc w:val="left"/>
      <w:pPr>
        <w:ind w:left="3801" w:hanging="276"/>
      </w:pPr>
      <w:rPr>
        <w:rFonts w:hint="default"/>
        <w:lang w:val="zh-CN" w:eastAsia="zh-CN" w:bidi="zh-CN"/>
      </w:rPr>
    </w:lvl>
    <w:lvl w:ilvl="4" w:tentative="0">
      <w:start w:val="0"/>
      <w:numFmt w:val="bullet"/>
      <w:lvlText w:val="•"/>
      <w:lvlJc w:val="left"/>
      <w:pPr>
        <w:ind w:left="4728" w:hanging="276"/>
      </w:pPr>
      <w:rPr>
        <w:rFonts w:hint="default"/>
        <w:lang w:val="zh-CN" w:eastAsia="zh-CN" w:bidi="zh-CN"/>
      </w:rPr>
    </w:lvl>
    <w:lvl w:ilvl="5" w:tentative="0">
      <w:start w:val="0"/>
      <w:numFmt w:val="bullet"/>
      <w:lvlText w:val="•"/>
      <w:lvlJc w:val="left"/>
      <w:pPr>
        <w:ind w:left="5655" w:hanging="276"/>
      </w:pPr>
      <w:rPr>
        <w:rFonts w:hint="default"/>
        <w:lang w:val="zh-CN" w:eastAsia="zh-CN" w:bidi="zh-CN"/>
      </w:rPr>
    </w:lvl>
    <w:lvl w:ilvl="6" w:tentative="0">
      <w:start w:val="0"/>
      <w:numFmt w:val="bullet"/>
      <w:lvlText w:val="•"/>
      <w:lvlJc w:val="left"/>
      <w:pPr>
        <w:ind w:left="6582" w:hanging="276"/>
      </w:pPr>
      <w:rPr>
        <w:rFonts w:hint="default"/>
        <w:lang w:val="zh-CN" w:eastAsia="zh-CN" w:bidi="zh-CN"/>
      </w:rPr>
    </w:lvl>
    <w:lvl w:ilvl="7" w:tentative="0">
      <w:start w:val="0"/>
      <w:numFmt w:val="bullet"/>
      <w:lvlText w:val="•"/>
      <w:lvlJc w:val="left"/>
      <w:pPr>
        <w:ind w:left="7509" w:hanging="276"/>
      </w:pPr>
      <w:rPr>
        <w:rFonts w:hint="default"/>
        <w:lang w:val="zh-CN" w:eastAsia="zh-CN" w:bidi="zh-CN"/>
      </w:rPr>
    </w:lvl>
    <w:lvl w:ilvl="8" w:tentative="0">
      <w:start w:val="0"/>
      <w:numFmt w:val="bullet"/>
      <w:lvlText w:val="•"/>
      <w:lvlJc w:val="left"/>
      <w:pPr>
        <w:ind w:left="8436" w:hanging="276"/>
      </w:pPr>
      <w:rPr>
        <w:rFonts w:hint="default"/>
        <w:lang w:val="zh-CN" w:eastAsia="zh-CN" w:bidi="zh-CN"/>
      </w:rPr>
    </w:lvl>
  </w:abstractNum>
  <w:abstractNum w:abstractNumId="10">
    <w:nsid w:val="9377BC45"/>
    <w:multiLevelType w:val="multilevel"/>
    <w:tmpl w:val="9377BC45"/>
    <w:lvl w:ilvl="0" w:tentative="0">
      <w:start w:val="1"/>
      <w:numFmt w:val="decimal"/>
      <w:suff w:val="space"/>
      <w:lvlText w:val="（%1）"/>
      <w:lvlJc w:val="left"/>
      <w:pPr>
        <w:ind w:left="420" w:hanging="704"/>
      </w:pPr>
      <w:rPr>
        <w:rFonts w:hint="default" w:ascii="仿宋" w:hAnsi="仿宋" w:eastAsia="仿宋" w:cs="仿宋"/>
        <w:spacing w:val="-3"/>
        <w:w w:val="99"/>
        <w:sz w:val="26"/>
        <w:szCs w:val="26"/>
        <w:lang w:val="zh-CN" w:eastAsia="zh-CN" w:bidi="zh-CN"/>
      </w:rPr>
    </w:lvl>
    <w:lvl w:ilvl="1" w:tentative="0">
      <w:start w:val="0"/>
      <w:numFmt w:val="bullet"/>
      <w:lvlText w:val="•"/>
      <w:lvlJc w:val="left"/>
      <w:pPr>
        <w:ind w:left="1407" w:hanging="704"/>
      </w:pPr>
      <w:rPr>
        <w:rFonts w:hint="default"/>
        <w:lang w:val="zh-CN" w:eastAsia="zh-CN" w:bidi="zh-CN"/>
      </w:rPr>
    </w:lvl>
    <w:lvl w:ilvl="2" w:tentative="0">
      <w:start w:val="0"/>
      <w:numFmt w:val="bullet"/>
      <w:lvlText w:val="•"/>
      <w:lvlJc w:val="left"/>
      <w:pPr>
        <w:ind w:left="2394" w:hanging="704"/>
      </w:pPr>
      <w:rPr>
        <w:rFonts w:hint="default"/>
        <w:lang w:val="zh-CN" w:eastAsia="zh-CN" w:bidi="zh-CN"/>
      </w:rPr>
    </w:lvl>
    <w:lvl w:ilvl="3" w:tentative="0">
      <w:start w:val="0"/>
      <w:numFmt w:val="bullet"/>
      <w:lvlText w:val="•"/>
      <w:lvlJc w:val="left"/>
      <w:pPr>
        <w:ind w:left="3381" w:hanging="704"/>
      </w:pPr>
      <w:rPr>
        <w:rFonts w:hint="default"/>
        <w:lang w:val="zh-CN" w:eastAsia="zh-CN" w:bidi="zh-CN"/>
      </w:rPr>
    </w:lvl>
    <w:lvl w:ilvl="4" w:tentative="0">
      <w:start w:val="0"/>
      <w:numFmt w:val="bullet"/>
      <w:lvlText w:val="•"/>
      <w:lvlJc w:val="left"/>
      <w:pPr>
        <w:ind w:left="4368" w:hanging="704"/>
      </w:pPr>
      <w:rPr>
        <w:rFonts w:hint="default"/>
        <w:lang w:val="zh-CN" w:eastAsia="zh-CN" w:bidi="zh-CN"/>
      </w:rPr>
    </w:lvl>
    <w:lvl w:ilvl="5" w:tentative="0">
      <w:start w:val="0"/>
      <w:numFmt w:val="bullet"/>
      <w:lvlText w:val="•"/>
      <w:lvlJc w:val="left"/>
      <w:pPr>
        <w:ind w:left="5355" w:hanging="704"/>
      </w:pPr>
      <w:rPr>
        <w:rFonts w:hint="default"/>
        <w:lang w:val="zh-CN" w:eastAsia="zh-CN" w:bidi="zh-CN"/>
      </w:rPr>
    </w:lvl>
    <w:lvl w:ilvl="6" w:tentative="0">
      <w:start w:val="0"/>
      <w:numFmt w:val="bullet"/>
      <w:lvlText w:val="•"/>
      <w:lvlJc w:val="left"/>
      <w:pPr>
        <w:ind w:left="6342" w:hanging="704"/>
      </w:pPr>
      <w:rPr>
        <w:rFonts w:hint="default"/>
        <w:lang w:val="zh-CN" w:eastAsia="zh-CN" w:bidi="zh-CN"/>
      </w:rPr>
    </w:lvl>
    <w:lvl w:ilvl="7" w:tentative="0">
      <w:start w:val="0"/>
      <w:numFmt w:val="bullet"/>
      <w:lvlText w:val="•"/>
      <w:lvlJc w:val="left"/>
      <w:pPr>
        <w:ind w:left="7329" w:hanging="704"/>
      </w:pPr>
      <w:rPr>
        <w:rFonts w:hint="default"/>
        <w:lang w:val="zh-CN" w:eastAsia="zh-CN" w:bidi="zh-CN"/>
      </w:rPr>
    </w:lvl>
    <w:lvl w:ilvl="8" w:tentative="0">
      <w:start w:val="0"/>
      <w:numFmt w:val="bullet"/>
      <w:lvlText w:val="•"/>
      <w:lvlJc w:val="left"/>
      <w:pPr>
        <w:ind w:left="8316" w:hanging="704"/>
      </w:pPr>
      <w:rPr>
        <w:rFonts w:hint="default"/>
        <w:lang w:val="zh-CN" w:eastAsia="zh-CN" w:bidi="zh-CN"/>
      </w:rPr>
    </w:lvl>
  </w:abstractNum>
  <w:abstractNum w:abstractNumId="11">
    <w:nsid w:val="9ACF65A0"/>
    <w:multiLevelType w:val="multilevel"/>
    <w:tmpl w:val="9ACF65A0"/>
    <w:lvl w:ilvl="0" w:tentative="0">
      <w:start w:val="2"/>
      <w:numFmt w:val="decimal"/>
      <w:suff w:val="space"/>
      <w:lvlText w:val="(%1)"/>
      <w:lvlJc w:val="left"/>
      <w:pPr>
        <w:ind w:left="1538" w:hanging="560"/>
      </w:pPr>
      <w:rPr>
        <w:rFonts w:hint="default" w:ascii="仿宋" w:hAnsi="仿宋" w:eastAsia="仿宋" w:cs="仿宋"/>
        <w:spacing w:val="-2"/>
        <w:w w:val="100"/>
        <w:sz w:val="28"/>
        <w:szCs w:val="28"/>
        <w:lang w:val="zh-CN" w:eastAsia="zh-CN" w:bidi="zh-CN"/>
      </w:rPr>
    </w:lvl>
    <w:lvl w:ilvl="1" w:tentative="0">
      <w:start w:val="2"/>
      <w:numFmt w:val="decimal"/>
      <w:suff w:val="space"/>
      <w:lvlText w:val="(%2)"/>
      <w:lvlJc w:val="left"/>
      <w:pPr>
        <w:ind w:left="2198" w:hanging="425"/>
      </w:pPr>
      <w:rPr>
        <w:rFonts w:hint="default"/>
        <w:b w:val="0"/>
        <w:bCs w:val="0"/>
        <w:spacing w:val="-2"/>
        <w:w w:val="99"/>
        <w:lang w:val="zh-CN" w:eastAsia="zh-CN" w:bidi="zh-CN"/>
      </w:rPr>
    </w:lvl>
    <w:lvl w:ilvl="2" w:tentative="0">
      <w:start w:val="0"/>
      <w:numFmt w:val="bullet"/>
      <w:lvlText w:val="•"/>
      <w:lvlJc w:val="left"/>
      <w:pPr>
        <w:ind w:left="2921" w:hanging="425"/>
      </w:pPr>
      <w:rPr>
        <w:rFonts w:hint="default"/>
        <w:lang w:val="zh-CN" w:eastAsia="zh-CN" w:bidi="zh-CN"/>
      </w:rPr>
    </w:lvl>
    <w:lvl w:ilvl="3" w:tentative="0">
      <w:start w:val="0"/>
      <w:numFmt w:val="bullet"/>
      <w:lvlText w:val="•"/>
      <w:lvlJc w:val="left"/>
      <w:pPr>
        <w:ind w:left="3842" w:hanging="425"/>
      </w:pPr>
      <w:rPr>
        <w:rFonts w:hint="default"/>
        <w:lang w:val="zh-CN" w:eastAsia="zh-CN" w:bidi="zh-CN"/>
      </w:rPr>
    </w:lvl>
    <w:lvl w:ilvl="4" w:tentative="0">
      <w:start w:val="0"/>
      <w:numFmt w:val="bullet"/>
      <w:lvlText w:val="•"/>
      <w:lvlJc w:val="left"/>
      <w:pPr>
        <w:ind w:left="4763" w:hanging="425"/>
      </w:pPr>
      <w:rPr>
        <w:rFonts w:hint="default"/>
        <w:lang w:val="zh-CN" w:eastAsia="zh-CN" w:bidi="zh-CN"/>
      </w:rPr>
    </w:lvl>
    <w:lvl w:ilvl="5" w:tentative="0">
      <w:start w:val="0"/>
      <w:numFmt w:val="bullet"/>
      <w:lvlText w:val="•"/>
      <w:lvlJc w:val="left"/>
      <w:pPr>
        <w:ind w:left="5684" w:hanging="425"/>
      </w:pPr>
      <w:rPr>
        <w:rFonts w:hint="default"/>
        <w:lang w:val="zh-CN" w:eastAsia="zh-CN" w:bidi="zh-CN"/>
      </w:rPr>
    </w:lvl>
    <w:lvl w:ilvl="6" w:tentative="0">
      <w:start w:val="0"/>
      <w:numFmt w:val="bullet"/>
      <w:lvlText w:val="•"/>
      <w:lvlJc w:val="left"/>
      <w:pPr>
        <w:ind w:left="6605" w:hanging="425"/>
      </w:pPr>
      <w:rPr>
        <w:rFonts w:hint="default"/>
        <w:lang w:val="zh-CN" w:eastAsia="zh-CN" w:bidi="zh-CN"/>
      </w:rPr>
    </w:lvl>
    <w:lvl w:ilvl="7" w:tentative="0">
      <w:start w:val="0"/>
      <w:numFmt w:val="bullet"/>
      <w:lvlText w:val="•"/>
      <w:lvlJc w:val="left"/>
      <w:pPr>
        <w:ind w:left="7526" w:hanging="425"/>
      </w:pPr>
      <w:rPr>
        <w:rFonts w:hint="default"/>
        <w:lang w:val="zh-CN" w:eastAsia="zh-CN" w:bidi="zh-CN"/>
      </w:rPr>
    </w:lvl>
    <w:lvl w:ilvl="8" w:tentative="0">
      <w:start w:val="0"/>
      <w:numFmt w:val="bullet"/>
      <w:lvlText w:val="•"/>
      <w:lvlJc w:val="left"/>
      <w:pPr>
        <w:ind w:left="8447" w:hanging="425"/>
      </w:pPr>
      <w:rPr>
        <w:rFonts w:hint="default"/>
        <w:lang w:val="zh-CN" w:eastAsia="zh-CN" w:bidi="zh-CN"/>
      </w:rPr>
    </w:lvl>
  </w:abstractNum>
  <w:abstractNum w:abstractNumId="12">
    <w:nsid w:val="9D5D7490"/>
    <w:multiLevelType w:val="multilevel"/>
    <w:tmpl w:val="9D5D7490"/>
    <w:lvl w:ilvl="0" w:tentative="0">
      <w:start w:val="1"/>
      <w:numFmt w:val="decimal"/>
      <w:suff w:val="space"/>
      <w:lvlText w:val="（%1）"/>
      <w:lvlJc w:val="left"/>
      <w:pPr>
        <w:ind w:left="1682" w:hanging="706"/>
      </w:pPr>
      <w:rPr>
        <w:rFonts w:hint="default" w:ascii="仿宋" w:hAnsi="仿宋" w:eastAsia="仿宋" w:cs="仿宋"/>
        <w:spacing w:val="-3"/>
        <w:w w:val="99"/>
        <w:sz w:val="26"/>
        <w:szCs w:val="26"/>
        <w:lang w:val="zh-CN" w:eastAsia="zh-CN" w:bidi="zh-CN"/>
      </w:rPr>
    </w:lvl>
    <w:lvl w:ilvl="1" w:tentative="0">
      <w:start w:val="0"/>
      <w:numFmt w:val="bullet"/>
      <w:lvlText w:val="•"/>
      <w:lvlJc w:val="left"/>
      <w:pPr>
        <w:ind w:left="2541" w:hanging="706"/>
      </w:pPr>
      <w:rPr>
        <w:rFonts w:hint="default"/>
        <w:lang w:val="zh-CN" w:eastAsia="zh-CN" w:bidi="zh-CN"/>
      </w:rPr>
    </w:lvl>
    <w:lvl w:ilvl="2" w:tentative="0">
      <w:start w:val="0"/>
      <w:numFmt w:val="bullet"/>
      <w:lvlText w:val="•"/>
      <w:lvlJc w:val="left"/>
      <w:pPr>
        <w:ind w:left="3402" w:hanging="706"/>
      </w:pPr>
      <w:rPr>
        <w:rFonts w:hint="default"/>
        <w:lang w:val="zh-CN" w:eastAsia="zh-CN" w:bidi="zh-CN"/>
      </w:rPr>
    </w:lvl>
    <w:lvl w:ilvl="3" w:tentative="0">
      <w:start w:val="0"/>
      <w:numFmt w:val="bullet"/>
      <w:lvlText w:val="•"/>
      <w:lvlJc w:val="left"/>
      <w:pPr>
        <w:ind w:left="4263" w:hanging="706"/>
      </w:pPr>
      <w:rPr>
        <w:rFonts w:hint="default"/>
        <w:lang w:val="zh-CN" w:eastAsia="zh-CN" w:bidi="zh-CN"/>
      </w:rPr>
    </w:lvl>
    <w:lvl w:ilvl="4" w:tentative="0">
      <w:start w:val="0"/>
      <w:numFmt w:val="bullet"/>
      <w:lvlText w:val="•"/>
      <w:lvlJc w:val="left"/>
      <w:pPr>
        <w:ind w:left="5124" w:hanging="706"/>
      </w:pPr>
      <w:rPr>
        <w:rFonts w:hint="default"/>
        <w:lang w:val="zh-CN" w:eastAsia="zh-CN" w:bidi="zh-CN"/>
      </w:rPr>
    </w:lvl>
    <w:lvl w:ilvl="5" w:tentative="0">
      <w:start w:val="0"/>
      <w:numFmt w:val="bullet"/>
      <w:lvlText w:val="•"/>
      <w:lvlJc w:val="left"/>
      <w:pPr>
        <w:ind w:left="5985" w:hanging="706"/>
      </w:pPr>
      <w:rPr>
        <w:rFonts w:hint="default"/>
        <w:lang w:val="zh-CN" w:eastAsia="zh-CN" w:bidi="zh-CN"/>
      </w:rPr>
    </w:lvl>
    <w:lvl w:ilvl="6" w:tentative="0">
      <w:start w:val="0"/>
      <w:numFmt w:val="bullet"/>
      <w:lvlText w:val="•"/>
      <w:lvlJc w:val="left"/>
      <w:pPr>
        <w:ind w:left="6846" w:hanging="706"/>
      </w:pPr>
      <w:rPr>
        <w:rFonts w:hint="default"/>
        <w:lang w:val="zh-CN" w:eastAsia="zh-CN" w:bidi="zh-CN"/>
      </w:rPr>
    </w:lvl>
    <w:lvl w:ilvl="7" w:tentative="0">
      <w:start w:val="0"/>
      <w:numFmt w:val="bullet"/>
      <w:lvlText w:val="•"/>
      <w:lvlJc w:val="left"/>
      <w:pPr>
        <w:ind w:left="7707" w:hanging="706"/>
      </w:pPr>
      <w:rPr>
        <w:rFonts w:hint="default"/>
        <w:lang w:val="zh-CN" w:eastAsia="zh-CN" w:bidi="zh-CN"/>
      </w:rPr>
    </w:lvl>
    <w:lvl w:ilvl="8" w:tentative="0">
      <w:start w:val="0"/>
      <w:numFmt w:val="bullet"/>
      <w:lvlText w:val="•"/>
      <w:lvlJc w:val="left"/>
      <w:pPr>
        <w:ind w:left="8568" w:hanging="706"/>
      </w:pPr>
      <w:rPr>
        <w:rFonts w:hint="default"/>
        <w:lang w:val="zh-CN" w:eastAsia="zh-CN" w:bidi="zh-CN"/>
      </w:rPr>
    </w:lvl>
  </w:abstractNum>
  <w:abstractNum w:abstractNumId="13">
    <w:nsid w:val="9F81B9F9"/>
    <w:multiLevelType w:val="multilevel"/>
    <w:tmpl w:val="9F81B9F9"/>
    <w:lvl w:ilvl="0" w:tentative="0">
      <w:start w:val="1"/>
      <w:numFmt w:val="decimal"/>
      <w:suff w:val="space"/>
      <w:lvlText w:val="%1）"/>
      <w:lvlJc w:val="left"/>
      <w:pPr>
        <w:ind w:left="1020" w:hanging="447"/>
      </w:pPr>
      <w:rPr>
        <w:rFonts w:hint="default" w:ascii="仿宋" w:hAnsi="仿宋" w:eastAsia="仿宋" w:cs="仿宋"/>
        <w:spacing w:val="0"/>
        <w:w w:val="99"/>
        <w:sz w:val="26"/>
        <w:szCs w:val="26"/>
        <w:lang w:val="zh-CN" w:eastAsia="zh-CN" w:bidi="zh-CN"/>
      </w:rPr>
    </w:lvl>
    <w:lvl w:ilvl="1" w:tentative="0">
      <w:start w:val="0"/>
      <w:numFmt w:val="bullet"/>
      <w:lvlText w:val="•"/>
      <w:lvlJc w:val="left"/>
      <w:pPr>
        <w:ind w:left="1947" w:hanging="447"/>
      </w:pPr>
      <w:rPr>
        <w:rFonts w:hint="default"/>
        <w:lang w:val="zh-CN" w:eastAsia="zh-CN" w:bidi="zh-CN"/>
      </w:rPr>
    </w:lvl>
    <w:lvl w:ilvl="2" w:tentative="0">
      <w:start w:val="0"/>
      <w:numFmt w:val="bullet"/>
      <w:lvlText w:val="•"/>
      <w:lvlJc w:val="left"/>
      <w:pPr>
        <w:ind w:left="2874" w:hanging="447"/>
      </w:pPr>
      <w:rPr>
        <w:rFonts w:hint="default"/>
        <w:lang w:val="zh-CN" w:eastAsia="zh-CN" w:bidi="zh-CN"/>
      </w:rPr>
    </w:lvl>
    <w:lvl w:ilvl="3" w:tentative="0">
      <w:start w:val="0"/>
      <w:numFmt w:val="bullet"/>
      <w:lvlText w:val="•"/>
      <w:lvlJc w:val="left"/>
      <w:pPr>
        <w:ind w:left="3801" w:hanging="447"/>
      </w:pPr>
      <w:rPr>
        <w:rFonts w:hint="default"/>
        <w:lang w:val="zh-CN" w:eastAsia="zh-CN" w:bidi="zh-CN"/>
      </w:rPr>
    </w:lvl>
    <w:lvl w:ilvl="4" w:tentative="0">
      <w:start w:val="0"/>
      <w:numFmt w:val="bullet"/>
      <w:lvlText w:val="•"/>
      <w:lvlJc w:val="left"/>
      <w:pPr>
        <w:ind w:left="4728" w:hanging="447"/>
      </w:pPr>
      <w:rPr>
        <w:rFonts w:hint="default"/>
        <w:lang w:val="zh-CN" w:eastAsia="zh-CN" w:bidi="zh-CN"/>
      </w:rPr>
    </w:lvl>
    <w:lvl w:ilvl="5" w:tentative="0">
      <w:start w:val="0"/>
      <w:numFmt w:val="bullet"/>
      <w:lvlText w:val="•"/>
      <w:lvlJc w:val="left"/>
      <w:pPr>
        <w:ind w:left="5655" w:hanging="447"/>
      </w:pPr>
      <w:rPr>
        <w:rFonts w:hint="default"/>
        <w:lang w:val="zh-CN" w:eastAsia="zh-CN" w:bidi="zh-CN"/>
      </w:rPr>
    </w:lvl>
    <w:lvl w:ilvl="6" w:tentative="0">
      <w:start w:val="0"/>
      <w:numFmt w:val="bullet"/>
      <w:lvlText w:val="•"/>
      <w:lvlJc w:val="left"/>
      <w:pPr>
        <w:ind w:left="6582" w:hanging="447"/>
      </w:pPr>
      <w:rPr>
        <w:rFonts w:hint="default"/>
        <w:lang w:val="zh-CN" w:eastAsia="zh-CN" w:bidi="zh-CN"/>
      </w:rPr>
    </w:lvl>
    <w:lvl w:ilvl="7" w:tentative="0">
      <w:start w:val="0"/>
      <w:numFmt w:val="bullet"/>
      <w:lvlText w:val="•"/>
      <w:lvlJc w:val="left"/>
      <w:pPr>
        <w:ind w:left="7509" w:hanging="447"/>
      </w:pPr>
      <w:rPr>
        <w:rFonts w:hint="default"/>
        <w:lang w:val="zh-CN" w:eastAsia="zh-CN" w:bidi="zh-CN"/>
      </w:rPr>
    </w:lvl>
    <w:lvl w:ilvl="8" w:tentative="0">
      <w:start w:val="0"/>
      <w:numFmt w:val="bullet"/>
      <w:lvlText w:val="•"/>
      <w:lvlJc w:val="left"/>
      <w:pPr>
        <w:ind w:left="8436" w:hanging="447"/>
      </w:pPr>
      <w:rPr>
        <w:rFonts w:hint="default"/>
        <w:lang w:val="zh-CN" w:eastAsia="zh-CN" w:bidi="zh-CN"/>
      </w:rPr>
    </w:lvl>
  </w:abstractNum>
  <w:abstractNum w:abstractNumId="14">
    <w:nsid w:val="A0C93552"/>
    <w:multiLevelType w:val="multilevel"/>
    <w:tmpl w:val="A0C93552"/>
    <w:lvl w:ilvl="0" w:tentative="0">
      <w:start w:val="1"/>
      <w:numFmt w:val="decimal"/>
      <w:suff w:val="space"/>
      <w:lvlText w:val="%1)"/>
      <w:lvlJc w:val="left"/>
      <w:pPr>
        <w:ind w:left="420" w:hanging="284"/>
      </w:pPr>
      <w:rPr>
        <w:rFonts w:hint="default" w:ascii="仿宋" w:hAnsi="仿宋" w:eastAsia="仿宋" w:cs="仿宋"/>
        <w:w w:val="99"/>
        <w:sz w:val="26"/>
        <w:szCs w:val="26"/>
        <w:lang w:val="zh-CN" w:eastAsia="zh-CN" w:bidi="zh-CN"/>
      </w:rPr>
    </w:lvl>
    <w:lvl w:ilvl="1" w:tentative="0">
      <w:start w:val="0"/>
      <w:numFmt w:val="bullet"/>
      <w:lvlText w:val="•"/>
      <w:lvlJc w:val="left"/>
      <w:pPr>
        <w:ind w:left="1407" w:hanging="284"/>
      </w:pPr>
      <w:rPr>
        <w:rFonts w:hint="default"/>
        <w:lang w:val="zh-CN" w:eastAsia="zh-CN" w:bidi="zh-CN"/>
      </w:rPr>
    </w:lvl>
    <w:lvl w:ilvl="2" w:tentative="0">
      <w:start w:val="0"/>
      <w:numFmt w:val="bullet"/>
      <w:lvlText w:val="•"/>
      <w:lvlJc w:val="left"/>
      <w:pPr>
        <w:ind w:left="2394" w:hanging="284"/>
      </w:pPr>
      <w:rPr>
        <w:rFonts w:hint="default"/>
        <w:lang w:val="zh-CN" w:eastAsia="zh-CN" w:bidi="zh-CN"/>
      </w:rPr>
    </w:lvl>
    <w:lvl w:ilvl="3" w:tentative="0">
      <w:start w:val="0"/>
      <w:numFmt w:val="bullet"/>
      <w:lvlText w:val="•"/>
      <w:lvlJc w:val="left"/>
      <w:pPr>
        <w:ind w:left="3381" w:hanging="284"/>
      </w:pPr>
      <w:rPr>
        <w:rFonts w:hint="default"/>
        <w:lang w:val="zh-CN" w:eastAsia="zh-CN" w:bidi="zh-CN"/>
      </w:rPr>
    </w:lvl>
    <w:lvl w:ilvl="4" w:tentative="0">
      <w:start w:val="0"/>
      <w:numFmt w:val="bullet"/>
      <w:lvlText w:val="•"/>
      <w:lvlJc w:val="left"/>
      <w:pPr>
        <w:ind w:left="4368" w:hanging="284"/>
      </w:pPr>
      <w:rPr>
        <w:rFonts w:hint="default"/>
        <w:lang w:val="zh-CN" w:eastAsia="zh-CN" w:bidi="zh-CN"/>
      </w:rPr>
    </w:lvl>
    <w:lvl w:ilvl="5" w:tentative="0">
      <w:start w:val="0"/>
      <w:numFmt w:val="bullet"/>
      <w:lvlText w:val="•"/>
      <w:lvlJc w:val="left"/>
      <w:pPr>
        <w:ind w:left="5355" w:hanging="284"/>
      </w:pPr>
      <w:rPr>
        <w:rFonts w:hint="default"/>
        <w:lang w:val="zh-CN" w:eastAsia="zh-CN" w:bidi="zh-CN"/>
      </w:rPr>
    </w:lvl>
    <w:lvl w:ilvl="6" w:tentative="0">
      <w:start w:val="0"/>
      <w:numFmt w:val="bullet"/>
      <w:lvlText w:val="•"/>
      <w:lvlJc w:val="left"/>
      <w:pPr>
        <w:ind w:left="6342" w:hanging="284"/>
      </w:pPr>
      <w:rPr>
        <w:rFonts w:hint="default"/>
        <w:lang w:val="zh-CN" w:eastAsia="zh-CN" w:bidi="zh-CN"/>
      </w:rPr>
    </w:lvl>
    <w:lvl w:ilvl="7" w:tentative="0">
      <w:start w:val="0"/>
      <w:numFmt w:val="bullet"/>
      <w:lvlText w:val="•"/>
      <w:lvlJc w:val="left"/>
      <w:pPr>
        <w:ind w:left="7329" w:hanging="284"/>
      </w:pPr>
      <w:rPr>
        <w:rFonts w:hint="default"/>
        <w:lang w:val="zh-CN" w:eastAsia="zh-CN" w:bidi="zh-CN"/>
      </w:rPr>
    </w:lvl>
    <w:lvl w:ilvl="8" w:tentative="0">
      <w:start w:val="0"/>
      <w:numFmt w:val="bullet"/>
      <w:lvlText w:val="•"/>
      <w:lvlJc w:val="left"/>
      <w:pPr>
        <w:ind w:left="8316" w:hanging="284"/>
      </w:pPr>
      <w:rPr>
        <w:rFonts w:hint="default"/>
        <w:lang w:val="zh-CN" w:eastAsia="zh-CN" w:bidi="zh-CN"/>
      </w:rPr>
    </w:lvl>
  </w:abstractNum>
  <w:abstractNum w:abstractNumId="15">
    <w:nsid w:val="A0F05207"/>
    <w:multiLevelType w:val="multilevel"/>
    <w:tmpl w:val="A0F05207"/>
    <w:lvl w:ilvl="0" w:tentative="0">
      <w:start w:val="2"/>
      <w:numFmt w:val="decimal"/>
      <w:suff w:val="space"/>
      <w:lvlText w:val="%1）"/>
      <w:lvlJc w:val="left"/>
      <w:pPr>
        <w:ind w:left="420" w:hanging="411"/>
      </w:pPr>
      <w:rPr>
        <w:rFonts w:hint="default" w:ascii="仿宋" w:hAnsi="仿宋" w:eastAsia="仿宋" w:cs="仿宋"/>
        <w:spacing w:val="-12"/>
        <w:w w:val="99"/>
        <w:sz w:val="26"/>
        <w:szCs w:val="26"/>
        <w:lang w:val="zh-CN" w:eastAsia="zh-CN" w:bidi="zh-CN"/>
      </w:rPr>
    </w:lvl>
    <w:lvl w:ilvl="1" w:tentative="0">
      <w:start w:val="0"/>
      <w:numFmt w:val="bullet"/>
      <w:lvlText w:val="•"/>
      <w:lvlJc w:val="left"/>
      <w:pPr>
        <w:ind w:left="1407" w:hanging="411"/>
      </w:pPr>
      <w:rPr>
        <w:rFonts w:hint="default"/>
        <w:lang w:val="zh-CN" w:eastAsia="zh-CN" w:bidi="zh-CN"/>
      </w:rPr>
    </w:lvl>
    <w:lvl w:ilvl="2" w:tentative="0">
      <w:start w:val="0"/>
      <w:numFmt w:val="bullet"/>
      <w:lvlText w:val="•"/>
      <w:lvlJc w:val="left"/>
      <w:pPr>
        <w:ind w:left="2394" w:hanging="411"/>
      </w:pPr>
      <w:rPr>
        <w:rFonts w:hint="default"/>
        <w:lang w:val="zh-CN" w:eastAsia="zh-CN" w:bidi="zh-CN"/>
      </w:rPr>
    </w:lvl>
    <w:lvl w:ilvl="3" w:tentative="0">
      <w:start w:val="0"/>
      <w:numFmt w:val="bullet"/>
      <w:lvlText w:val="•"/>
      <w:lvlJc w:val="left"/>
      <w:pPr>
        <w:ind w:left="3381" w:hanging="411"/>
      </w:pPr>
      <w:rPr>
        <w:rFonts w:hint="default"/>
        <w:lang w:val="zh-CN" w:eastAsia="zh-CN" w:bidi="zh-CN"/>
      </w:rPr>
    </w:lvl>
    <w:lvl w:ilvl="4" w:tentative="0">
      <w:start w:val="0"/>
      <w:numFmt w:val="bullet"/>
      <w:lvlText w:val="•"/>
      <w:lvlJc w:val="left"/>
      <w:pPr>
        <w:ind w:left="4368" w:hanging="411"/>
      </w:pPr>
      <w:rPr>
        <w:rFonts w:hint="default"/>
        <w:lang w:val="zh-CN" w:eastAsia="zh-CN" w:bidi="zh-CN"/>
      </w:rPr>
    </w:lvl>
    <w:lvl w:ilvl="5" w:tentative="0">
      <w:start w:val="0"/>
      <w:numFmt w:val="bullet"/>
      <w:lvlText w:val="•"/>
      <w:lvlJc w:val="left"/>
      <w:pPr>
        <w:ind w:left="5355" w:hanging="411"/>
      </w:pPr>
      <w:rPr>
        <w:rFonts w:hint="default"/>
        <w:lang w:val="zh-CN" w:eastAsia="zh-CN" w:bidi="zh-CN"/>
      </w:rPr>
    </w:lvl>
    <w:lvl w:ilvl="6" w:tentative="0">
      <w:start w:val="0"/>
      <w:numFmt w:val="bullet"/>
      <w:lvlText w:val="•"/>
      <w:lvlJc w:val="left"/>
      <w:pPr>
        <w:ind w:left="6342" w:hanging="411"/>
      </w:pPr>
      <w:rPr>
        <w:rFonts w:hint="default"/>
        <w:lang w:val="zh-CN" w:eastAsia="zh-CN" w:bidi="zh-CN"/>
      </w:rPr>
    </w:lvl>
    <w:lvl w:ilvl="7" w:tentative="0">
      <w:start w:val="0"/>
      <w:numFmt w:val="bullet"/>
      <w:lvlText w:val="•"/>
      <w:lvlJc w:val="left"/>
      <w:pPr>
        <w:ind w:left="7329" w:hanging="411"/>
      </w:pPr>
      <w:rPr>
        <w:rFonts w:hint="default"/>
        <w:lang w:val="zh-CN" w:eastAsia="zh-CN" w:bidi="zh-CN"/>
      </w:rPr>
    </w:lvl>
    <w:lvl w:ilvl="8" w:tentative="0">
      <w:start w:val="0"/>
      <w:numFmt w:val="bullet"/>
      <w:lvlText w:val="•"/>
      <w:lvlJc w:val="left"/>
      <w:pPr>
        <w:ind w:left="8316" w:hanging="411"/>
      </w:pPr>
      <w:rPr>
        <w:rFonts w:hint="default"/>
        <w:lang w:val="zh-CN" w:eastAsia="zh-CN" w:bidi="zh-CN"/>
      </w:rPr>
    </w:lvl>
  </w:abstractNum>
  <w:abstractNum w:abstractNumId="16">
    <w:nsid w:val="A9AC3AA7"/>
    <w:multiLevelType w:val="multilevel"/>
    <w:tmpl w:val="A9AC3AA7"/>
    <w:lvl w:ilvl="0" w:tentative="0">
      <w:start w:val="1"/>
      <w:numFmt w:val="decimal"/>
      <w:suff w:val="space"/>
      <w:lvlText w:val="（%1）"/>
      <w:lvlJc w:val="left"/>
      <w:pPr>
        <w:ind w:left="1020" w:hanging="706"/>
      </w:pPr>
      <w:rPr>
        <w:rFonts w:hint="default" w:ascii="仿宋" w:hAnsi="仿宋" w:eastAsia="仿宋" w:cs="仿宋"/>
        <w:w w:val="99"/>
        <w:sz w:val="26"/>
        <w:szCs w:val="26"/>
        <w:lang w:val="zh-CN" w:eastAsia="zh-CN" w:bidi="zh-CN"/>
      </w:rPr>
    </w:lvl>
    <w:lvl w:ilvl="1" w:tentative="0">
      <w:start w:val="0"/>
      <w:numFmt w:val="bullet"/>
      <w:lvlText w:val="•"/>
      <w:lvlJc w:val="left"/>
      <w:pPr>
        <w:ind w:left="1947" w:hanging="706"/>
      </w:pPr>
      <w:rPr>
        <w:rFonts w:hint="default"/>
        <w:lang w:val="zh-CN" w:eastAsia="zh-CN" w:bidi="zh-CN"/>
      </w:rPr>
    </w:lvl>
    <w:lvl w:ilvl="2" w:tentative="0">
      <w:start w:val="0"/>
      <w:numFmt w:val="bullet"/>
      <w:lvlText w:val="•"/>
      <w:lvlJc w:val="left"/>
      <w:pPr>
        <w:ind w:left="2874" w:hanging="706"/>
      </w:pPr>
      <w:rPr>
        <w:rFonts w:hint="default"/>
        <w:lang w:val="zh-CN" w:eastAsia="zh-CN" w:bidi="zh-CN"/>
      </w:rPr>
    </w:lvl>
    <w:lvl w:ilvl="3" w:tentative="0">
      <w:start w:val="0"/>
      <w:numFmt w:val="bullet"/>
      <w:lvlText w:val="•"/>
      <w:lvlJc w:val="left"/>
      <w:pPr>
        <w:ind w:left="3801" w:hanging="706"/>
      </w:pPr>
      <w:rPr>
        <w:rFonts w:hint="default"/>
        <w:lang w:val="zh-CN" w:eastAsia="zh-CN" w:bidi="zh-CN"/>
      </w:rPr>
    </w:lvl>
    <w:lvl w:ilvl="4" w:tentative="0">
      <w:start w:val="0"/>
      <w:numFmt w:val="bullet"/>
      <w:lvlText w:val="•"/>
      <w:lvlJc w:val="left"/>
      <w:pPr>
        <w:ind w:left="4728" w:hanging="706"/>
      </w:pPr>
      <w:rPr>
        <w:rFonts w:hint="default"/>
        <w:lang w:val="zh-CN" w:eastAsia="zh-CN" w:bidi="zh-CN"/>
      </w:rPr>
    </w:lvl>
    <w:lvl w:ilvl="5" w:tentative="0">
      <w:start w:val="0"/>
      <w:numFmt w:val="bullet"/>
      <w:lvlText w:val="•"/>
      <w:lvlJc w:val="left"/>
      <w:pPr>
        <w:ind w:left="5655" w:hanging="706"/>
      </w:pPr>
      <w:rPr>
        <w:rFonts w:hint="default"/>
        <w:lang w:val="zh-CN" w:eastAsia="zh-CN" w:bidi="zh-CN"/>
      </w:rPr>
    </w:lvl>
    <w:lvl w:ilvl="6" w:tentative="0">
      <w:start w:val="0"/>
      <w:numFmt w:val="bullet"/>
      <w:lvlText w:val="•"/>
      <w:lvlJc w:val="left"/>
      <w:pPr>
        <w:ind w:left="6582" w:hanging="706"/>
      </w:pPr>
      <w:rPr>
        <w:rFonts w:hint="default"/>
        <w:lang w:val="zh-CN" w:eastAsia="zh-CN" w:bidi="zh-CN"/>
      </w:rPr>
    </w:lvl>
    <w:lvl w:ilvl="7" w:tentative="0">
      <w:start w:val="0"/>
      <w:numFmt w:val="bullet"/>
      <w:lvlText w:val="•"/>
      <w:lvlJc w:val="left"/>
      <w:pPr>
        <w:ind w:left="7509" w:hanging="706"/>
      </w:pPr>
      <w:rPr>
        <w:rFonts w:hint="default"/>
        <w:lang w:val="zh-CN" w:eastAsia="zh-CN" w:bidi="zh-CN"/>
      </w:rPr>
    </w:lvl>
    <w:lvl w:ilvl="8" w:tentative="0">
      <w:start w:val="0"/>
      <w:numFmt w:val="bullet"/>
      <w:lvlText w:val="•"/>
      <w:lvlJc w:val="left"/>
      <w:pPr>
        <w:ind w:left="8436" w:hanging="706"/>
      </w:pPr>
      <w:rPr>
        <w:rFonts w:hint="default"/>
        <w:lang w:val="zh-CN" w:eastAsia="zh-CN" w:bidi="zh-CN"/>
      </w:rPr>
    </w:lvl>
  </w:abstractNum>
  <w:abstractNum w:abstractNumId="17">
    <w:nsid w:val="AC3FAE41"/>
    <w:multiLevelType w:val="singleLevel"/>
    <w:tmpl w:val="AC3FAE41"/>
    <w:lvl w:ilvl="0" w:tentative="0">
      <w:start w:val="1"/>
      <w:numFmt w:val="decimal"/>
      <w:suff w:val="space"/>
      <w:lvlText w:val="%1."/>
      <w:lvlJc w:val="left"/>
      <w:pPr>
        <w:ind w:left="1085" w:hanging="425"/>
      </w:pPr>
      <w:rPr>
        <w:rFonts w:hint="default"/>
        <w:sz w:val="28"/>
        <w:szCs w:val="28"/>
      </w:rPr>
    </w:lvl>
  </w:abstractNum>
  <w:abstractNum w:abstractNumId="18">
    <w:nsid w:val="B1919450"/>
    <w:multiLevelType w:val="singleLevel"/>
    <w:tmpl w:val="B1919450"/>
    <w:lvl w:ilvl="0" w:tentative="0">
      <w:start w:val="1"/>
      <w:numFmt w:val="decimal"/>
      <w:lvlText w:val="(%1)"/>
      <w:lvlJc w:val="left"/>
      <w:pPr>
        <w:ind w:left="865" w:hanging="425"/>
      </w:pPr>
      <w:rPr>
        <w:rFonts w:hint="default"/>
      </w:rPr>
    </w:lvl>
  </w:abstractNum>
  <w:abstractNum w:abstractNumId="19">
    <w:nsid w:val="B23A94A9"/>
    <w:multiLevelType w:val="multilevel"/>
    <w:tmpl w:val="B23A94A9"/>
    <w:lvl w:ilvl="0" w:tentative="0">
      <w:start w:val="3"/>
      <w:numFmt w:val="decimal"/>
      <w:suff w:val="space"/>
      <w:lvlText w:val="(%1)"/>
      <w:lvlJc w:val="left"/>
      <w:pPr>
        <w:ind w:left="2004" w:hanging="428"/>
      </w:pPr>
      <w:rPr>
        <w:rFonts w:hint="default" w:ascii="仿宋" w:hAnsi="仿宋" w:eastAsia="仿宋" w:cs="仿宋"/>
        <w:b w:val="0"/>
        <w:bCs w:val="0"/>
        <w:spacing w:val="0"/>
        <w:w w:val="96"/>
        <w:sz w:val="26"/>
        <w:szCs w:val="26"/>
        <w:lang w:val="zh-CN" w:eastAsia="zh-CN" w:bidi="zh-CN"/>
      </w:rPr>
    </w:lvl>
    <w:lvl w:ilvl="1" w:tentative="0">
      <w:start w:val="0"/>
      <w:numFmt w:val="bullet"/>
      <w:lvlText w:val="•"/>
      <w:lvlJc w:val="left"/>
      <w:pPr>
        <w:ind w:left="2829" w:hanging="428"/>
      </w:pPr>
      <w:rPr>
        <w:rFonts w:hint="default"/>
        <w:lang w:val="zh-CN" w:eastAsia="zh-CN" w:bidi="zh-CN"/>
      </w:rPr>
    </w:lvl>
    <w:lvl w:ilvl="2" w:tentative="0">
      <w:start w:val="0"/>
      <w:numFmt w:val="bullet"/>
      <w:lvlText w:val="•"/>
      <w:lvlJc w:val="left"/>
      <w:pPr>
        <w:ind w:left="3658" w:hanging="428"/>
      </w:pPr>
      <w:rPr>
        <w:rFonts w:hint="default"/>
        <w:lang w:val="zh-CN" w:eastAsia="zh-CN" w:bidi="zh-CN"/>
      </w:rPr>
    </w:lvl>
    <w:lvl w:ilvl="3" w:tentative="0">
      <w:start w:val="0"/>
      <w:numFmt w:val="bullet"/>
      <w:lvlText w:val="•"/>
      <w:lvlJc w:val="left"/>
      <w:pPr>
        <w:ind w:left="4487" w:hanging="428"/>
      </w:pPr>
      <w:rPr>
        <w:rFonts w:hint="default"/>
        <w:lang w:val="zh-CN" w:eastAsia="zh-CN" w:bidi="zh-CN"/>
      </w:rPr>
    </w:lvl>
    <w:lvl w:ilvl="4" w:tentative="0">
      <w:start w:val="0"/>
      <w:numFmt w:val="bullet"/>
      <w:lvlText w:val="•"/>
      <w:lvlJc w:val="left"/>
      <w:pPr>
        <w:ind w:left="5316" w:hanging="428"/>
      </w:pPr>
      <w:rPr>
        <w:rFonts w:hint="default"/>
        <w:lang w:val="zh-CN" w:eastAsia="zh-CN" w:bidi="zh-CN"/>
      </w:rPr>
    </w:lvl>
    <w:lvl w:ilvl="5" w:tentative="0">
      <w:start w:val="0"/>
      <w:numFmt w:val="bullet"/>
      <w:lvlText w:val="•"/>
      <w:lvlJc w:val="left"/>
      <w:pPr>
        <w:ind w:left="6145" w:hanging="428"/>
      </w:pPr>
      <w:rPr>
        <w:rFonts w:hint="default"/>
        <w:lang w:val="zh-CN" w:eastAsia="zh-CN" w:bidi="zh-CN"/>
      </w:rPr>
    </w:lvl>
    <w:lvl w:ilvl="6" w:tentative="0">
      <w:start w:val="0"/>
      <w:numFmt w:val="bullet"/>
      <w:lvlText w:val="•"/>
      <w:lvlJc w:val="left"/>
      <w:pPr>
        <w:ind w:left="6974" w:hanging="428"/>
      </w:pPr>
      <w:rPr>
        <w:rFonts w:hint="default"/>
        <w:lang w:val="zh-CN" w:eastAsia="zh-CN" w:bidi="zh-CN"/>
      </w:rPr>
    </w:lvl>
    <w:lvl w:ilvl="7" w:tentative="0">
      <w:start w:val="0"/>
      <w:numFmt w:val="bullet"/>
      <w:lvlText w:val="•"/>
      <w:lvlJc w:val="left"/>
      <w:pPr>
        <w:ind w:left="7803" w:hanging="428"/>
      </w:pPr>
      <w:rPr>
        <w:rFonts w:hint="default"/>
        <w:lang w:val="zh-CN" w:eastAsia="zh-CN" w:bidi="zh-CN"/>
      </w:rPr>
    </w:lvl>
    <w:lvl w:ilvl="8" w:tentative="0">
      <w:start w:val="0"/>
      <w:numFmt w:val="bullet"/>
      <w:lvlText w:val="•"/>
      <w:lvlJc w:val="left"/>
      <w:pPr>
        <w:ind w:left="8632" w:hanging="428"/>
      </w:pPr>
      <w:rPr>
        <w:rFonts w:hint="default"/>
        <w:lang w:val="zh-CN" w:eastAsia="zh-CN" w:bidi="zh-CN"/>
      </w:rPr>
    </w:lvl>
  </w:abstractNum>
  <w:abstractNum w:abstractNumId="20">
    <w:nsid w:val="B53F3350"/>
    <w:multiLevelType w:val="multilevel"/>
    <w:tmpl w:val="B53F3350"/>
    <w:lvl w:ilvl="0" w:tentative="0">
      <w:start w:val="1"/>
      <w:numFmt w:val="decimal"/>
      <w:suff w:val="space"/>
      <w:lvlText w:val="%1)"/>
      <w:lvlJc w:val="left"/>
      <w:pPr>
        <w:ind w:left="420" w:hanging="420"/>
      </w:pPr>
      <w:rPr>
        <w:rFonts w:hint="default" w:ascii="仿宋" w:hAnsi="仿宋" w:eastAsia="仿宋" w:cs="仿宋"/>
        <w:spacing w:val="0"/>
        <w:w w:val="100"/>
        <w:sz w:val="28"/>
        <w:szCs w:val="28"/>
        <w:lang w:val="zh-CN" w:eastAsia="zh-CN" w:bidi="zh-CN"/>
      </w:rPr>
    </w:lvl>
    <w:lvl w:ilvl="1" w:tentative="0">
      <w:start w:val="0"/>
      <w:numFmt w:val="bullet"/>
      <w:lvlText w:val="•"/>
      <w:lvlJc w:val="left"/>
      <w:pPr>
        <w:ind w:left="1407" w:hanging="420"/>
      </w:pPr>
      <w:rPr>
        <w:rFonts w:hint="default"/>
        <w:lang w:val="zh-CN" w:eastAsia="zh-CN" w:bidi="zh-CN"/>
      </w:rPr>
    </w:lvl>
    <w:lvl w:ilvl="2" w:tentative="0">
      <w:start w:val="0"/>
      <w:numFmt w:val="bullet"/>
      <w:lvlText w:val="•"/>
      <w:lvlJc w:val="left"/>
      <w:pPr>
        <w:ind w:left="2394" w:hanging="420"/>
      </w:pPr>
      <w:rPr>
        <w:rFonts w:hint="default"/>
        <w:lang w:val="zh-CN" w:eastAsia="zh-CN" w:bidi="zh-CN"/>
      </w:rPr>
    </w:lvl>
    <w:lvl w:ilvl="3" w:tentative="0">
      <w:start w:val="0"/>
      <w:numFmt w:val="bullet"/>
      <w:lvlText w:val="•"/>
      <w:lvlJc w:val="left"/>
      <w:pPr>
        <w:ind w:left="3381" w:hanging="420"/>
      </w:pPr>
      <w:rPr>
        <w:rFonts w:hint="default"/>
        <w:lang w:val="zh-CN" w:eastAsia="zh-CN" w:bidi="zh-CN"/>
      </w:rPr>
    </w:lvl>
    <w:lvl w:ilvl="4" w:tentative="0">
      <w:start w:val="0"/>
      <w:numFmt w:val="bullet"/>
      <w:lvlText w:val="•"/>
      <w:lvlJc w:val="left"/>
      <w:pPr>
        <w:ind w:left="4368" w:hanging="420"/>
      </w:pPr>
      <w:rPr>
        <w:rFonts w:hint="default"/>
        <w:lang w:val="zh-CN" w:eastAsia="zh-CN" w:bidi="zh-CN"/>
      </w:rPr>
    </w:lvl>
    <w:lvl w:ilvl="5" w:tentative="0">
      <w:start w:val="0"/>
      <w:numFmt w:val="bullet"/>
      <w:lvlText w:val="•"/>
      <w:lvlJc w:val="left"/>
      <w:pPr>
        <w:ind w:left="5355" w:hanging="420"/>
      </w:pPr>
      <w:rPr>
        <w:rFonts w:hint="default"/>
        <w:lang w:val="zh-CN" w:eastAsia="zh-CN" w:bidi="zh-CN"/>
      </w:rPr>
    </w:lvl>
    <w:lvl w:ilvl="6" w:tentative="0">
      <w:start w:val="0"/>
      <w:numFmt w:val="bullet"/>
      <w:lvlText w:val="•"/>
      <w:lvlJc w:val="left"/>
      <w:pPr>
        <w:ind w:left="6342" w:hanging="420"/>
      </w:pPr>
      <w:rPr>
        <w:rFonts w:hint="default"/>
        <w:lang w:val="zh-CN" w:eastAsia="zh-CN" w:bidi="zh-CN"/>
      </w:rPr>
    </w:lvl>
    <w:lvl w:ilvl="7" w:tentative="0">
      <w:start w:val="0"/>
      <w:numFmt w:val="bullet"/>
      <w:lvlText w:val="•"/>
      <w:lvlJc w:val="left"/>
      <w:pPr>
        <w:ind w:left="7329" w:hanging="420"/>
      </w:pPr>
      <w:rPr>
        <w:rFonts w:hint="default"/>
        <w:lang w:val="zh-CN" w:eastAsia="zh-CN" w:bidi="zh-CN"/>
      </w:rPr>
    </w:lvl>
    <w:lvl w:ilvl="8" w:tentative="0">
      <w:start w:val="0"/>
      <w:numFmt w:val="bullet"/>
      <w:lvlText w:val="•"/>
      <w:lvlJc w:val="left"/>
      <w:pPr>
        <w:ind w:left="8316" w:hanging="420"/>
      </w:pPr>
      <w:rPr>
        <w:rFonts w:hint="default"/>
        <w:lang w:val="zh-CN" w:eastAsia="zh-CN" w:bidi="zh-CN"/>
      </w:rPr>
    </w:lvl>
  </w:abstractNum>
  <w:abstractNum w:abstractNumId="21">
    <w:nsid w:val="B88D21A8"/>
    <w:multiLevelType w:val="multilevel"/>
    <w:tmpl w:val="B88D21A8"/>
    <w:lvl w:ilvl="0" w:tentative="0">
      <w:start w:val="6"/>
      <w:numFmt w:val="decimal"/>
      <w:lvlText w:val="%1"/>
      <w:lvlJc w:val="left"/>
      <w:pPr>
        <w:ind w:left="1624" w:hanging="605"/>
      </w:pPr>
      <w:rPr>
        <w:rFonts w:hint="default"/>
        <w:lang w:val="zh-CN" w:eastAsia="zh-CN" w:bidi="zh-CN"/>
      </w:rPr>
    </w:lvl>
    <w:lvl w:ilvl="1" w:tentative="0">
      <w:start w:val="3"/>
      <w:numFmt w:val="decimal"/>
      <w:suff w:val="space"/>
      <w:lvlText w:val="%1.%2"/>
      <w:lvlJc w:val="left"/>
      <w:pPr>
        <w:ind w:left="1624" w:hanging="605"/>
      </w:pPr>
      <w:rPr>
        <w:rFonts w:hint="default" w:ascii="黑体" w:hAnsi="黑体" w:eastAsia="黑体" w:cs="黑体"/>
        <w:b/>
        <w:bCs/>
        <w:spacing w:val="0"/>
        <w:w w:val="99"/>
        <w:sz w:val="30"/>
        <w:szCs w:val="30"/>
        <w:lang w:val="zh-CN" w:eastAsia="zh-CN" w:bidi="zh-CN"/>
      </w:rPr>
    </w:lvl>
    <w:lvl w:ilvl="2" w:tentative="0">
      <w:start w:val="1"/>
      <w:numFmt w:val="decimal"/>
      <w:suff w:val="space"/>
      <w:lvlText w:val="%1.%2.%3"/>
      <w:lvlJc w:val="left"/>
      <w:pPr>
        <w:ind w:left="1860" w:hanging="840"/>
      </w:pPr>
      <w:rPr>
        <w:rFonts w:hint="default" w:ascii="黑体" w:hAnsi="黑体" w:eastAsia="黑体" w:cs="黑体"/>
        <w:b/>
        <w:bCs/>
        <w:spacing w:val="-2"/>
        <w:w w:val="99"/>
        <w:sz w:val="28"/>
        <w:szCs w:val="28"/>
        <w:lang w:val="zh-CN" w:eastAsia="zh-CN" w:bidi="zh-CN"/>
      </w:rPr>
    </w:lvl>
    <w:lvl w:ilvl="3" w:tentative="0">
      <w:start w:val="1"/>
      <w:numFmt w:val="decimal"/>
      <w:suff w:val="space"/>
      <w:lvlText w:val="（%4）"/>
      <w:lvlJc w:val="left"/>
      <w:pPr>
        <w:ind w:left="1807" w:hanging="706"/>
      </w:pPr>
      <w:rPr>
        <w:rFonts w:hint="default" w:ascii="仿宋" w:hAnsi="仿宋" w:eastAsia="仿宋" w:cs="仿宋"/>
        <w:spacing w:val="-3"/>
        <w:w w:val="99"/>
        <w:sz w:val="26"/>
        <w:szCs w:val="26"/>
        <w:lang w:val="zh-CN" w:eastAsia="zh-CN" w:bidi="zh-CN"/>
      </w:rPr>
    </w:lvl>
    <w:lvl w:ilvl="4" w:tentative="0">
      <w:start w:val="0"/>
      <w:numFmt w:val="bullet"/>
      <w:lvlText w:val="•"/>
      <w:lvlJc w:val="left"/>
      <w:pPr>
        <w:ind w:left="4282" w:hanging="706"/>
      </w:pPr>
      <w:rPr>
        <w:rFonts w:hint="default"/>
        <w:lang w:val="zh-CN" w:eastAsia="zh-CN" w:bidi="zh-CN"/>
      </w:rPr>
    </w:lvl>
    <w:lvl w:ilvl="5" w:tentative="0">
      <w:start w:val="0"/>
      <w:numFmt w:val="bullet"/>
      <w:lvlText w:val="•"/>
      <w:lvlJc w:val="left"/>
      <w:pPr>
        <w:ind w:left="5283" w:hanging="706"/>
      </w:pPr>
      <w:rPr>
        <w:rFonts w:hint="default"/>
        <w:lang w:val="zh-CN" w:eastAsia="zh-CN" w:bidi="zh-CN"/>
      </w:rPr>
    </w:lvl>
    <w:lvl w:ilvl="6" w:tentative="0">
      <w:start w:val="0"/>
      <w:numFmt w:val="bullet"/>
      <w:lvlText w:val="•"/>
      <w:lvlJc w:val="left"/>
      <w:pPr>
        <w:ind w:left="6285" w:hanging="706"/>
      </w:pPr>
      <w:rPr>
        <w:rFonts w:hint="default"/>
        <w:lang w:val="zh-CN" w:eastAsia="zh-CN" w:bidi="zh-CN"/>
      </w:rPr>
    </w:lvl>
    <w:lvl w:ilvl="7" w:tentative="0">
      <w:start w:val="0"/>
      <w:numFmt w:val="bullet"/>
      <w:lvlText w:val="•"/>
      <w:lvlJc w:val="left"/>
      <w:pPr>
        <w:ind w:left="7286" w:hanging="706"/>
      </w:pPr>
      <w:rPr>
        <w:rFonts w:hint="default"/>
        <w:lang w:val="zh-CN" w:eastAsia="zh-CN" w:bidi="zh-CN"/>
      </w:rPr>
    </w:lvl>
    <w:lvl w:ilvl="8" w:tentative="0">
      <w:start w:val="0"/>
      <w:numFmt w:val="bullet"/>
      <w:lvlText w:val="•"/>
      <w:lvlJc w:val="left"/>
      <w:pPr>
        <w:ind w:left="8287" w:hanging="706"/>
      </w:pPr>
      <w:rPr>
        <w:rFonts w:hint="default"/>
        <w:lang w:val="zh-CN" w:eastAsia="zh-CN" w:bidi="zh-CN"/>
      </w:rPr>
    </w:lvl>
  </w:abstractNum>
  <w:abstractNum w:abstractNumId="22">
    <w:nsid w:val="B8CEF35B"/>
    <w:multiLevelType w:val="multilevel"/>
    <w:tmpl w:val="B8CEF35B"/>
    <w:lvl w:ilvl="0" w:tentative="0">
      <w:start w:val="4"/>
      <w:numFmt w:val="decimal"/>
      <w:lvlText w:val="%1"/>
      <w:lvlJc w:val="left"/>
      <w:pPr>
        <w:ind w:left="1548" w:hanging="528"/>
      </w:pPr>
      <w:rPr>
        <w:rFonts w:hint="default"/>
        <w:lang w:val="zh-CN" w:eastAsia="zh-CN" w:bidi="zh-CN"/>
      </w:rPr>
    </w:lvl>
    <w:lvl w:ilvl="1" w:tentative="0">
      <w:start w:val="6"/>
      <w:numFmt w:val="decimal"/>
      <w:suff w:val="space"/>
      <w:lvlText w:val="%1.%2"/>
      <w:lvlJc w:val="left"/>
      <w:pPr>
        <w:ind w:left="1548" w:hanging="528"/>
      </w:pPr>
      <w:rPr>
        <w:rFonts w:hint="default" w:ascii="黑体" w:hAnsi="黑体" w:eastAsia="黑体" w:cs="黑体"/>
        <w:b/>
        <w:bCs/>
        <w:spacing w:val="0"/>
        <w:w w:val="99"/>
        <w:sz w:val="30"/>
        <w:szCs w:val="30"/>
        <w:lang w:val="zh-CN" w:eastAsia="zh-CN" w:bidi="zh-CN"/>
      </w:rPr>
    </w:lvl>
    <w:lvl w:ilvl="2" w:tentative="0">
      <w:start w:val="1"/>
      <w:numFmt w:val="decimal"/>
      <w:suff w:val="space"/>
      <w:lvlText w:val="%1.%2.%3"/>
      <w:lvlJc w:val="left"/>
      <w:pPr>
        <w:ind w:left="1855" w:hanging="989"/>
      </w:pPr>
      <w:rPr>
        <w:rFonts w:hint="default" w:ascii="黑体" w:hAnsi="黑体" w:eastAsia="黑体" w:cs="黑体"/>
        <w:b/>
        <w:bCs/>
        <w:spacing w:val="-2"/>
        <w:w w:val="99"/>
        <w:sz w:val="28"/>
        <w:szCs w:val="28"/>
        <w:lang w:val="zh-CN" w:eastAsia="zh-CN" w:bidi="zh-CN"/>
      </w:rPr>
    </w:lvl>
    <w:lvl w:ilvl="3" w:tentative="0">
      <w:start w:val="1"/>
      <w:numFmt w:val="decimal"/>
      <w:suff w:val="space"/>
      <w:lvlText w:val="(%4)"/>
      <w:lvlJc w:val="left"/>
      <w:pPr>
        <w:ind w:left="1999" w:hanging="989"/>
      </w:pPr>
      <w:rPr>
        <w:rFonts w:hint="default" w:ascii="仿宋" w:hAnsi="仿宋" w:eastAsia="仿宋" w:cs="仿宋"/>
        <w:spacing w:val="-3"/>
        <w:w w:val="99"/>
        <w:sz w:val="26"/>
        <w:szCs w:val="26"/>
        <w:lang w:val="zh-CN" w:eastAsia="zh-CN" w:bidi="zh-CN"/>
      </w:rPr>
    </w:lvl>
    <w:lvl w:ilvl="4" w:tentative="0">
      <w:start w:val="0"/>
      <w:numFmt w:val="bullet"/>
      <w:lvlText w:val="•"/>
      <w:lvlJc w:val="left"/>
      <w:pPr>
        <w:ind w:left="1860" w:hanging="989"/>
      </w:pPr>
      <w:rPr>
        <w:rFonts w:hint="default"/>
        <w:lang w:val="zh-CN" w:eastAsia="zh-CN" w:bidi="zh-CN"/>
      </w:rPr>
    </w:lvl>
    <w:lvl w:ilvl="5" w:tentative="0">
      <w:start w:val="0"/>
      <w:numFmt w:val="bullet"/>
      <w:lvlText w:val="•"/>
      <w:lvlJc w:val="left"/>
      <w:pPr>
        <w:ind w:left="1960" w:hanging="989"/>
      </w:pPr>
      <w:rPr>
        <w:rFonts w:hint="default"/>
        <w:lang w:val="zh-CN" w:eastAsia="zh-CN" w:bidi="zh-CN"/>
      </w:rPr>
    </w:lvl>
    <w:lvl w:ilvl="6" w:tentative="0">
      <w:start w:val="0"/>
      <w:numFmt w:val="bullet"/>
      <w:lvlText w:val="•"/>
      <w:lvlJc w:val="left"/>
      <w:pPr>
        <w:ind w:left="2000" w:hanging="989"/>
      </w:pPr>
      <w:rPr>
        <w:rFonts w:hint="default"/>
        <w:lang w:val="zh-CN" w:eastAsia="zh-CN" w:bidi="zh-CN"/>
      </w:rPr>
    </w:lvl>
    <w:lvl w:ilvl="7" w:tentative="0">
      <w:start w:val="0"/>
      <w:numFmt w:val="bullet"/>
      <w:lvlText w:val="•"/>
      <w:lvlJc w:val="left"/>
      <w:pPr>
        <w:ind w:left="2040" w:hanging="989"/>
      </w:pPr>
      <w:rPr>
        <w:rFonts w:hint="default"/>
        <w:lang w:val="zh-CN" w:eastAsia="zh-CN" w:bidi="zh-CN"/>
      </w:rPr>
    </w:lvl>
    <w:lvl w:ilvl="8" w:tentative="0">
      <w:start w:val="0"/>
      <w:numFmt w:val="bullet"/>
      <w:lvlText w:val="•"/>
      <w:lvlJc w:val="left"/>
      <w:pPr>
        <w:ind w:left="2100" w:hanging="989"/>
      </w:pPr>
      <w:rPr>
        <w:rFonts w:hint="default"/>
        <w:lang w:val="zh-CN" w:eastAsia="zh-CN" w:bidi="zh-CN"/>
      </w:rPr>
    </w:lvl>
  </w:abstractNum>
  <w:abstractNum w:abstractNumId="23">
    <w:nsid w:val="BB64CFA9"/>
    <w:multiLevelType w:val="multilevel"/>
    <w:tmpl w:val="BB64CFA9"/>
    <w:lvl w:ilvl="0" w:tentative="0">
      <w:start w:val="4"/>
      <w:numFmt w:val="decimal"/>
      <w:lvlText w:val="%1"/>
      <w:lvlJc w:val="left"/>
      <w:pPr>
        <w:ind w:left="2640" w:hanging="1059"/>
      </w:pPr>
      <w:rPr>
        <w:rFonts w:hint="default"/>
        <w:lang w:val="zh-CN" w:eastAsia="zh-CN" w:bidi="zh-CN"/>
      </w:rPr>
    </w:lvl>
    <w:lvl w:ilvl="1" w:tentative="0">
      <w:start w:val="5"/>
      <w:numFmt w:val="decimal"/>
      <w:lvlText w:val="%1.%2"/>
      <w:lvlJc w:val="left"/>
      <w:pPr>
        <w:ind w:left="2640" w:hanging="1059"/>
      </w:pPr>
      <w:rPr>
        <w:rFonts w:hint="default"/>
        <w:lang w:val="zh-CN" w:eastAsia="zh-CN" w:bidi="zh-CN"/>
      </w:rPr>
    </w:lvl>
    <w:lvl w:ilvl="2" w:tentative="0">
      <w:start w:val="2"/>
      <w:numFmt w:val="decimal"/>
      <w:lvlText w:val="%1.%2.%3"/>
      <w:lvlJc w:val="left"/>
      <w:pPr>
        <w:ind w:left="2640" w:hanging="1059"/>
      </w:pPr>
      <w:rPr>
        <w:rFonts w:hint="default"/>
        <w:lang w:val="zh-CN" w:eastAsia="zh-CN" w:bidi="zh-CN"/>
      </w:rPr>
    </w:lvl>
    <w:lvl w:ilvl="3" w:tentative="0">
      <w:start w:val="1"/>
      <w:numFmt w:val="decimal"/>
      <w:suff w:val="space"/>
      <w:lvlText w:val="%1.%2.%3.%4"/>
      <w:lvlJc w:val="left"/>
      <w:pPr>
        <w:ind w:left="2640" w:hanging="1059"/>
      </w:pPr>
      <w:rPr>
        <w:rFonts w:hint="default" w:ascii="黑体" w:hAnsi="黑体" w:eastAsia="黑体" w:cs="黑体"/>
        <w:b/>
        <w:bCs/>
        <w:spacing w:val="-2"/>
        <w:w w:val="99"/>
        <w:sz w:val="24"/>
        <w:szCs w:val="24"/>
        <w:lang w:val="zh-CN" w:eastAsia="zh-CN" w:bidi="zh-CN"/>
      </w:rPr>
    </w:lvl>
    <w:lvl w:ilvl="4" w:tentative="0">
      <w:start w:val="0"/>
      <w:numFmt w:val="bullet"/>
      <w:lvlText w:val="•"/>
      <w:lvlJc w:val="left"/>
      <w:pPr>
        <w:ind w:left="5700" w:hanging="1059"/>
      </w:pPr>
      <w:rPr>
        <w:rFonts w:hint="default"/>
        <w:lang w:val="zh-CN" w:eastAsia="zh-CN" w:bidi="zh-CN"/>
      </w:rPr>
    </w:lvl>
    <w:lvl w:ilvl="5" w:tentative="0">
      <w:start w:val="0"/>
      <w:numFmt w:val="bullet"/>
      <w:lvlText w:val="•"/>
      <w:lvlJc w:val="left"/>
      <w:pPr>
        <w:ind w:left="6465" w:hanging="1059"/>
      </w:pPr>
      <w:rPr>
        <w:rFonts w:hint="default"/>
        <w:lang w:val="zh-CN" w:eastAsia="zh-CN" w:bidi="zh-CN"/>
      </w:rPr>
    </w:lvl>
    <w:lvl w:ilvl="6" w:tentative="0">
      <w:start w:val="0"/>
      <w:numFmt w:val="bullet"/>
      <w:lvlText w:val="•"/>
      <w:lvlJc w:val="left"/>
      <w:pPr>
        <w:ind w:left="7230" w:hanging="1059"/>
      </w:pPr>
      <w:rPr>
        <w:rFonts w:hint="default"/>
        <w:lang w:val="zh-CN" w:eastAsia="zh-CN" w:bidi="zh-CN"/>
      </w:rPr>
    </w:lvl>
    <w:lvl w:ilvl="7" w:tentative="0">
      <w:start w:val="0"/>
      <w:numFmt w:val="bullet"/>
      <w:lvlText w:val="•"/>
      <w:lvlJc w:val="left"/>
      <w:pPr>
        <w:ind w:left="7995" w:hanging="1059"/>
      </w:pPr>
      <w:rPr>
        <w:rFonts w:hint="default"/>
        <w:lang w:val="zh-CN" w:eastAsia="zh-CN" w:bidi="zh-CN"/>
      </w:rPr>
    </w:lvl>
    <w:lvl w:ilvl="8" w:tentative="0">
      <w:start w:val="0"/>
      <w:numFmt w:val="bullet"/>
      <w:lvlText w:val="•"/>
      <w:lvlJc w:val="left"/>
      <w:pPr>
        <w:ind w:left="8760" w:hanging="1059"/>
      </w:pPr>
      <w:rPr>
        <w:rFonts w:hint="default"/>
        <w:lang w:val="zh-CN" w:eastAsia="zh-CN" w:bidi="zh-CN"/>
      </w:rPr>
    </w:lvl>
  </w:abstractNum>
  <w:abstractNum w:abstractNumId="24">
    <w:nsid w:val="BCECA0B4"/>
    <w:multiLevelType w:val="multilevel"/>
    <w:tmpl w:val="BCECA0B4"/>
    <w:lvl w:ilvl="0" w:tentative="0">
      <w:start w:val="8"/>
      <w:numFmt w:val="decimal"/>
      <w:lvlText w:val="%1"/>
      <w:lvlJc w:val="left"/>
      <w:pPr>
        <w:ind w:left="1548" w:hanging="528"/>
      </w:pPr>
      <w:rPr>
        <w:rFonts w:hint="default"/>
        <w:lang w:val="zh-CN" w:eastAsia="zh-CN" w:bidi="zh-CN"/>
      </w:rPr>
    </w:lvl>
    <w:lvl w:ilvl="1" w:tentative="0">
      <w:start w:val="1"/>
      <w:numFmt w:val="decimal"/>
      <w:lvlText w:val="%1.%2"/>
      <w:lvlJc w:val="left"/>
      <w:pPr>
        <w:ind w:left="968" w:hanging="528"/>
      </w:pPr>
      <w:rPr>
        <w:rFonts w:hint="default" w:ascii="黑体" w:hAnsi="黑体" w:eastAsia="黑体" w:cs="黑体"/>
        <w:b/>
        <w:bCs/>
        <w:spacing w:val="0"/>
        <w:w w:val="99"/>
        <w:sz w:val="30"/>
        <w:szCs w:val="30"/>
        <w:lang w:val="zh-CN" w:eastAsia="zh-CN" w:bidi="zh-CN"/>
      </w:rPr>
    </w:lvl>
    <w:lvl w:ilvl="2" w:tentative="0">
      <w:start w:val="1"/>
      <w:numFmt w:val="decimal"/>
      <w:suff w:val="space"/>
      <w:lvlText w:val="（%3）"/>
      <w:lvlJc w:val="left"/>
      <w:pPr>
        <w:ind w:left="2284" w:hanging="704"/>
      </w:pPr>
      <w:rPr>
        <w:rFonts w:hint="default"/>
        <w:b w:val="0"/>
        <w:bCs w:val="0"/>
        <w:spacing w:val="0"/>
        <w:w w:val="96"/>
        <w:lang w:val="zh-CN" w:eastAsia="zh-CN" w:bidi="zh-CN"/>
      </w:rPr>
    </w:lvl>
    <w:lvl w:ilvl="3" w:tentative="0">
      <w:start w:val="0"/>
      <w:numFmt w:val="bullet"/>
      <w:lvlText w:val="•"/>
      <w:lvlJc w:val="left"/>
      <w:pPr>
        <w:ind w:left="4060" w:hanging="704"/>
      </w:pPr>
      <w:rPr>
        <w:rFonts w:hint="default"/>
        <w:lang w:val="zh-CN" w:eastAsia="zh-CN" w:bidi="zh-CN"/>
      </w:rPr>
    </w:lvl>
    <w:lvl w:ilvl="4" w:tentative="0">
      <w:start w:val="0"/>
      <w:numFmt w:val="bullet"/>
      <w:lvlText w:val="•"/>
      <w:lvlJc w:val="left"/>
      <w:pPr>
        <w:ind w:left="4950" w:hanging="704"/>
      </w:pPr>
      <w:rPr>
        <w:rFonts w:hint="default"/>
        <w:lang w:val="zh-CN" w:eastAsia="zh-CN" w:bidi="zh-CN"/>
      </w:rPr>
    </w:lvl>
    <w:lvl w:ilvl="5" w:tentative="0">
      <w:start w:val="0"/>
      <w:numFmt w:val="bullet"/>
      <w:lvlText w:val="•"/>
      <w:lvlJc w:val="left"/>
      <w:pPr>
        <w:ind w:left="5840" w:hanging="704"/>
      </w:pPr>
      <w:rPr>
        <w:rFonts w:hint="default"/>
        <w:lang w:val="zh-CN" w:eastAsia="zh-CN" w:bidi="zh-CN"/>
      </w:rPr>
    </w:lvl>
    <w:lvl w:ilvl="6" w:tentative="0">
      <w:start w:val="0"/>
      <w:numFmt w:val="bullet"/>
      <w:lvlText w:val="•"/>
      <w:lvlJc w:val="left"/>
      <w:pPr>
        <w:ind w:left="6730" w:hanging="704"/>
      </w:pPr>
      <w:rPr>
        <w:rFonts w:hint="default"/>
        <w:lang w:val="zh-CN" w:eastAsia="zh-CN" w:bidi="zh-CN"/>
      </w:rPr>
    </w:lvl>
    <w:lvl w:ilvl="7" w:tentative="0">
      <w:start w:val="0"/>
      <w:numFmt w:val="bullet"/>
      <w:lvlText w:val="•"/>
      <w:lvlJc w:val="left"/>
      <w:pPr>
        <w:ind w:left="7620" w:hanging="704"/>
      </w:pPr>
      <w:rPr>
        <w:rFonts w:hint="default"/>
        <w:lang w:val="zh-CN" w:eastAsia="zh-CN" w:bidi="zh-CN"/>
      </w:rPr>
    </w:lvl>
    <w:lvl w:ilvl="8" w:tentative="0">
      <w:start w:val="0"/>
      <w:numFmt w:val="bullet"/>
      <w:lvlText w:val="•"/>
      <w:lvlJc w:val="left"/>
      <w:pPr>
        <w:ind w:left="8510" w:hanging="704"/>
      </w:pPr>
      <w:rPr>
        <w:rFonts w:hint="default"/>
        <w:lang w:val="zh-CN" w:eastAsia="zh-CN" w:bidi="zh-CN"/>
      </w:rPr>
    </w:lvl>
  </w:abstractNum>
  <w:abstractNum w:abstractNumId="25">
    <w:nsid w:val="BDA1395C"/>
    <w:multiLevelType w:val="multilevel"/>
    <w:tmpl w:val="BDA1395C"/>
    <w:lvl w:ilvl="0" w:tentative="0">
      <w:start w:val="1"/>
      <w:numFmt w:val="decimal"/>
      <w:suff w:val="space"/>
      <w:lvlText w:val="（%1）"/>
      <w:lvlJc w:val="left"/>
      <w:pPr>
        <w:ind w:left="1682" w:hanging="706"/>
      </w:pPr>
      <w:rPr>
        <w:rFonts w:hint="default" w:ascii="仿宋" w:hAnsi="仿宋" w:eastAsia="仿宋" w:cs="仿宋"/>
        <w:spacing w:val="-3"/>
        <w:w w:val="99"/>
        <w:sz w:val="26"/>
        <w:szCs w:val="26"/>
        <w:lang w:val="zh-CN" w:eastAsia="zh-CN" w:bidi="zh-CN"/>
      </w:rPr>
    </w:lvl>
    <w:lvl w:ilvl="1" w:tentative="0">
      <w:start w:val="0"/>
      <w:numFmt w:val="bullet"/>
      <w:lvlText w:val="•"/>
      <w:lvlJc w:val="left"/>
      <w:pPr>
        <w:ind w:left="2541" w:hanging="706"/>
      </w:pPr>
      <w:rPr>
        <w:rFonts w:hint="default"/>
        <w:lang w:val="zh-CN" w:eastAsia="zh-CN" w:bidi="zh-CN"/>
      </w:rPr>
    </w:lvl>
    <w:lvl w:ilvl="2" w:tentative="0">
      <w:start w:val="0"/>
      <w:numFmt w:val="bullet"/>
      <w:lvlText w:val="•"/>
      <w:lvlJc w:val="left"/>
      <w:pPr>
        <w:ind w:left="3402" w:hanging="706"/>
      </w:pPr>
      <w:rPr>
        <w:rFonts w:hint="default"/>
        <w:lang w:val="zh-CN" w:eastAsia="zh-CN" w:bidi="zh-CN"/>
      </w:rPr>
    </w:lvl>
    <w:lvl w:ilvl="3" w:tentative="0">
      <w:start w:val="0"/>
      <w:numFmt w:val="bullet"/>
      <w:lvlText w:val="•"/>
      <w:lvlJc w:val="left"/>
      <w:pPr>
        <w:ind w:left="4263" w:hanging="706"/>
      </w:pPr>
      <w:rPr>
        <w:rFonts w:hint="default"/>
        <w:lang w:val="zh-CN" w:eastAsia="zh-CN" w:bidi="zh-CN"/>
      </w:rPr>
    </w:lvl>
    <w:lvl w:ilvl="4" w:tentative="0">
      <w:start w:val="0"/>
      <w:numFmt w:val="bullet"/>
      <w:lvlText w:val="•"/>
      <w:lvlJc w:val="left"/>
      <w:pPr>
        <w:ind w:left="5124" w:hanging="706"/>
      </w:pPr>
      <w:rPr>
        <w:rFonts w:hint="default"/>
        <w:lang w:val="zh-CN" w:eastAsia="zh-CN" w:bidi="zh-CN"/>
      </w:rPr>
    </w:lvl>
    <w:lvl w:ilvl="5" w:tentative="0">
      <w:start w:val="0"/>
      <w:numFmt w:val="bullet"/>
      <w:lvlText w:val="•"/>
      <w:lvlJc w:val="left"/>
      <w:pPr>
        <w:ind w:left="5985" w:hanging="706"/>
      </w:pPr>
      <w:rPr>
        <w:rFonts w:hint="default"/>
        <w:lang w:val="zh-CN" w:eastAsia="zh-CN" w:bidi="zh-CN"/>
      </w:rPr>
    </w:lvl>
    <w:lvl w:ilvl="6" w:tentative="0">
      <w:start w:val="0"/>
      <w:numFmt w:val="bullet"/>
      <w:lvlText w:val="•"/>
      <w:lvlJc w:val="left"/>
      <w:pPr>
        <w:ind w:left="6846" w:hanging="706"/>
      </w:pPr>
      <w:rPr>
        <w:rFonts w:hint="default"/>
        <w:lang w:val="zh-CN" w:eastAsia="zh-CN" w:bidi="zh-CN"/>
      </w:rPr>
    </w:lvl>
    <w:lvl w:ilvl="7" w:tentative="0">
      <w:start w:val="0"/>
      <w:numFmt w:val="bullet"/>
      <w:lvlText w:val="•"/>
      <w:lvlJc w:val="left"/>
      <w:pPr>
        <w:ind w:left="7707" w:hanging="706"/>
      </w:pPr>
      <w:rPr>
        <w:rFonts w:hint="default"/>
        <w:lang w:val="zh-CN" w:eastAsia="zh-CN" w:bidi="zh-CN"/>
      </w:rPr>
    </w:lvl>
    <w:lvl w:ilvl="8" w:tentative="0">
      <w:start w:val="0"/>
      <w:numFmt w:val="bullet"/>
      <w:lvlText w:val="•"/>
      <w:lvlJc w:val="left"/>
      <w:pPr>
        <w:ind w:left="8568" w:hanging="706"/>
      </w:pPr>
      <w:rPr>
        <w:rFonts w:hint="default"/>
        <w:lang w:val="zh-CN" w:eastAsia="zh-CN" w:bidi="zh-CN"/>
      </w:rPr>
    </w:lvl>
  </w:abstractNum>
  <w:abstractNum w:abstractNumId="26">
    <w:nsid w:val="BE8A4F4C"/>
    <w:multiLevelType w:val="multilevel"/>
    <w:tmpl w:val="BE8A4F4C"/>
    <w:lvl w:ilvl="0" w:tentative="0">
      <w:start w:val="7"/>
      <w:numFmt w:val="decimal"/>
      <w:lvlText w:val="%1"/>
      <w:lvlJc w:val="left"/>
      <w:pPr>
        <w:ind w:left="1795" w:hanging="776"/>
      </w:pPr>
      <w:rPr>
        <w:rFonts w:hint="default"/>
        <w:lang w:val="zh-CN" w:eastAsia="zh-CN" w:bidi="zh-CN"/>
      </w:rPr>
    </w:lvl>
    <w:lvl w:ilvl="1" w:tentative="0">
      <w:start w:val="1"/>
      <w:numFmt w:val="decimal"/>
      <w:lvlText w:val="%1.%2"/>
      <w:lvlJc w:val="left"/>
      <w:pPr>
        <w:ind w:left="1795" w:hanging="776"/>
      </w:pPr>
      <w:rPr>
        <w:rFonts w:hint="default"/>
        <w:lang w:val="zh-CN" w:eastAsia="zh-CN" w:bidi="zh-CN"/>
      </w:rPr>
    </w:lvl>
    <w:lvl w:ilvl="2" w:tentative="0">
      <w:start w:val="4"/>
      <w:numFmt w:val="decimal"/>
      <w:suff w:val="space"/>
      <w:lvlText w:val="%1.%2.%3"/>
      <w:lvlJc w:val="left"/>
      <w:pPr>
        <w:ind w:left="1795" w:hanging="776"/>
      </w:pPr>
      <w:rPr>
        <w:rFonts w:hint="default" w:ascii="黑体" w:hAnsi="黑体" w:eastAsia="黑体" w:cs="黑体"/>
        <w:b/>
        <w:bCs/>
        <w:spacing w:val="-2"/>
        <w:w w:val="99"/>
        <w:sz w:val="28"/>
        <w:szCs w:val="28"/>
        <w:lang w:val="zh-CN" w:eastAsia="zh-CN" w:bidi="zh-CN"/>
      </w:rPr>
    </w:lvl>
    <w:lvl w:ilvl="3" w:tentative="0">
      <w:start w:val="0"/>
      <w:numFmt w:val="bullet"/>
      <w:lvlText w:val="•"/>
      <w:lvlJc w:val="left"/>
      <w:pPr>
        <w:ind w:left="4347" w:hanging="776"/>
      </w:pPr>
      <w:rPr>
        <w:rFonts w:hint="default"/>
        <w:lang w:val="zh-CN" w:eastAsia="zh-CN" w:bidi="zh-CN"/>
      </w:rPr>
    </w:lvl>
    <w:lvl w:ilvl="4" w:tentative="0">
      <w:start w:val="0"/>
      <w:numFmt w:val="bullet"/>
      <w:lvlText w:val="•"/>
      <w:lvlJc w:val="left"/>
      <w:pPr>
        <w:ind w:left="5196" w:hanging="776"/>
      </w:pPr>
      <w:rPr>
        <w:rFonts w:hint="default"/>
        <w:lang w:val="zh-CN" w:eastAsia="zh-CN" w:bidi="zh-CN"/>
      </w:rPr>
    </w:lvl>
    <w:lvl w:ilvl="5" w:tentative="0">
      <w:start w:val="0"/>
      <w:numFmt w:val="bullet"/>
      <w:lvlText w:val="•"/>
      <w:lvlJc w:val="left"/>
      <w:pPr>
        <w:ind w:left="6045" w:hanging="776"/>
      </w:pPr>
      <w:rPr>
        <w:rFonts w:hint="default"/>
        <w:lang w:val="zh-CN" w:eastAsia="zh-CN" w:bidi="zh-CN"/>
      </w:rPr>
    </w:lvl>
    <w:lvl w:ilvl="6" w:tentative="0">
      <w:start w:val="0"/>
      <w:numFmt w:val="bullet"/>
      <w:lvlText w:val="•"/>
      <w:lvlJc w:val="left"/>
      <w:pPr>
        <w:ind w:left="6894" w:hanging="776"/>
      </w:pPr>
      <w:rPr>
        <w:rFonts w:hint="default"/>
        <w:lang w:val="zh-CN" w:eastAsia="zh-CN" w:bidi="zh-CN"/>
      </w:rPr>
    </w:lvl>
    <w:lvl w:ilvl="7" w:tentative="0">
      <w:start w:val="0"/>
      <w:numFmt w:val="bullet"/>
      <w:lvlText w:val="•"/>
      <w:lvlJc w:val="left"/>
      <w:pPr>
        <w:ind w:left="7743" w:hanging="776"/>
      </w:pPr>
      <w:rPr>
        <w:rFonts w:hint="default"/>
        <w:lang w:val="zh-CN" w:eastAsia="zh-CN" w:bidi="zh-CN"/>
      </w:rPr>
    </w:lvl>
    <w:lvl w:ilvl="8" w:tentative="0">
      <w:start w:val="0"/>
      <w:numFmt w:val="bullet"/>
      <w:lvlText w:val="•"/>
      <w:lvlJc w:val="left"/>
      <w:pPr>
        <w:ind w:left="8592" w:hanging="776"/>
      </w:pPr>
      <w:rPr>
        <w:rFonts w:hint="default"/>
        <w:lang w:val="zh-CN" w:eastAsia="zh-CN" w:bidi="zh-CN"/>
      </w:rPr>
    </w:lvl>
  </w:abstractNum>
  <w:abstractNum w:abstractNumId="27">
    <w:nsid w:val="BE923771"/>
    <w:multiLevelType w:val="multilevel"/>
    <w:tmpl w:val="BE923771"/>
    <w:lvl w:ilvl="0" w:tentative="0">
      <w:start w:val="1"/>
      <w:numFmt w:val="decimal"/>
      <w:suff w:val="space"/>
      <w:lvlText w:val="(%1)"/>
      <w:lvlJc w:val="left"/>
      <w:pPr>
        <w:ind w:left="420" w:hanging="423"/>
      </w:pPr>
      <w:rPr>
        <w:rFonts w:hint="default" w:ascii="仿宋" w:hAnsi="仿宋" w:eastAsia="仿宋" w:cs="仿宋"/>
        <w:spacing w:val="-3"/>
        <w:w w:val="99"/>
        <w:sz w:val="26"/>
        <w:szCs w:val="26"/>
        <w:lang w:val="zh-CN" w:eastAsia="zh-CN" w:bidi="zh-CN"/>
      </w:rPr>
    </w:lvl>
    <w:lvl w:ilvl="1" w:tentative="0">
      <w:start w:val="0"/>
      <w:numFmt w:val="bullet"/>
      <w:lvlText w:val="•"/>
      <w:lvlJc w:val="left"/>
      <w:pPr>
        <w:ind w:left="1407" w:hanging="423"/>
      </w:pPr>
      <w:rPr>
        <w:rFonts w:hint="default"/>
        <w:lang w:val="zh-CN" w:eastAsia="zh-CN" w:bidi="zh-CN"/>
      </w:rPr>
    </w:lvl>
    <w:lvl w:ilvl="2" w:tentative="0">
      <w:start w:val="0"/>
      <w:numFmt w:val="bullet"/>
      <w:lvlText w:val="•"/>
      <w:lvlJc w:val="left"/>
      <w:pPr>
        <w:ind w:left="2394" w:hanging="423"/>
      </w:pPr>
      <w:rPr>
        <w:rFonts w:hint="default"/>
        <w:lang w:val="zh-CN" w:eastAsia="zh-CN" w:bidi="zh-CN"/>
      </w:rPr>
    </w:lvl>
    <w:lvl w:ilvl="3" w:tentative="0">
      <w:start w:val="0"/>
      <w:numFmt w:val="bullet"/>
      <w:lvlText w:val="•"/>
      <w:lvlJc w:val="left"/>
      <w:pPr>
        <w:ind w:left="3381" w:hanging="423"/>
      </w:pPr>
      <w:rPr>
        <w:rFonts w:hint="default"/>
        <w:lang w:val="zh-CN" w:eastAsia="zh-CN" w:bidi="zh-CN"/>
      </w:rPr>
    </w:lvl>
    <w:lvl w:ilvl="4" w:tentative="0">
      <w:start w:val="0"/>
      <w:numFmt w:val="bullet"/>
      <w:lvlText w:val="•"/>
      <w:lvlJc w:val="left"/>
      <w:pPr>
        <w:ind w:left="4368" w:hanging="423"/>
      </w:pPr>
      <w:rPr>
        <w:rFonts w:hint="default"/>
        <w:lang w:val="zh-CN" w:eastAsia="zh-CN" w:bidi="zh-CN"/>
      </w:rPr>
    </w:lvl>
    <w:lvl w:ilvl="5" w:tentative="0">
      <w:start w:val="0"/>
      <w:numFmt w:val="bullet"/>
      <w:lvlText w:val="•"/>
      <w:lvlJc w:val="left"/>
      <w:pPr>
        <w:ind w:left="5355" w:hanging="423"/>
      </w:pPr>
      <w:rPr>
        <w:rFonts w:hint="default"/>
        <w:lang w:val="zh-CN" w:eastAsia="zh-CN" w:bidi="zh-CN"/>
      </w:rPr>
    </w:lvl>
    <w:lvl w:ilvl="6" w:tentative="0">
      <w:start w:val="0"/>
      <w:numFmt w:val="bullet"/>
      <w:lvlText w:val="•"/>
      <w:lvlJc w:val="left"/>
      <w:pPr>
        <w:ind w:left="6342" w:hanging="423"/>
      </w:pPr>
      <w:rPr>
        <w:rFonts w:hint="default"/>
        <w:lang w:val="zh-CN" w:eastAsia="zh-CN" w:bidi="zh-CN"/>
      </w:rPr>
    </w:lvl>
    <w:lvl w:ilvl="7" w:tentative="0">
      <w:start w:val="0"/>
      <w:numFmt w:val="bullet"/>
      <w:lvlText w:val="•"/>
      <w:lvlJc w:val="left"/>
      <w:pPr>
        <w:ind w:left="7329" w:hanging="423"/>
      </w:pPr>
      <w:rPr>
        <w:rFonts w:hint="default"/>
        <w:lang w:val="zh-CN" w:eastAsia="zh-CN" w:bidi="zh-CN"/>
      </w:rPr>
    </w:lvl>
    <w:lvl w:ilvl="8" w:tentative="0">
      <w:start w:val="0"/>
      <w:numFmt w:val="bullet"/>
      <w:lvlText w:val="•"/>
      <w:lvlJc w:val="left"/>
      <w:pPr>
        <w:ind w:left="8316" w:hanging="423"/>
      </w:pPr>
      <w:rPr>
        <w:rFonts w:hint="default"/>
        <w:lang w:val="zh-CN" w:eastAsia="zh-CN" w:bidi="zh-CN"/>
      </w:rPr>
    </w:lvl>
  </w:abstractNum>
  <w:abstractNum w:abstractNumId="28">
    <w:nsid w:val="BF50FE6B"/>
    <w:multiLevelType w:val="multilevel"/>
    <w:tmpl w:val="BF50FE6B"/>
    <w:lvl w:ilvl="0" w:tentative="0">
      <w:start w:val="1"/>
      <w:numFmt w:val="decimal"/>
      <w:suff w:val="space"/>
      <w:lvlText w:val="%1）"/>
      <w:lvlJc w:val="left"/>
      <w:pPr>
        <w:ind w:left="1020" w:hanging="425"/>
      </w:pPr>
      <w:rPr>
        <w:rFonts w:hint="default" w:ascii="仿宋" w:hAnsi="仿宋" w:eastAsia="仿宋" w:cs="仿宋"/>
        <w:w w:val="99"/>
        <w:sz w:val="26"/>
        <w:szCs w:val="26"/>
        <w:lang w:val="zh-CN" w:eastAsia="zh-CN" w:bidi="zh-CN"/>
      </w:rPr>
    </w:lvl>
    <w:lvl w:ilvl="1" w:tentative="0">
      <w:start w:val="0"/>
      <w:numFmt w:val="bullet"/>
      <w:lvlText w:val="•"/>
      <w:lvlJc w:val="left"/>
      <w:pPr>
        <w:ind w:left="1947" w:hanging="425"/>
      </w:pPr>
      <w:rPr>
        <w:rFonts w:hint="default"/>
        <w:lang w:val="zh-CN" w:eastAsia="zh-CN" w:bidi="zh-CN"/>
      </w:rPr>
    </w:lvl>
    <w:lvl w:ilvl="2" w:tentative="0">
      <w:start w:val="0"/>
      <w:numFmt w:val="bullet"/>
      <w:lvlText w:val="•"/>
      <w:lvlJc w:val="left"/>
      <w:pPr>
        <w:ind w:left="2874" w:hanging="425"/>
      </w:pPr>
      <w:rPr>
        <w:rFonts w:hint="default"/>
        <w:lang w:val="zh-CN" w:eastAsia="zh-CN" w:bidi="zh-CN"/>
      </w:rPr>
    </w:lvl>
    <w:lvl w:ilvl="3" w:tentative="0">
      <w:start w:val="0"/>
      <w:numFmt w:val="bullet"/>
      <w:lvlText w:val="•"/>
      <w:lvlJc w:val="left"/>
      <w:pPr>
        <w:ind w:left="3801" w:hanging="425"/>
      </w:pPr>
      <w:rPr>
        <w:rFonts w:hint="default"/>
        <w:lang w:val="zh-CN" w:eastAsia="zh-CN" w:bidi="zh-CN"/>
      </w:rPr>
    </w:lvl>
    <w:lvl w:ilvl="4" w:tentative="0">
      <w:start w:val="0"/>
      <w:numFmt w:val="bullet"/>
      <w:lvlText w:val="•"/>
      <w:lvlJc w:val="left"/>
      <w:pPr>
        <w:ind w:left="4728" w:hanging="425"/>
      </w:pPr>
      <w:rPr>
        <w:rFonts w:hint="default"/>
        <w:lang w:val="zh-CN" w:eastAsia="zh-CN" w:bidi="zh-CN"/>
      </w:rPr>
    </w:lvl>
    <w:lvl w:ilvl="5" w:tentative="0">
      <w:start w:val="0"/>
      <w:numFmt w:val="bullet"/>
      <w:lvlText w:val="•"/>
      <w:lvlJc w:val="left"/>
      <w:pPr>
        <w:ind w:left="5655" w:hanging="425"/>
      </w:pPr>
      <w:rPr>
        <w:rFonts w:hint="default"/>
        <w:lang w:val="zh-CN" w:eastAsia="zh-CN" w:bidi="zh-CN"/>
      </w:rPr>
    </w:lvl>
    <w:lvl w:ilvl="6" w:tentative="0">
      <w:start w:val="0"/>
      <w:numFmt w:val="bullet"/>
      <w:lvlText w:val="•"/>
      <w:lvlJc w:val="left"/>
      <w:pPr>
        <w:ind w:left="6582" w:hanging="425"/>
      </w:pPr>
      <w:rPr>
        <w:rFonts w:hint="default"/>
        <w:lang w:val="zh-CN" w:eastAsia="zh-CN" w:bidi="zh-CN"/>
      </w:rPr>
    </w:lvl>
    <w:lvl w:ilvl="7" w:tentative="0">
      <w:start w:val="0"/>
      <w:numFmt w:val="bullet"/>
      <w:lvlText w:val="•"/>
      <w:lvlJc w:val="left"/>
      <w:pPr>
        <w:ind w:left="7509" w:hanging="425"/>
      </w:pPr>
      <w:rPr>
        <w:rFonts w:hint="default"/>
        <w:lang w:val="zh-CN" w:eastAsia="zh-CN" w:bidi="zh-CN"/>
      </w:rPr>
    </w:lvl>
    <w:lvl w:ilvl="8" w:tentative="0">
      <w:start w:val="0"/>
      <w:numFmt w:val="bullet"/>
      <w:lvlText w:val="•"/>
      <w:lvlJc w:val="left"/>
      <w:pPr>
        <w:ind w:left="8436" w:hanging="425"/>
      </w:pPr>
      <w:rPr>
        <w:rFonts w:hint="default"/>
        <w:lang w:val="zh-CN" w:eastAsia="zh-CN" w:bidi="zh-CN"/>
      </w:rPr>
    </w:lvl>
  </w:abstractNum>
  <w:abstractNum w:abstractNumId="29">
    <w:nsid w:val="C0915F4F"/>
    <w:multiLevelType w:val="multilevel"/>
    <w:tmpl w:val="C0915F4F"/>
    <w:lvl w:ilvl="0" w:tentative="0">
      <w:start w:val="1"/>
      <w:numFmt w:val="decimal"/>
      <w:suff w:val="space"/>
      <w:lvlText w:val="%1）"/>
      <w:lvlJc w:val="left"/>
      <w:pPr>
        <w:ind w:left="420" w:hanging="435"/>
      </w:pPr>
      <w:rPr>
        <w:rFonts w:hint="default" w:ascii="仿宋" w:hAnsi="仿宋" w:eastAsia="仿宋" w:cs="仿宋"/>
        <w:b w:val="0"/>
        <w:bCs w:val="0"/>
        <w:spacing w:val="0"/>
        <w:w w:val="99"/>
        <w:sz w:val="26"/>
        <w:szCs w:val="26"/>
        <w:lang w:val="zh-CN" w:eastAsia="zh-CN" w:bidi="zh-CN"/>
      </w:rPr>
    </w:lvl>
    <w:lvl w:ilvl="1" w:tentative="0">
      <w:start w:val="0"/>
      <w:numFmt w:val="bullet"/>
      <w:lvlText w:val="•"/>
      <w:lvlJc w:val="left"/>
      <w:pPr>
        <w:ind w:left="1407" w:hanging="435"/>
      </w:pPr>
      <w:rPr>
        <w:rFonts w:hint="default"/>
        <w:lang w:val="zh-CN" w:eastAsia="zh-CN" w:bidi="zh-CN"/>
      </w:rPr>
    </w:lvl>
    <w:lvl w:ilvl="2" w:tentative="0">
      <w:start w:val="0"/>
      <w:numFmt w:val="bullet"/>
      <w:lvlText w:val="•"/>
      <w:lvlJc w:val="left"/>
      <w:pPr>
        <w:ind w:left="2394" w:hanging="435"/>
      </w:pPr>
      <w:rPr>
        <w:rFonts w:hint="default"/>
        <w:lang w:val="zh-CN" w:eastAsia="zh-CN" w:bidi="zh-CN"/>
      </w:rPr>
    </w:lvl>
    <w:lvl w:ilvl="3" w:tentative="0">
      <w:start w:val="0"/>
      <w:numFmt w:val="bullet"/>
      <w:lvlText w:val="•"/>
      <w:lvlJc w:val="left"/>
      <w:pPr>
        <w:ind w:left="3381" w:hanging="435"/>
      </w:pPr>
      <w:rPr>
        <w:rFonts w:hint="default"/>
        <w:lang w:val="zh-CN" w:eastAsia="zh-CN" w:bidi="zh-CN"/>
      </w:rPr>
    </w:lvl>
    <w:lvl w:ilvl="4" w:tentative="0">
      <w:start w:val="0"/>
      <w:numFmt w:val="bullet"/>
      <w:lvlText w:val="•"/>
      <w:lvlJc w:val="left"/>
      <w:pPr>
        <w:ind w:left="4368" w:hanging="435"/>
      </w:pPr>
      <w:rPr>
        <w:rFonts w:hint="default"/>
        <w:lang w:val="zh-CN" w:eastAsia="zh-CN" w:bidi="zh-CN"/>
      </w:rPr>
    </w:lvl>
    <w:lvl w:ilvl="5" w:tentative="0">
      <w:start w:val="0"/>
      <w:numFmt w:val="bullet"/>
      <w:lvlText w:val="•"/>
      <w:lvlJc w:val="left"/>
      <w:pPr>
        <w:ind w:left="5355" w:hanging="435"/>
      </w:pPr>
      <w:rPr>
        <w:rFonts w:hint="default"/>
        <w:lang w:val="zh-CN" w:eastAsia="zh-CN" w:bidi="zh-CN"/>
      </w:rPr>
    </w:lvl>
    <w:lvl w:ilvl="6" w:tentative="0">
      <w:start w:val="0"/>
      <w:numFmt w:val="bullet"/>
      <w:lvlText w:val="•"/>
      <w:lvlJc w:val="left"/>
      <w:pPr>
        <w:ind w:left="6342" w:hanging="435"/>
      </w:pPr>
      <w:rPr>
        <w:rFonts w:hint="default"/>
        <w:lang w:val="zh-CN" w:eastAsia="zh-CN" w:bidi="zh-CN"/>
      </w:rPr>
    </w:lvl>
    <w:lvl w:ilvl="7" w:tentative="0">
      <w:start w:val="0"/>
      <w:numFmt w:val="bullet"/>
      <w:lvlText w:val="•"/>
      <w:lvlJc w:val="left"/>
      <w:pPr>
        <w:ind w:left="7329" w:hanging="435"/>
      </w:pPr>
      <w:rPr>
        <w:rFonts w:hint="default"/>
        <w:lang w:val="zh-CN" w:eastAsia="zh-CN" w:bidi="zh-CN"/>
      </w:rPr>
    </w:lvl>
    <w:lvl w:ilvl="8" w:tentative="0">
      <w:start w:val="0"/>
      <w:numFmt w:val="bullet"/>
      <w:lvlText w:val="•"/>
      <w:lvlJc w:val="left"/>
      <w:pPr>
        <w:ind w:left="8316" w:hanging="435"/>
      </w:pPr>
      <w:rPr>
        <w:rFonts w:hint="default"/>
        <w:lang w:val="zh-CN" w:eastAsia="zh-CN" w:bidi="zh-CN"/>
      </w:rPr>
    </w:lvl>
  </w:abstractNum>
  <w:abstractNum w:abstractNumId="30">
    <w:nsid w:val="C90D1B09"/>
    <w:multiLevelType w:val="multilevel"/>
    <w:tmpl w:val="C90D1B09"/>
    <w:lvl w:ilvl="0" w:tentative="0">
      <w:start w:val="10"/>
      <w:numFmt w:val="decimal"/>
      <w:lvlText w:val="%1"/>
      <w:lvlJc w:val="left"/>
      <w:pPr>
        <w:ind w:left="1699" w:hanging="680"/>
      </w:pPr>
      <w:rPr>
        <w:rFonts w:hint="default"/>
        <w:lang w:val="zh-CN" w:eastAsia="zh-CN" w:bidi="zh-CN"/>
      </w:rPr>
    </w:lvl>
    <w:lvl w:ilvl="1" w:tentative="0">
      <w:start w:val="1"/>
      <w:numFmt w:val="decimal"/>
      <w:suff w:val="space"/>
      <w:lvlText w:val="%1.%2"/>
      <w:lvlJc w:val="left"/>
      <w:pPr>
        <w:ind w:left="1120" w:hanging="680"/>
      </w:pPr>
      <w:rPr>
        <w:rFonts w:hint="default" w:ascii="黑体" w:hAnsi="黑体" w:eastAsia="黑体" w:cs="黑体"/>
        <w:b/>
        <w:bCs/>
        <w:spacing w:val="-2"/>
        <w:w w:val="99"/>
        <w:sz w:val="30"/>
        <w:szCs w:val="30"/>
        <w:lang w:val="zh-CN" w:eastAsia="zh-CN" w:bidi="zh-CN"/>
      </w:rPr>
    </w:lvl>
    <w:lvl w:ilvl="2" w:tentative="0">
      <w:start w:val="1"/>
      <w:numFmt w:val="decimal"/>
      <w:suff w:val="space"/>
      <w:lvlText w:val="%3."/>
      <w:lvlJc w:val="left"/>
      <w:pPr>
        <w:ind w:left="727" w:hanging="286"/>
      </w:pPr>
      <w:rPr>
        <w:rFonts w:hint="default"/>
        <w:b/>
        <w:bCs/>
        <w:spacing w:val="0"/>
        <w:w w:val="96"/>
        <w:lang w:val="zh-CN" w:eastAsia="zh-CN" w:bidi="zh-CN"/>
      </w:rPr>
    </w:lvl>
    <w:lvl w:ilvl="3" w:tentative="0">
      <w:start w:val="0"/>
      <w:numFmt w:val="bullet"/>
      <w:lvlText w:val="•"/>
      <w:lvlJc w:val="left"/>
      <w:pPr>
        <w:ind w:left="3733" w:hanging="286"/>
      </w:pPr>
      <w:rPr>
        <w:rFonts w:hint="default"/>
        <w:lang w:val="zh-CN" w:eastAsia="zh-CN" w:bidi="zh-CN"/>
      </w:rPr>
    </w:lvl>
    <w:lvl w:ilvl="4" w:tentative="0">
      <w:start w:val="0"/>
      <w:numFmt w:val="bullet"/>
      <w:lvlText w:val="•"/>
      <w:lvlJc w:val="left"/>
      <w:pPr>
        <w:ind w:left="4670" w:hanging="286"/>
      </w:pPr>
      <w:rPr>
        <w:rFonts w:hint="default"/>
        <w:lang w:val="zh-CN" w:eastAsia="zh-CN" w:bidi="zh-CN"/>
      </w:rPr>
    </w:lvl>
    <w:lvl w:ilvl="5" w:tentative="0">
      <w:start w:val="0"/>
      <w:numFmt w:val="bullet"/>
      <w:lvlText w:val="•"/>
      <w:lvlJc w:val="left"/>
      <w:pPr>
        <w:ind w:left="5606" w:hanging="286"/>
      </w:pPr>
      <w:rPr>
        <w:rFonts w:hint="default"/>
        <w:lang w:val="zh-CN" w:eastAsia="zh-CN" w:bidi="zh-CN"/>
      </w:rPr>
    </w:lvl>
    <w:lvl w:ilvl="6" w:tentative="0">
      <w:start w:val="0"/>
      <w:numFmt w:val="bullet"/>
      <w:lvlText w:val="•"/>
      <w:lvlJc w:val="left"/>
      <w:pPr>
        <w:ind w:left="6543" w:hanging="286"/>
      </w:pPr>
      <w:rPr>
        <w:rFonts w:hint="default"/>
        <w:lang w:val="zh-CN" w:eastAsia="zh-CN" w:bidi="zh-CN"/>
      </w:rPr>
    </w:lvl>
    <w:lvl w:ilvl="7" w:tentative="0">
      <w:start w:val="0"/>
      <w:numFmt w:val="bullet"/>
      <w:lvlText w:val="•"/>
      <w:lvlJc w:val="left"/>
      <w:pPr>
        <w:ind w:left="7480" w:hanging="286"/>
      </w:pPr>
      <w:rPr>
        <w:rFonts w:hint="default"/>
        <w:lang w:val="zh-CN" w:eastAsia="zh-CN" w:bidi="zh-CN"/>
      </w:rPr>
    </w:lvl>
    <w:lvl w:ilvl="8" w:tentative="0">
      <w:start w:val="0"/>
      <w:numFmt w:val="bullet"/>
      <w:lvlText w:val="•"/>
      <w:lvlJc w:val="left"/>
      <w:pPr>
        <w:ind w:left="8416" w:hanging="286"/>
      </w:pPr>
      <w:rPr>
        <w:rFonts w:hint="default"/>
        <w:lang w:val="zh-CN" w:eastAsia="zh-CN" w:bidi="zh-CN"/>
      </w:rPr>
    </w:lvl>
  </w:abstractNum>
  <w:abstractNum w:abstractNumId="31">
    <w:nsid w:val="C934BFC9"/>
    <w:multiLevelType w:val="singleLevel"/>
    <w:tmpl w:val="C934BFC9"/>
    <w:lvl w:ilvl="0" w:tentative="0">
      <w:start w:val="1"/>
      <w:numFmt w:val="decimal"/>
      <w:suff w:val="nothing"/>
      <w:lvlText w:val="%1、"/>
      <w:lvlJc w:val="left"/>
    </w:lvl>
  </w:abstractNum>
  <w:abstractNum w:abstractNumId="32">
    <w:nsid w:val="D1EB1714"/>
    <w:multiLevelType w:val="multilevel"/>
    <w:tmpl w:val="D1EB1714"/>
    <w:lvl w:ilvl="0" w:tentative="0">
      <w:start w:val="1"/>
      <w:numFmt w:val="decimal"/>
      <w:suff w:val="space"/>
      <w:lvlText w:val="%1）"/>
      <w:lvlJc w:val="left"/>
      <w:pPr>
        <w:ind w:left="420" w:hanging="425"/>
      </w:pPr>
      <w:rPr>
        <w:rFonts w:hint="default" w:ascii="仿宋" w:hAnsi="仿宋" w:eastAsia="仿宋" w:cs="仿宋"/>
        <w:w w:val="99"/>
        <w:sz w:val="26"/>
        <w:szCs w:val="26"/>
        <w:lang w:val="zh-CN" w:eastAsia="zh-CN" w:bidi="zh-CN"/>
      </w:rPr>
    </w:lvl>
    <w:lvl w:ilvl="1" w:tentative="0">
      <w:start w:val="0"/>
      <w:numFmt w:val="bullet"/>
      <w:lvlText w:val="•"/>
      <w:lvlJc w:val="left"/>
      <w:pPr>
        <w:ind w:left="1407" w:hanging="425"/>
      </w:pPr>
      <w:rPr>
        <w:rFonts w:hint="default"/>
        <w:lang w:val="zh-CN" w:eastAsia="zh-CN" w:bidi="zh-CN"/>
      </w:rPr>
    </w:lvl>
    <w:lvl w:ilvl="2" w:tentative="0">
      <w:start w:val="0"/>
      <w:numFmt w:val="bullet"/>
      <w:lvlText w:val="•"/>
      <w:lvlJc w:val="left"/>
      <w:pPr>
        <w:ind w:left="2394" w:hanging="425"/>
      </w:pPr>
      <w:rPr>
        <w:rFonts w:hint="default"/>
        <w:lang w:val="zh-CN" w:eastAsia="zh-CN" w:bidi="zh-CN"/>
      </w:rPr>
    </w:lvl>
    <w:lvl w:ilvl="3" w:tentative="0">
      <w:start w:val="0"/>
      <w:numFmt w:val="bullet"/>
      <w:lvlText w:val="•"/>
      <w:lvlJc w:val="left"/>
      <w:pPr>
        <w:ind w:left="3381" w:hanging="425"/>
      </w:pPr>
      <w:rPr>
        <w:rFonts w:hint="default"/>
        <w:lang w:val="zh-CN" w:eastAsia="zh-CN" w:bidi="zh-CN"/>
      </w:rPr>
    </w:lvl>
    <w:lvl w:ilvl="4" w:tentative="0">
      <w:start w:val="0"/>
      <w:numFmt w:val="bullet"/>
      <w:lvlText w:val="•"/>
      <w:lvlJc w:val="left"/>
      <w:pPr>
        <w:ind w:left="4368" w:hanging="425"/>
      </w:pPr>
      <w:rPr>
        <w:rFonts w:hint="default"/>
        <w:lang w:val="zh-CN" w:eastAsia="zh-CN" w:bidi="zh-CN"/>
      </w:rPr>
    </w:lvl>
    <w:lvl w:ilvl="5" w:tentative="0">
      <w:start w:val="0"/>
      <w:numFmt w:val="bullet"/>
      <w:lvlText w:val="•"/>
      <w:lvlJc w:val="left"/>
      <w:pPr>
        <w:ind w:left="5355" w:hanging="425"/>
      </w:pPr>
      <w:rPr>
        <w:rFonts w:hint="default"/>
        <w:lang w:val="zh-CN" w:eastAsia="zh-CN" w:bidi="zh-CN"/>
      </w:rPr>
    </w:lvl>
    <w:lvl w:ilvl="6" w:tentative="0">
      <w:start w:val="0"/>
      <w:numFmt w:val="bullet"/>
      <w:lvlText w:val="•"/>
      <w:lvlJc w:val="left"/>
      <w:pPr>
        <w:ind w:left="6342" w:hanging="425"/>
      </w:pPr>
      <w:rPr>
        <w:rFonts w:hint="default"/>
        <w:lang w:val="zh-CN" w:eastAsia="zh-CN" w:bidi="zh-CN"/>
      </w:rPr>
    </w:lvl>
    <w:lvl w:ilvl="7" w:tentative="0">
      <w:start w:val="0"/>
      <w:numFmt w:val="bullet"/>
      <w:lvlText w:val="•"/>
      <w:lvlJc w:val="left"/>
      <w:pPr>
        <w:ind w:left="7329" w:hanging="425"/>
      </w:pPr>
      <w:rPr>
        <w:rFonts w:hint="default"/>
        <w:lang w:val="zh-CN" w:eastAsia="zh-CN" w:bidi="zh-CN"/>
      </w:rPr>
    </w:lvl>
    <w:lvl w:ilvl="8" w:tentative="0">
      <w:start w:val="0"/>
      <w:numFmt w:val="bullet"/>
      <w:lvlText w:val="•"/>
      <w:lvlJc w:val="left"/>
      <w:pPr>
        <w:ind w:left="8316" w:hanging="425"/>
      </w:pPr>
      <w:rPr>
        <w:rFonts w:hint="default"/>
        <w:lang w:val="zh-CN" w:eastAsia="zh-CN" w:bidi="zh-CN"/>
      </w:rPr>
    </w:lvl>
  </w:abstractNum>
  <w:abstractNum w:abstractNumId="33">
    <w:nsid w:val="DAAE2F12"/>
    <w:multiLevelType w:val="singleLevel"/>
    <w:tmpl w:val="DAAE2F12"/>
    <w:lvl w:ilvl="0" w:tentative="0">
      <w:start w:val="1"/>
      <w:numFmt w:val="decimal"/>
      <w:lvlText w:val="(%1)"/>
      <w:lvlJc w:val="left"/>
      <w:pPr>
        <w:ind w:left="0" w:firstLine="270"/>
      </w:pPr>
      <w:rPr>
        <w:rFonts w:hint="default"/>
      </w:rPr>
    </w:lvl>
  </w:abstractNum>
  <w:abstractNum w:abstractNumId="34">
    <w:nsid w:val="DAD3A854"/>
    <w:multiLevelType w:val="multilevel"/>
    <w:tmpl w:val="DAD3A854"/>
    <w:lvl w:ilvl="0" w:tentative="0">
      <w:start w:val="1"/>
      <w:numFmt w:val="decimal"/>
      <w:suff w:val="space"/>
      <w:lvlText w:val="（%1）"/>
      <w:lvlJc w:val="left"/>
      <w:pPr>
        <w:ind w:left="1682" w:hanging="706"/>
      </w:pPr>
      <w:rPr>
        <w:rFonts w:hint="default" w:ascii="仿宋" w:hAnsi="仿宋" w:eastAsia="仿宋" w:cs="仿宋"/>
        <w:spacing w:val="-3"/>
        <w:w w:val="99"/>
        <w:sz w:val="26"/>
        <w:szCs w:val="26"/>
        <w:lang w:val="zh-CN" w:eastAsia="zh-CN" w:bidi="zh-CN"/>
      </w:rPr>
    </w:lvl>
    <w:lvl w:ilvl="1" w:tentative="0">
      <w:start w:val="0"/>
      <w:numFmt w:val="bullet"/>
      <w:lvlText w:val="•"/>
      <w:lvlJc w:val="left"/>
      <w:pPr>
        <w:ind w:left="2541" w:hanging="706"/>
      </w:pPr>
      <w:rPr>
        <w:rFonts w:hint="default"/>
        <w:lang w:val="zh-CN" w:eastAsia="zh-CN" w:bidi="zh-CN"/>
      </w:rPr>
    </w:lvl>
    <w:lvl w:ilvl="2" w:tentative="0">
      <w:start w:val="0"/>
      <w:numFmt w:val="bullet"/>
      <w:lvlText w:val="•"/>
      <w:lvlJc w:val="left"/>
      <w:pPr>
        <w:ind w:left="3402" w:hanging="706"/>
      </w:pPr>
      <w:rPr>
        <w:rFonts w:hint="default"/>
        <w:lang w:val="zh-CN" w:eastAsia="zh-CN" w:bidi="zh-CN"/>
      </w:rPr>
    </w:lvl>
    <w:lvl w:ilvl="3" w:tentative="0">
      <w:start w:val="0"/>
      <w:numFmt w:val="bullet"/>
      <w:lvlText w:val="•"/>
      <w:lvlJc w:val="left"/>
      <w:pPr>
        <w:ind w:left="4263" w:hanging="706"/>
      </w:pPr>
      <w:rPr>
        <w:rFonts w:hint="default"/>
        <w:lang w:val="zh-CN" w:eastAsia="zh-CN" w:bidi="zh-CN"/>
      </w:rPr>
    </w:lvl>
    <w:lvl w:ilvl="4" w:tentative="0">
      <w:start w:val="0"/>
      <w:numFmt w:val="bullet"/>
      <w:lvlText w:val="•"/>
      <w:lvlJc w:val="left"/>
      <w:pPr>
        <w:ind w:left="5124" w:hanging="706"/>
      </w:pPr>
      <w:rPr>
        <w:rFonts w:hint="default"/>
        <w:lang w:val="zh-CN" w:eastAsia="zh-CN" w:bidi="zh-CN"/>
      </w:rPr>
    </w:lvl>
    <w:lvl w:ilvl="5" w:tentative="0">
      <w:start w:val="0"/>
      <w:numFmt w:val="bullet"/>
      <w:lvlText w:val="•"/>
      <w:lvlJc w:val="left"/>
      <w:pPr>
        <w:ind w:left="5985" w:hanging="706"/>
      </w:pPr>
      <w:rPr>
        <w:rFonts w:hint="default"/>
        <w:lang w:val="zh-CN" w:eastAsia="zh-CN" w:bidi="zh-CN"/>
      </w:rPr>
    </w:lvl>
    <w:lvl w:ilvl="6" w:tentative="0">
      <w:start w:val="0"/>
      <w:numFmt w:val="bullet"/>
      <w:lvlText w:val="•"/>
      <w:lvlJc w:val="left"/>
      <w:pPr>
        <w:ind w:left="6846" w:hanging="706"/>
      </w:pPr>
      <w:rPr>
        <w:rFonts w:hint="default"/>
        <w:lang w:val="zh-CN" w:eastAsia="zh-CN" w:bidi="zh-CN"/>
      </w:rPr>
    </w:lvl>
    <w:lvl w:ilvl="7" w:tentative="0">
      <w:start w:val="0"/>
      <w:numFmt w:val="bullet"/>
      <w:lvlText w:val="•"/>
      <w:lvlJc w:val="left"/>
      <w:pPr>
        <w:ind w:left="7707" w:hanging="706"/>
      </w:pPr>
      <w:rPr>
        <w:rFonts w:hint="default"/>
        <w:lang w:val="zh-CN" w:eastAsia="zh-CN" w:bidi="zh-CN"/>
      </w:rPr>
    </w:lvl>
    <w:lvl w:ilvl="8" w:tentative="0">
      <w:start w:val="0"/>
      <w:numFmt w:val="bullet"/>
      <w:lvlText w:val="•"/>
      <w:lvlJc w:val="left"/>
      <w:pPr>
        <w:ind w:left="8568" w:hanging="706"/>
      </w:pPr>
      <w:rPr>
        <w:rFonts w:hint="default"/>
        <w:lang w:val="zh-CN" w:eastAsia="zh-CN" w:bidi="zh-CN"/>
      </w:rPr>
    </w:lvl>
  </w:abstractNum>
  <w:abstractNum w:abstractNumId="35">
    <w:nsid w:val="DB422602"/>
    <w:multiLevelType w:val="multilevel"/>
    <w:tmpl w:val="DB422602"/>
    <w:lvl w:ilvl="0" w:tentative="0">
      <w:start w:val="3"/>
      <w:numFmt w:val="decimal"/>
      <w:lvlText w:val="%1"/>
      <w:lvlJc w:val="left"/>
      <w:pPr>
        <w:ind w:left="1248" w:hanging="528"/>
      </w:pPr>
      <w:rPr>
        <w:rFonts w:hint="default"/>
        <w:lang w:val="zh-CN" w:eastAsia="zh-CN" w:bidi="zh-CN"/>
      </w:rPr>
    </w:lvl>
    <w:lvl w:ilvl="1" w:tentative="0">
      <w:start w:val="2"/>
      <w:numFmt w:val="decimal"/>
      <w:suff w:val="space"/>
      <w:lvlText w:val="%1.%2"/>
      <w:lvlJc w:val="left"/>
      <w:pPr>
        <w:ind w:left="0" w:firstLine="0"/>
      </w:pPr>
      <w:rPr>
        <w:rFonts w:hint="default" w:ascii="黑体" w:hAnsi="黑体" w:eastAsia="黑体" w:cs="黑体"/>
        <w:b/>
        <w:bCs/>
        <w:spacing w:val="0"/>
        <w:w w:val="99"/>
        <w:sz w:val="30"/>
        <w:szCs w:val="30"/>
        <w:lang w:val="zh-CN" w:eastAsia="zh-CN" w:bidi="zh-CN"/>
      </w:rPr>
    </w:lvl>
    <w:lvl w:ilvl="2" w:tentative="0">
      <w:start w:val="1"/>
      <w:numFmt w:val="decimal"/>
      <w:suff w:val="space"/>
      <w:lvlText w:val="%1.%2.%3"/>
      <w:lvlJc w:val="left"/>
      <w:pPr>
        <w:ind w:left="-127" w:firstLine="567"/>
      </w:pPr>
      <w:rPr>
        <w:rFonts w:hint="default" w:ascii="黑体" w:hAnsi="黑体" w:eastAsia="黑体" w:cs="黑体"/>
        <w:b/>
        <w:bCs/>
        <w:spacing w:val="-2"/>
        <w:w w:val="99"/>
        <w:sz w:val="28"/>
        <w:szCs w:val="28"/>
        <w:lang w:val="zh-CN" w:eastAsia="zh-CN" w:bidi="zh-CN"/>
      </w:rPr>
    </w:lvl>
    <w:lvl w:ilvl="3" w:tentative="0">
      <w:start w:val="1"/>
      <w:numFmt w:val="decimal"/>
      <w:suff w:val="space"/>
      <w:lvlText w:val="%1.%2.%3.%4"/>
      <w:lvlJc w:val="left"/>
      <w:pPr>
        <w:ind w:left="1540" w:hanging="1119"/>
      </w:pPr>
      <w:rPr>
        <w:rFonts w:hint="default" w:ascii="黑体" w:hAnsi="黑体" w:eastAsia="黑体" w:cs="黑体"/>
        <w:b/>
        <w:bCs/>
        <w:spacing w:val="-4"/>
        <w:w w:val="100"/>
        <w:sz w:val="24"/>
        <w:szCs w:val="24"/>
        <w:lang w:val="zh-CN" w:eastAsia="zh-CN" w:bidi="zh-CN"/>
      </w:rPr>
    </w:lvl>
    <w:lvl w:ilvl="4" w:tentative="0">
      <w:start w:val="0"/>
      <w:numFmt w:val="bullet"/>
      <w:lvlText w:val="•"/>
      <w:lvlJc w:val="left"/>
      <w:pPr>
        <w:ind w:left="3527" w:hanging="1119"/>
      </w:pPr>
      <w:rPr>
        <w:rFonts w:hint="default"/>
        <w:lang w:val="zh-CN" w:eastAsia="zh-CN" w:bidi="zh-CN"/>
      </w:rPr>
    </w:lvl>
    <w:lvl w:ilvl="5" w:tentative="0">
      <w:start w:val="0"/>
      <w:numFmt w:val="bullet"/>
      <w:lvlText w:val="•"/>
      <w:lvlJc w:val="left"/>
      <w:pPr>
        <w:ind w:left="4654" w:hanging="1119"/>
      </w:pPr>
      <w:rPr>
        <w:rFonts w:hint="default"/>
        <w:lang w:val="zh-CN" w:eastAsia="zh-CN" w:bidi="zh-CN"/>
      </w:rPr>
    </w:lvl>
    <w:lvl w:ilvl="6" w:tentative="0">
      <w:start w:val="0"/>
      <w:numFmt w:val="bullet"/>
      <w:lvlText w:val="•"/>
      <w:lvlJc w:val="left"/>
      <w:pPr>
        <w:ind w:left="5781" w:hanging="1119"/>
      </w:pPr>
      <w:rPr>
        <w:rFonts w:hint="default"/>
        <w:lang w:val="zh-CN" w:eastAsia="zh-CN" w:bidi="zh-CN"/>
      </w:rPr>
    </w:lvl>
    <w:lvl w:ilvl="7" w:tentative="0">
      <w:start w:val="0"/>
      <w:numFmt w:val="bullet"/>
      <w:lvlText w:val="•"/>
      <w:lvlJc w:val="left"/>
      <w:pPr>
        <w:ind w:left="6908" w:hanging="1119"/>
      </w:pPr>
      <w:rPr>
        <w:rFonts w:hint="default"/>
        <w:lang w:val="zh-CN" w:eastAsia="zh-CN" w:bidi="zh-CN"/>
      </w:rPr>
    </w:lvl>
    <w:lvl w:ilvl="8" w:tentative="0">
      <w:start w:val="0"/>
      <w:numFmt w:val="bullet"/>
      <w:lvlText w:val="•"/>
      <w:lvlJc w:val="left"/>
      <w:pPr>
        <w:ind w:left="8035" w:hanging="1119"/>
      </w:pPr>
      <w:rPr>
        <w:rFonts w:hint="default"/>
        <w:lang w:val="zh-CN" w:eastAsia="zh-CN" w:bidi="zh-CN"/>
      </w:rPr>
    </w:lvl>
  </w:abstractNum>
  <w:abstractNum w:abstractNumId="36">
    <w:nsid w:val="E093A4B0"/>
    <w:multiLevelType w:val="multilevel"/>
    <w:tmpl w:val="E093A4B0"/>
    <w:lvl w:ilvl="0" w:tentative="0">
      <w:start w:val="1"/>
      <w:numFmt w:val="decimal"/>
      <w:suff w:val="space"/>
      <w:lvlText w:val="（%1）"/>
      <w:lvlJc w:val="left"/>
      <w:pPr>
        <w:ind w:left="420" w:hanging="687"/>
      </w:pPr>
      <w:rPr>
        <w:rFonts w:hint="default" w:ascii="仿宋" w:hAnsi="仿宋" w:eastAsia="仿宋" w:cs="仿宋"/>
        <w:spacing w:val="-10"/>
        <w:w w:val="99"/>
        <w:sz w:val="26"/>
        <w:szCs w:val="26"/>
        <w:lang w:val="zh-CN" w:eastAsia="zh-CN" w:bidi="zh-CN"/>
      </w:rPr>
    </w:lvl>
    <w:lvl w:ilvl="1" w:tentative="0">
      <w:start w:val="0"/>
      <w:numFmt w:val="bullet"/>
      <w:lvlText w:val="•"/>
      <w:lvlJc w:val="left"/>
      <w:pPr>
        <w:ind w:left="1407" w:hanging="687"/>
      </w:pPr>
      <w:rPr>
        <w:rFonts w:hint="default"/>
        <w:lang w:val="zh-CN" w:eastAsia="zh-CN" w:bidi="zh-CN"/>
      </w:rPr>
    </w:lvl>
    <w:lvl w:ilvl="2" w:tentative="0">
      <w:start w:val="0"/>
      <w:numFmt w:val="bullet"/>
      <w:lvlText w:val="•"/>
      <w:lvlJc w:val="left"/>
      <w:pPr>
        <w:ind w:left="2394" w:hanging="687"/>
      </w:pPr>
      <w:rPr>
        <w:rFonts w:hint="default"/>
        <w:lang w:val="zh-CN" w:eastAsia="zh-CN" w:bidi="zh-CN"/>
      </w:rPr>
    </w:lvl>
    <w:lvl w:ilvl="3" w:tentative="0">
      <w:start w:val="0"/>
      <w:numFmt w:val="bullet"/>
      <w:lvlText w:val="•"/>
      <w:lvlJc w:val="left"/>
      <w:pPr>
        <w:ind w:left="3381" w:hanging="687"/>
      </w:pPr>
      <w:rPr>
        <w:rFonts w:hint="default"/>
        <w:lang w:val="zh-CN" w:eastAsia="zh-CN" w:bidi="zh-CN"/>
      </w:rPr>
    </w:lvl>
    <w:lvl w:ilvl="4" w:tentative="0">
      <w:start w:val="0"/>
      <w:numFmt w:val="bullet"/>
      <w:lvlText w:val="•"/>
      <w:lvlJc w:val="left"/>
      <w:pPr>
        <w:ind w:left="4368" w:hanging="687"/>
      </w:pPr>
      <w:rPr>
        <w:rFonts w:hint="default"/>
        <w:lang w:val="zh-CN" w:eastAsia="zh-CN" w:bidi="zh-CN"/>
      </w:rPr>
    </w:lvl>
    <w:lvl w:ilvl="5" w:tentative="0">
      <w:start w:val="0"/>
      <w:numFmt w:val="bullet"/>
      <w:lvlText w:val="•"/>
      <w:lvlJc w:val="left"/>
      <w:pPr>
        <w:ind w:left="5355" w:hanging="687"/>
      </w:pPr>
      <w:rPr>
        <w:rFonts w:hint="default"/>
        <w:lang w:val="zh-CN" w:eastAsia="zh-CN" w:bidi="zh-CN"/>
      </w:rPr>
    </w:lvl>
    <w:lvl w:ilvl="6" w:tentative="0">
      <w:start w:val="0"/>
      <w:numFmt w:val="bullet"/>
      <w:lvlText w:val="•"/>
      <w:lvlJc w:val="left"/>
      <w:pPr>
        <w:ind w:left="6342" w:hanging="687"/>
      </w:pPr>
      <w:rPr>
        <w:rFonts w:hint="default"/>
        <w:lang w:val="zh-CN" w:eastAsia="zh-CN" w:bidi="zh-CN"/>
      </w:rPr>
    </w:lvl>
    <w:lvl w:ilvl="7" w:tentative="0">
      <w:start w:val="0"/>
      <w:numFmt w:val="bullet"/>
      <w:lvlText w:val="•"/>
      <w:lvlJc w:val="left"/>
      <w:pPr>
        <w:ind w:left="7329" w:hanging="687"/>
      </w:pPr>
      <w:rPr>
        <w:rFonts w:hint="default"/>
        <w:lang w:val="zh-CN" w:eastAsia="zh-CN" w:bidi="zh-CN"/>
      </w:rPr>
    </w:lvl>
    <w:lvl w:ilvl="8" w:tentative="0">
      <w:start w:val="0"/>
      <w:numFmt w:val="bullet"/>
      <w:lvlText w:val="•"/>
      <w:lvlJc w:val="left"/>
      <w:pPr>
        <w:ind w:left="8316" w:hanging="687"/>
      </w:pPr>
      <w:rPr>
        <w:rFonts w:hint="default"/>
        <w:lang w:val="zh-CN" w:eastAsia="zh-CN" w:bidi="zh-CN"/>
      </w:rPr>
    </w:lvl>
  </w:abstractNum>
  <w:abstractNum w:abstractNumId="37">
    <w:nsid w:val="E2A0B791"/>
    <w:multiLevelType w:val="multilevel"/>
    <w:tmpl w:val="E2A0B791"/>
    <w:lvl w:ilvl="0" w:tentative="0">
      <w:start w:val="12"/>
      <w:numFmt w:val="decimal"/>
      <w:lvlText w:val="%1"/>
      <w:lvlJc w:val="left"/>
      <w:pPr>
        <w:ind w:left="1699" w:hanging="680"/>
      </w:pPr>
      <w:rPr>
        <w:rFonts w:hint="default"/>
        <w:lang w:val="zh-CN" w:eastAsia="zh-CN" w:bidi="zh-CN"/>
      </w:rPr>
    </w:lvl>
    <w:lvl w:ilvl="1" w:tentative="0">
      <w:start w:val="1"/>
      <w:numFmt w:val="decimal"/>
      <w:suff w:val="space"/>
      <w:lvlText w:val="%1.%2"/>
      <w:lvlJc w:val="left"/>
      <w:pPr>
        <w:ind w:left="0" w:firstLine="0"/>
      </w:pPr>
      <w:rPr>
        <w:rFonts w:hint="default" w:ascii="黑体" w:hAnsi="黑体" w:eastAsia="黑体" w:cs="黑体"/>
        <w:b/>
        <w:bCs/>
        <w:spacing w:val="-2"/>
        <w:w w:val="99"/>
        <w:sz w:val="30"/>
        <w:szCs w:val="30"/>
        <w:lang w:val="zh-CN" w:eastAsia="zh-CN" w:bidi="zh-CN"/>
      </w:rPr>
    </w:lvl>
    <w:lvl w:ilvl="2" w:tentative="0">
      <w:start w:val="1"/>
      <w:numFmt w:val="decimal"/>
      <w:pStyle w:val="32"/>
      <w:suff w:val="space"/>
      <w:lvlText w:val="%1.%2.%3"/>
      <w:lvlJc w:val="left"/>
      <w:pPr>
        <w:ind w:left="0" w:firstLine="567"/>
      </w:pPr>
      <w:rPr>
        <w:rFonts w:hint="default" w:ascii="黑体" w:hAnsi="黑体" w:eastAsia="黑体" w:cs="黑体"/>
        <w:b/>
        <w:bCs/>
        <w:spacing w:val="-2"/>
        <w:w w:val="99"/>
        <w:sz w:val="28"/>
        <w:szCs w:val="28"/>
        <w:lang w:val="zh-CN" w:eastAsia="zh-CN" w:bidi="zh-CN"/>
      </w:rPr>
    </w:lvl>
    <w:lvl w:ilvl="3" w:tentative="0">
      <w:start w:val="0"/>
      <w:numFmt w:val="bullet"/>
      <w:lvlText w:val="•"/>
      <w:lvlJc w:val="left"/>
      <w:pPr>
        <w:ind w:left="3795" w:hanging="917"/>
      </w:pPr>
      <w:rPr>
        <w:rFonts w:hint="default"/>
        <w:lang w:val="zh-CN" w:eastAsia="zh-CN" w:bidi="zh-CN"/>
      </w:rPr>
    </w:lvl>
    <w:lvl w:ilvl="4" w:tentative="0">
      <w:start w:val="0"/>
      <w:numFmt w:val="bullet"/>
      <w:lvlText w:val="•"/>
      <w:lvlJc w:val="left"/>
      <w:pPr>
        <w:ind w:left="4723" w:hanging="917"/>
      </w:pPr>
      <w:rPr>
        <w:rFonts w:hint="default"/>
        <w:lang w:val="zh-CN" w:eastAsia="zh-CN" w:bidi="zh-CN"/>
      </w:rPr>
    </w:lvl>
    <w:lvl w:ilvl="5" w:tentative="0">
      <w:start w:val="0"/>
      <w:numFmt w:val="bullet"/>
      <w:lvlText w:val="•"/>
      <w:lvlJc w:val="left"/>
      <w:pPr>
        <w:ind w:left="5651" w:hanging="917"/>
      </w:pPr>
      <w:rPr>
        <w:rFonts w:hint="default"/>
        <w:lang w:val="zh-CN" w:eastAsia="zh-CN" w:bidi="zh-CN"/>
      </w:rPr>
    </w:lvl>
    <w:lvl w:ilvl="6" w:tentative="0">
      <w:start w:val="0"/>
      <w:numFmt w:val="bullet"/>
      <w:lvlText w:val="•"/>
      <w:lvlJc w:val="left"/>
      <w:pPr>
        <w:ind w:left="6578" w:hanging="917"/>
      </w:pPr>
      <w:rPr>
        <w:rFonts w:hint="default"/>
        <w:lang w:val="zh-CN" w:eastAsia="zh-CN" w:bidi="zh-CN"/>
      </w:rPr>
    </w:lvl>
    <w:lvl w:ilvl="7" w:tentative="0">
      <w:start w:val="0"/>
      <w:numFmt w:val="bullet"/>
      <w:lvlText w:val="•"/>
      <w:lvlJc w:val="left"/>
      <w:pPr>
        <w:ind w:left="7506" w:hanging="917"/>
      </w:pPr>
      <w:rPr>
        <w:rFonts w:hint="default"/>
        <w:lang w:val="zh-CN" w:eastAsia="zh-CN" w:bidi="zh-CN"/>
      </w:rPr>
    </w:lvl>
    <w:lvl w:ilvl="8" w:tentative="0">
      <w:start w:val="0"/>
      <w:numFmt w:val="bullet"/>
      <w:lvlText w:val="•"/>
      <w:lvlJc w:val="left"/>
      <w:pPr>
        <w:ind w:left="8434" w:hanging="917"/>
      </w:pPr>
      <w:rPr>
        <w:rFonts w:hint="default"/>
        <w:lang w:val="zh-CN" w:eastAsia="zh-CN" w:bidi="zh-CN"/>
      </w:rPr>
    </w:lvl>
  </w:abstractNum>
  <w:abstractNum w:abstractNumId="38">
    <w:nsid w:val="E4E79FD7"/>
    <w:multiLevelType w:val="multilevel"/>
    <w:tmpl w:val="E4E79FD7"/>
    <w:lvl w:ilvl="0" w:tentative="0">
      <w:start w:val="2"/>
      <w:numFmt w:val="decimal"/>
      <w:lvlText w:val="%1"/>
      <w:lvlJc w:val="left"/>
      <w:pPr>
        <w:ind w:left="1248" w:hanging="528"/>
      </w:pPr>
      <w:rPr>
        <w:rFonts w:hint="default"/>
        <w:lang w:val="zh-CN" w:eastAsia="zh-CN" w:bidi="zh-CN"/>
      </w:rPr>
    </w:lvl>
    <w:lvl w:ilvl="1" w:tentative="0">
      <w:start w:val="1"/>
      <w:numFmt w:val="decimal"/>
      <w:suff w:val="space"/>
      <w:lvlText w:val="%1.%2"/>
      <w:lvlJc w:val="left"/>
      <w:pPr>
        <w:ind w:left="0" w:firstLine="0"/>
      </w:pPr>
      <w:rPr>
        <w:rFonts w:hint="default" w:ascii="黑体" w:hAnsi="黑体" w:eastAsia="黑体" w:cs="黑体"/>
        <w:b/>
        <w:bCs/>
        <w:spacing w:val="0"/>
        <w:w w:val="99"/>
        <w:sz w:val="30"/>
        <w:szCs w:val="30"/>
        <w:lang w:val="zh-CN" w:eastAsia="zh-CN" w:bidi="zh-CN"/>
      </w:rPr>
    </w:lvl>
    <w:lvl w:ilvl="2" w:tentative="0">
      <w:start w:val="1"/>
      <w:numFmt w:val="decimal"/>
      <w:suff w:val="space"/>
      <w:lvlText w:val="(%3)"/>
      <w:lvlJc w:val="left"/>
      <w:pPr>
        <w:ind w:left="0" w:firstLine="567"/>
      </w:pPr>
      <w:rPr>
        <w:rFonts w:hint="default" w:ascii="仿宋" w:hAnsi="仿宋" w:eastAsia="仿宋" w:cs="仿宋"/>
        <w:spacing w:val="-3"/>
        <w:w w:val="99"/>
        <w:sz w:val="26"/>
        <w:szCs w:val="26"/>
        <w:lang w:val="zh-CN" w:eastAsia="zh-CN" w:bidi="zh-CN"/>
      </w:rPr>
    </w:lvl>
    <w:lvl w:ilvl="3" w:tentative="0">
      <w:start w:val="0"/>
      <w:numFmt w:val="bullet"/>
      <w:lvlText w:val="•"/>
      <w:lvlJc w:val="left"/>
      <w:pPr>
        <w:ind w:left="3546" w:hanging="423"/>
      </w:pPr>
      <w:rPr>
        <w:rFonts w:hint="default"/>
        <w:lang w:val="zh-CN" w:eastAsia="zh-CN" w:bidi="zh-CN"/>
      </w:rPr>
    </w:lvl>
    <w:lvl w:ilvl="4" w:tentative="0">
      <w:start w:val="0"/>
      <w:numFmt w:val="bullet"/>
      <w:lvlText w:val="•"/>
      <w:lvlJc w:val="left"/>
      <w:pPr>
        <w:ind w:left="4510" w:hanging="423"/>
      </w:pPr>
      <w:rPr>
        <w:rFonts w:hint="default"/>
        <w:lang w:val="zh-CN" w:eastAsia="zh-CN" w:bidi="zh-CN"/>
      </w:rPr>
    </w:lvl>
    <w:lvl w:ilvl="5" w:tentative="0">
      <w:start w:val="0"/>
      <w:numFmt w:val="bullet"/>
      <w:lvlText w:val="•"/>
      <w:lvlJc w:val="left"/>
      <w:pPr>
        <w:ind w:left="5473" w:hanging="423"/>
      </w:pPr>
      <w:rPr>
        <w:rFonts w:hint="default"/>
        <w:lang w:val="zh-CN" w:eastAsia="zh-CN" w:bidi="zh-CN"/>
      </w:rPr>
    </w:lvl>
    <w:lvl w:ilvl="6" w:tentative="0">
      <w:start w:val="0"/>
      <w:numFmt w:val="bullet"/>
      <w:lvlText w:val="•"/>
      <w:lvlJc w:val="left"/>
      <w:pPr>
        <w:ind w:left="6436" w:hanging="423"/>
      </w:pPr>
      <w:rPr>
        <w:rFonts w:hint="default"/>
        <w:lang w:val="zh-CN" w:eastAsia="zh-CN" w:bidi="zh-CN"/>
      </w:rPr>
    </w:lvl>
    <w:lvl w:ilvl="7" w:tentative="0">
      <w:start w:val="0"/>
      <w:numFmt w:val="bullet"/>
      <w:lvlText w:val="•"/>
      <w:lvlJc w:val="left"/>
      <w:pPr>
        <w:ind w:left="7400" w:hanging="423"/>
      </w:pPr>
      <w:rPr>
        <w:rFonts w:hint="default"/>
        <w:lang w:val="zh-CN" w:eastAsia="zh-CN" w:bidi="zh-CN"/>
      </w:rPr>
    </w:lvl>
    <w:lvl w:ilvl="8" w:tentative="0">
      <w:start w:val="0"/>
      <w:numFmt w:val="bullet"/>
      <w:lvlText w:val="•"/>
      <w:lvlJc w:val="left"/>
      <w:pPr>
        <w:ind w:left="8363" w:hanging="423"/>
      </w:pPr>
      <w:rPr>
        <w:rFonts w:hint="default"/>
        <w:lang w:val="zh-CN" w:eastAsia="zh-CN" w:bidi="zh-CN"/>
      </w:rPr>
    </w:lvl>
  </w:abstractNum>
  <w:abstractNum w:abstractNumId="39">
    <w:nsid w:val="E504947C"/>
    <w:multiLevelType w:val="multilevel"/>
    <w:tmpl w:val="E504947C"/>
    <w:lvl w:ilvl="0" w:tentative="0">
      <w:start w:val="1"/>
      <w:numFmt w:val="decimal"/>
      <w:suff w:val="space"/>
      <w:lvlText w:val="%1)"/>
      <w:lvlJc w:val="left"/>
      <w:pPr>
        <w:ind w:left="420" w:hanging="284"/>
      </w:pPr>
      <w:rPr>
        <w:rFonts w:hint="default" w:ascii="仿宋" w:hAnsi="仿宋" w:eastAsia="仿宋" w:cs="仿宋"/>
        <w:w w:val="99"/>
        <w:sz w:val="26"/>
        <w:szCs w:val="26"/>
        <w:lang w:val="zh-CN" w:eastAsia="zh-CN" w:bidi="zh-CN"/>
      </w:rPr>
    </w:lvl>
    <w:lvl w:ilvl="1" w:tentative="0">
      <w:start w:val="0"/>
      <w:numFmt w:val="bullet"/>
      <w:lvlText w:val="•"/>
      <w:lvlJc w:val="left"/>
      <w:pPr>
        <w:ind w:left="1407" w:hanging="284"/>
      </w:pPr>
      <w:rPr>
        <w:rFonts w:hint="default"/>
        <w:lang w:val="zh-CN" w:eastAsia="zh-CN" w:bidi="zh-CN"/>
      </w:rPr>
    </w:lvl>
    <w:lvl w:ilvl="2" w:tentative="0">
      <w:start w:val="0"/>
      <w:numFmt w:val="bullet"/>
      <w:lvlText w:val="•"/>
      <w:lvlJc w:val="left"/>
      <w:pPr>
        <w:ind w:left="2394" w:hanging="284"/>
      </w:pPr>
      <w:rPr>
        <w:rFonts w:hint="default"/>
        <w:lang w:val="zh-CN" w:eastAsia="zh-CN" w:bidi="zh-CN"/>
      </w:rPr>
    </w:lvl>
    <w:lvl w:ilvl="3" w:tentative="0">
      <w:start w:val="0"/>
      <w:numFmt w:val="bullet"/>
      <w:lvlText w:val="•"/>
      <w:lvlJc w:val="left"/>
      <w:pPr>
        <w:ind w:left="3381" w:hanging="284"/>
      </w:pPr>
      <w:rPr>
        <w:rFonts w:hint="default"/>
        <w:lang w:val="zh-CN" w:eastAsia="zh-CN" w:bidi="zh-CN"/>
      </w:rPr>
    </w:lvl>
    <w:lvl w:ilvl="4" w:tentative="0">
      <w:start w:val="0"/>
      <w:numFmt w:val="bullet"/>
      <w:lvlText w:val="•"/>
      <w:lvlJc w:val="left"/>
      <w:pPr>
        <w:ind w:left="4368" w:hanging="284"/>
      </w:pPr>
      <w:rPr>
        <w:rFonts w:hint="default"/>
        <w:lang w:val="zh-CN" w:eastAsia="zh-CN" w:bidi="zh-CN"/>
      </w:rPr>
    </w:lvl>
    <w:lvl w:ilvl="5" w:tentative="0">
      <w:start w:val="0"/>
      <w:numFmt w:val="bullet"/>
      <w:lvlText w:val="•"/>
      <w:lvlJc w:val="left"/>
      <w:pPr>
        <w:ind w:left="5355" w:hanging="284"/>
      </w:pPr>
      <w:rPr>
        <w:rFonts w:hint="default"/>
        <w:lang w:val="zh-CN" w:eastAsia="zh-CN" w:bidi="zh-CN"/>
      </w:rPr>
    </w:lvl>
    <w:lvl w:ilvl="6" w:tentative="0">
      <w:start w:val="0"/>
      <w:numFmt w:val="bullet"/>
      <w:lvlText w:val="•"/>
      <w:lvlJc w:val="left"/>
      <w:pPr>
        <w:ind w:left="6342" w:hanging="284"/>
      </w:pPr>
      <w:rPr>
        <w:rFonts w:hint="default"/>
        <w:lang w:val="zh-CN" w:eastAsia="zh-CN" w:bidi="zh-CN"/>
      </w:rPr>
    </w:lvl>
    <w:lvl w:ilvl="7" w:tentative="0">
      <w:start w:val="0"/>
      <w:numFmt w:val="bullet"/>
      <w:lvlText w:val="•"/>
      <w:lvlJc w:val="left"/>
      <w:pPr>
        <w:ind w:left="7329" w:hanging="284"/>
      </w:pPr>
      <w:rPr>
        <w:rFonts w:hint="default"/>
        <w:lang w:val="zh-CN" w:eastAsia="zh-CN" w:bidi="zh-CN"/>
      </w:rPr>
    </w:lvl>
    <w:lvl w:ilvl="8" w:tentative="0">
      <w:start w:val="0"/>
      <w:numFmt w:val="bullet"/>
      <w:lvlText w:val="•"/>
      <w:lvlJc w:val="left"/>
      <w:pPr>
        <w:ind w:left="8316" w:hanging="284"/>
      </w:pPr>
      <w:rPr>
        <w:rFonts w:hint="default"/>
        <w:lang w:val="zh-CN" w:eastAsia="zh-CN" w:bidi="zh-CN"/>
      </w:rPr>
    </w:lvl>
  </w:abstractNum>
  <w:abstractNum w:abstractNumId="40">
    <w:nsid w:val="E7B27C5B"/>
    <w:multiLevelType w:val="multilevel"/>
    <w:tmpl w:val="E7B27C5B"/>
    <w:lvl w:ilvl="0" w:tentative="0">
      <w:start w:val="1"/>
      <w:numFmt w:val="decimal"/>
      <w:suff w:val="space"/>
      <w:lvlText w:val="（%1）"/>
      <w:lvlJc w:val="left"/>
      <w:pPr>
        <w:ind w:left="1682" w:hanging="706"/>
      </w:pPr>
      <w:rPr>
        <w:rFonts w:hint="default" w:ascii="仿宋" w:hAnsi="仿宋" w:eastAsia="仿宋" w:cs="仿宋"/>
        <w:spacing w:val="-3"/>
        <w:w w:val="99"/>
        <w:sz w:val="26"/>
        <w:szCs w:val="26"/>
        <w:lang w:val="zh-CN" w:eastAsia="zh-CN" w:bidi="zh-CN"/>
      </w:rPr>
    </w:lvl>
    <w:lvl w:ilvl="1" w:tentative="0">
      <w:start w:val="0"/>
      <w:numFmt w:val="bullet"/>
      <w:lvlText w:val="•"/>
      <w:lvlJc w:val="left"/>
      <w:pPr>
        <w:ind w:left="2541" w:hanging="706"/>
      </w:pPr>
      <w:rPr>
        <w:rFonts w:hint="default"/>
        <w:lang w:val="zh-CN" w:eastAsia="zh-CN" w:bidi="zh-CN"/>
      </w:rPr>
    </w:lvl>
    <w:lvl w:ilvl="2" w:tentative="0">
      <w:start w:val="0"/>
      <w:numFmt w:val="bullet"/>
      <w:lvlText w:val="•"/>
      <w:lvlJc w:val="left"/>
      <w:pPr>
        <w:ind w:left="3402" w:hanging="706"/>
      </w:pPr>
      <w:rPr>
        <w:rFonts w:hint="default"/>
        <w:lang w:val="zh-CN" w:eastAsia="zh-CN" w:bidi="zh-CN"/>
      </w:rPr>
    </w:lvl>
    <w:lvl w:ilvl="3" w:tentative="0">
      <w:start w:val="0"/>
      <w:numFmt w:val="bullet"/>
      <w:lvlText w:val="•"/>
      <w:lvlJc w:val="left"/>
      <w:pPr>
        <w:ind w:left="4263" w:hanging="706"/>
      </w:pPr>
      <w:rPr>
        <w:rFonts w:hint="default"/>
        <w:lang w:val="zh-CN" w:eastAsia="zh-CN" w:bidi="zh-CN"/>
      </w:rPr>
    </w:lvl>
    <w:lvl w:ilvl="4" w:tentative="0">
      <w:start w:val="0"/>
      <w:numFmt w:val="bullet"/>
      <w:lvlText w:val="•"/>
      <w:lvlJc w:val="left"/>
      <w:pPr>
        <w:ind w:left="5124" w:hanging="706"/>
      </w:pPr>
      <w:rPr>
        <w:rFonts w:hint="default"/>
        <w:lang w:val="zh-CN" w:eastAsia="zh-CN" w:bidi="zh-CN"/>
      </w:rPr>
    </w:lvl>
    <w:lvl w:ilvl="5" w:tentative="0">
      <w:start w:val="0"/>
      <w:numFmt w:val="bullet"/>
      <w:lvlText w:val="•"/>
      <w:lvlJc w:val="left"/>
      <w:pPr>
        <w:ind w:left="5985" w:hanging="706"/>
      </w:pPr>
      <w:rPr>
        <w:rFonts w:hint="default"/>
        <w:lang w:val="zh-CN" w:eastAsia="zh-CN" w:bidi="zh-CN"/>
      </w:rPr>
    </w:lvl>
    <w:lvl w:ilvl="6" w:tentative="0">
      <w:start w:val="0"/>
      <w:numFmt w:val="bullet"/>
      <w:lvlText w:val="•"/>
      <w:lvlJc w:val="left"/>
      <w:pPr>
        <w:ind w:left="6846" w:hanging="706"/>
      </w:pPr>
      <w:rPr>
        <w:rFonts w:hint="default"/>
        <w:lang w:val="zh-CN" w:eastAsia="zh-CN" w:bidi="zh-CN"/>
      </w:rPr>
    </w:lvl>
    <w:lvl w:ilvl="7" w:tentative="0">
      <w:start w:val="0"/>
      <w:numFmt w:val="bullet"/>
      <w:lvlText w:val="•"/>
      <w:lvlJc w:val="left"/>
      <w:pPr>
        <w:ind w:left="7707" w:hanging="706"/>
      </w:pPr>
      <w:rPr>
        <w:rFonts w:hint="default"/>
        <w:lang w:val="zh-CN" w:eastAsia="zh-CN" w:bidi="zh-CN"/>
      </w:rPr>
    </w:lvl>
    <w:lvl w:ilvl="8" w:tentative="0">
      <w:start w:val="0"/>
      <w:numFmt w:val="bullet"/>
      <w:lvlText w:val="•"/>
      <w:lvlJc w:val="left"/>
      <w:pPr>
        <w:ind w:left="8568" w:hanging="706"/>
      </w:pPr>
      <w:rPr>
        <w:rFonts w:hint="default"/>
        <w:lang w:val="zh-CN" w:eastAsia="zh-CN" w:bidi="zh-CN"/>
      </w:rPr>
    </w:lvl>
  </w:abstractNum>
  <w:abstractNum w:abstractNumId="41">
    <w:nsid w:val="F3A33954"/>
    <w:multiLevelType w:val="multilevel"/>
    <w:tmpl w:val="F3A33954"/>
    <w:lvl w:ilvl="0" w:tentative="0">
      <w:start w:val="11"/>
      <w:numFmt w:val="decimal"/>
      <w:lvlText w:val="%1"/>
      <w:lvlJc w:val="left"/>
      <w:pPr>
        <w:ind w:left="1699" w:hanging="680"/>
      </w:pPr>
      <w:rPr>
        <w:rFonts w:hint="default"/>
        <w:lang w:val="zh-CN" w:eastAsia="zh-CN" w:bidi="zh-CN"/>
      </w:rPr>
    </w:lvl>
    <w:lvl w:ilvl="1" w:tentative="0">
      <w:start w:val="1"/>
      <w:numFmt w:val="decimal"/>
      <w:lvlText w:val="%1.%2"/>
      <w:lvlJc w:val="left"/>
      <w:pPr>
        <w:ind w:left="1120" w:hanging="680"/>
      </w:pPr>
      <w:rPr>
        <w:rFonts w:hint="default" w:ascii="黑体" w:hAnsi="黑体" w:eastAsia="黑体" w:cs="黑体"/>
        <w:b/>
        <w:bCs/>
        <w:spacing w:val="-2"/>
        <w:w w:val="99"/>
        <w:sz w:val="30"/>
        <w:szCs w:val="30"/>
        <w:lang w:val="zh-CN" w:eastAsia="zh-CN" w:bidi="zh-CN"/>
      </w:rPr>
    </w:lvl>
    <w:lvl w:ilvl="2" w:tentative="0">
      <w:start w:val="1"/>
      <w:numFmt w:val="decimal"/>
      <w:suff w:val="space"/>
      <w:lvlText w:val="（%3）"/>
      <w:lvlJc w:val="left"/>
      <w:pPr>
        <w:ind w:left="1579" w:hanging="694"/>
      </w:pPr>
      <w:rPr>
        <w:rFonts w:hint="default" w:ascii="仿宋" w:hAnsi="仿宋" w:eastAsia="仿宋" w:cs="仿宋"/>
        <w:spacing w:val="-5"/>
        <w:w w:val="99"/>
        <w:sz w:val="26"/>
        <w:szCs w:val="26"/>
        <w:lang w:val="zh-CN" w:eastAsia="zh-CN" w:bidi="zh-CN"/>
      </w:rPr>
    </w:lvl>
    <w:lvl w:ilvl="3" w:tentative="0">
      <w:start w:val="0"/>
      <w:numFmt w:val="bullet"/>
      <w:lvlText w:val="•"/>
      <w:lvlJc w:val="left"/>
      <w:pPr>
        <w:ind w:left="3608" w:hanging="694"/>
      </w:pPr>
      <w:rPr>
        <w:rFonts w:hint="default"/>
        <w:lang w:val="zh-CN" w:eastAsia="zh-CN" w:bidi="zh-CN"/>
      </w:rPr>
    </w:lvl>
    <w:lvl w:ilvl="4" w:tentative="0">
      <w:start w:val="0"/>
      <w:numFmt w:val="bullet"/>
      <w:lvlText w:val="•"/>
      <w:lvlJc w:val="left"/>
      <w:pPr>
        <w:ind w:left="4563" w:hanging="694"/>
      </w:pPr>
      <w:rPr>
        <w:rFonts w:hint="default"/>
        <w:lang w:val="zh-CN" w:eastAsia="zh-CN" w:bidi="zh-CN"/>
      </w:rPr>
    </w:lvl>
    <w:lvl w:ilvl="5" w:tentative="0">
      <w:start w:val="0"/>
      <w:numFmt w:val="bullet"/>
      <w:lvlText w:val="•"/>
      <w:lvlJc w:val="left"/>
      <w:pPr>
        <w:ind w:left="5517" w:hanging="694"/>
      </w:pPr>
      <w:rPr>
        <w:rFonts w:hint="default"/>
        <w:lang w:val="zh-CN" w:eastAsia="zh-CN" w:bidi="zh-CN"/>
      </w:rPr>
    </w:lvl>
    <w:lvl w:ilvl="6" w:tentative="0">
      <w:start w:val="0"/>
      <w:numFmt w:val="bullet"/>
      <w:lvlText w:val="•"/>
      <w:lvlJc w:val="left"/>
      <w:pPr>
        <w:ind w:left="6472" w:hanging="694"/>
      </w:pPr>
      <w:rPr>
        <w:rFonts w:hint="default"/>
        <w:lang w:val="zh-CN" w:eastAsia="zh-CN" w:bidi="zh-CN"/>
      </w:rPr>
    </w:lvl>
    <w:lvl w:ilvl="7" w:tentative="0">
      <w:start w:val="0"/>
      <w:numFmt w:val="bullet"/>
      <w:lvlText w:val="•"/>
      <w:lvlJc w:val="left"/>
      <w:pPr>
        <w:ind w:left="7426" w:hanging="694"/>
      </w:pPr>
      <w:rPr>
        <w:rFonts w:hint="default"/>
        <w:lang w:val="zh-CN" w:eastAsia="zh-CN" w:bidi="zh-CN"/>
      </w:rPr>
    </w:lvl>
    <w:lvl w:ilvl="8" w:tentative="0">
      <w:start w:val="0"/>
      <w:numFmt w:val="bullet"/>
      <w:lvlText w:val="•"/>
      <w:lvlJc w:val="left"/>
      <w:pPr>
        <w:ind w:left="8381" w:hanging="694"/>
      </w:pPr>
      <w:rPr>
        <w:rFonts w:hint="default"/>
        <w:lang w:val="zh-CN" w:eastAsia="zh-CN" w:bidi="zh-CN"/>
      </w:rPr>
    </w:lvl>
  </w:abstractNum>
  <w:abstractNum w:abstractNumId="42">
    <w:nsid w:val="F4A942FE"/>
    <w:multiLevelType w:val="multilevel"/>
    <w:tmpl w:val="F4A942FE"/>
    <w:lvl w:ilvl="0" w:tentative="0">
      <w:start w:val="1"/>
      <w:numFmt w:val="decimal"/>
      <w:suff w:val="space"/>
      <w:lvlText w:val="（%1）"/>
      <w:lvlJc w:val="left"/>
      <w:pPr>
        <w:ind w:left="1020" w:hanging="671"/>
      </w:pPr>
      <w:rPr>
        <w:rFonts w:hint="default"/>
        <w:spacing w:val="-17"/>
        <w:w w:val="100"/>
        <w:lang w:val="zh-CN" w:eastAsia="zh-CN" w:bidi="zh-CN"/>
      </w:rPr>
    </w:lvl>
    <w:lvl w:ilvl="1" w:tentative="0">
      <w:start w:val="0"/>
      <w:numFmt w:val="bullet"/>
      <w:lvlText w:val="•"/>
      <w:lvlJc w:val="left"/>
      <w:pPr>
        <w:ind w:left="1947" w:hanging="671"/>
      </w:pPr>
      <w:rPr>
        <w:rFonts w:hint="default"/>
        <w:lang w:val="zh-CN" w:eastAsia="zh-CN" w:bidi="zh-CN"/>
      </w:rPr>
    </w:lvl>
    <w:lvl w:ilvl="2" w:tentative="0">
      <w:start w:val="0"/>
      <w:numFmt w:val="bullet"/>
      <w:lvlText w:val="•"/>
      <w:lvlJc w:val="left"/>
      <w:pPr>
        <w:ind w:left="2874" w:hanging="671"/>
      </w:pPr>
      <w:rPr>
        <w:rFonts w:hint="default"/>
        <w:lang w:val="zh-CN" w:eastAsia="zh-CN" w:bidi="zh-CN"/>
      </w:rPr>
    </w:lvl>
    <w:lvl w:ilvl="3" w:tentative="0">
      <w:start w:val="0"/>
      <w:numFmt w:val="bullet"/>
      <w:lvlText w:val="•"/>
      <w:lvlJc w:val="left"/>
      <w:pPr>
        <w:ind w:left="3801" w:hanging="671"/>
      </w:pPr>
      <w:rPr>
        <w:rFonts w:hint="default"/>
        <w:lang w:val="zh-CN" w:eastAsia="zh-CN" w:bidi="zh-CN"/>
      </w:rPr>
    </w:lvl>
    <w:lvl w:ilvl="4" w:tentative="0">
      <w:start w:val="0"/>
      <w:numFmt w:val="bullet"/>
      <w:lvlText w:val="•"/>
      <w:lvlJc w:val="left"/>
      <w:pPr>
        <w:ind w:left="4728" w:hanging="671"/>
      </w:pPr>
      <w:rPr>
        <w:rFonts w:hint="default"/>
        <w:lang w:val="zh-CN" w:eastAsia="zh-CN" w:bidi="zh-CN"/>
      </w:rPr>
    </w:lvl>
    <w:lvl w:ilvl="5" w:tentative="0">
      <w:start w:val="0"/>
      <w:numFmt w:val="bullet"/>
      <w:lvlText w:val="•"/>
      <w:lvlJc w:val="left"/>
      <w:pPr>
        <w:ind w:left="5655" w:hanging="671"/>
      </w:pPr>
      <w:rPr>
        <w:rFonts w:hint="default"/>
        <w:lang w:val="zh-CN" w:eastAsia="zh-CN" w:bidi="zh-CN"/>
      </w:rPr>
    </w:lvl>
    <w:lvl w:ilvl="6" w:tentative="0">
      <w:start w:val="0"/>
      <w:numFmt w:val="bullet"/>
      <w:lvlText w:val="•"/>
      <w:lvlJc w:val="left"/>
      <w:pPr>
        <w:ind w:left="6582" w:hanging="671"/>
      </w:pPr>
      <w:rPr>
        <w:rFonts w:hint="default"/>
        <w:lang w:val="zh-CN" w:eastAsia="zh-CN" w:bidi="zh-CN"/>
      </w:rPr>
    </w:lvl>
    <w:lvl w:ilvl="7" w:tentative="0">
      <w:start w:val="0"/>
      <w:numFmt w:val="bullet"/>
      <w:lvlText w:val="•"/>
      <w:lvlJc w:val="left"/>
      <w:pPr>
        <w:ind w:left="7509" w:hanging="671"/>
      </w:pPr>
      <w:rPr>
        <w:rFonts w:hint="default"/>
        <w:lang w:val="zh-CN" w:eastAsia="zh-CN" w:bidi="zh-CN"/>
      </w:rPr>
    </w:lvl>
    <w:lvl w:ilvl="8" w:tentative="0">
      <w:start w:val="0"/>
      <w:numFmt w:val="bullet"/>
      <w:lvlText w:val="•"/>
      <w:lvlJc w:val="left"/>
      <w:pPr>
        <w:ind w:left="8436" w:hanging="671"/>
      </w:pPr>
      <w:rPr>
        <w:rFonts w:hint="default"/>
        <w:lang w:val="zh-CN" w:eastAsia="zh-CN" w:bidi="zh-CN"/>
      </w:rPr>
    </w:lvl>
  </w:abstractNum>
  <w:abstractNum w:abstractNumId="43">
    <w:nsid w:val="F4B5D9F5"/>
    <w:multiLevelType w:val="multilevel"/>
    <w:tmpl w:val="F4B5D9F5"/>
    <w:lvl w:ilvl="0" w:tentative="0">
      <w:start w:val="1"/>
      <w:numFmt w:val="decimal"/>
      <w:lvlText w:val="%1"/>
      <w:lvlJc w:val="left"/>
      <w:pPr>
        <w:ind w:left="-420" w:firstLine="0"/>
      </w:pPr>
      <w:rPr>
        <w:rFonts w:hint="default"/>
        <w:lang w:val="zh-CN" w:eastAsia="zh-CN" w:bidi="zh-CN"/>
      </w:rPr>
    </w:lvl>
    <w:lvl w:ilvl="1" w:tentative="0">
      <w:start w:val="1"/>
      <w:numFmt w:val="decimal"/>
      <w:suff w:val="space"/>
      <w:lvlText w:val="%1.%2"/>
      <w:lvlJc w:val="left"/>
      <w:pPr>
        <w:ind w:left="0" w:firstLine="0"/>
      </w:pPr>
      <w:rPr>
        <w:rFonts w:hint="default" w:ascii="黑体" w:hAnsi="黑体" w:eastAsia="黑体" w:cs="黑体"/>
        <w:b/>
        <w:bCs/>
        <w:spacing w:val="0"/>
        <w:w w:val="99"/>
        <w:sz w:val="30"/>
        <w:szCs w:val="30"/>
        <w:lang w:val="zh-CN" w:eastAsia="zh-CN" w:bidi="zh-CN"/>
      </w:rPr>
    </w:lvl>
    <w:lvl w:ilvl="2" w:tentative="0">
      <w:start w:val="1"/>
      <w:numFmt w:val="decimal"/>
      <w:suff w:val="space"/>
      <w:lvlText w:val="%1.%2.%3"/>
      <w:lvlJc w:val="left"/>
      <w:pPr>
        <w:ind w:left="-1260" w:firstLine="0"/>
      </w:pPr>
      <w:rPr>
        <w:rFonts w:hint="default"/>
        <w:b/>
        <w:bCs/>
        <w:spacing w:val="-2"/>
        <w:w w:val="99"/>
        <w:sz w:val="28"/>
        <w:szCs w:val="28"/>
        <w:lang w:val="zh-CN" w:eastAsia="zh-CN" w:bidi="zh-CN"/>
      </w:rPr>
    </w:lvl>
    <w:lvl w:ilvl="3" w:tentative="0">
      <w:start w:val="1"/>
      <w:numFmt w:val="decimal"/>
      <w:lvlText w:val="(%4)"/>
      <w:lvlJc w:val="left"/>
      <w:pPr>
        <w:ind w:left="-1680" w:firstLine="0"/>
      </w:pPr>
      <w:rPr>
        <w:rFonts w:hint="default"/>
        <w:spacing w:val="-17"/>
        <w:w w:val="99"/>
        <w:sz w:val="28"/>
        <w:szCs w:val="28"/>
        <w:lang w:val="zh-CN" w:eastAsia="zh-CN" w:bidi="zh-CN"/>
      </w:rPr>
    </w:lvl>
    <w:lvl w:ilvl="4" w:tentative="0">
      <w:start w:val="0"/>
      <w:numFmt w:val="bullet"/>
      <w:lvlText w:val="•"/>
      <w:lvlJc w:val="left"/>
      <w:pPr>
        <w:ind w:left="-2100" w:firstLine="0"/>
      </w:pPr>
      <w:rPr>
        <w:rFonts w:hint="default"/>
        <w:lang w:val="zh-CN" w:eastAsia="zh-CN" w:bidi="zh-CN"/>
      </w:rPr>
    </w:lvl>
    <w:lvl w:ilvl="5" w:tentative="0">
      <w:start w:val="0"/>
      <w:numFmt w:val="bullet"/>
      <w:lvlText w:val="•"/>
      <w:lvlJc w:val="left"/>
      <w:pPr>
        <w:ind w:left="-2520" w:firstLine="0"/>
      </w:pPr>
      <w:rPr>
        <w:rFonts w:hint="default"/>
        <w:lang w:val="zh-CN" w:eastAsia="zh-CN" w:bidi="zh-CN"/>
      </w:rPr>
    </w:lvl>
    <w:lvl w:ilvl="6" w:tentative="0">
      <w:start w:val="0"/>
      <w:numFmt w:val="bullet"/>
      <w:lvlText w:val="•"/>
      <w:lvlJc w:val="left"/>
      <w:pPr>
        <w:ind w:left="-2940" w:firstLine="0"/>
      </w:pPr>
      <w:rPr>
        <w:rFonts w:hint="default"/>
        <w:lang w:val="zh-CN" w:eastAsia="zh-CN" w:bidi="zh-CN"/>
      </w:rPr>
    </w:lvl>
    <w:lvl w:ilvl="7" w:tentative="0">
      <w:start w:val="0"/>
      <w:numFmt w:val="bullet"/>
      <w:lvlText w:val="•"/>
      <w:lvlJc w:val="left"/>
      <w:pPr>
        <w:ind w:left="-3360" w:firstLine="0"/>
      </w:pPr>
      <w:rPr>
        <w:rFonts w:hint="default"/>
        <w:lang w:val="zh-CN" w:eastAsia="zh-CN" w:bidi="zh-CN"/>
      </w:rPr>
    </w:lvl>
    <w:lvl w:ilvl="8" w:tentative="0">
      <w:start w:val="0"/>
      <w:numFmt w:val="bullet"/>
      <w:lvlText w:val="•"/>
      <w:lvlJc w:val="left"/>
      <w:pPr>
        <w:ind w:left="-3780" w:firstLine="0"/>
      </w:pPr>
      <w:rPr>
        <w:rFonts w:hint="default"/>
        <w:lang w:val="zh-CN" w:eastAsia="zh-CN" w:bidi="zh-CN"/>
      </w:rPr>
    </w:lvl>
  </w:abstractNum>
  <w:abstractNum w:abstractNumId="44">
    <w:nsid w:val="F585BF25"/>
    <w:multiLevelType w:val="multilevel"/>
    <w:tmpl w:val="F585BF25"/>
    <w:lvl w:ilvl="0" w:tentative="0">
      <w:start w:val="1"/>
      <w:numFmt w:val="decimal"/>
      <w:suff w:val="space"/>
      <w:lvlText w:val="（%1）"/>
      <w:lvlJc w:val="left"/>
      <w:pPr>
        <w:ind w:left="1682" w:hanging="706"/>
      </w:pPr>
      <w:rPr>
        <w:rFonts w:hint="default" w:ascii="仿宋" w:hAnsi="仿宋" w:eastAsia="仿宋" w:cs="仿宋"/>
        <w:spacing w:val="-3"/>
        <w:w w:val="99"/>
        <w:sz w:val="26"/>
        <w:szCs w:val="26"/>
        <w:lang w:val="zh-CN" w:eastAsia="zh-CN" w:bidi="zh-CN"/>
      </w:rPr>
    </w:lvl>
    <w:lvl w:ilvl="1" w:tentative="0">
      <w:start w:val="0"/>
      <w:numFmt w:val="bullet"/>
      <w:lvlText w:val="•"/>
      <w:lvlJc w:val="left"/>
      <w:pPr>
        <w:ind w:left="2541" w:hanging="706"/>
      </w:pPr>
      <w:rPr>
        <w:rFonts w:hint="default"/>
        <w:lang w:val="zh-CN" w:eastAsia="zh-CN" w:bidi="zh-CN"/>
      </w:rPr>
    </w:lvl>
    <w:lvl w:ilvl="2" w:tentative="0">
      <w:start w:val="0"/>
      <w:numFmt w:val="bullet"/>
      <w:lvlText w:val="•"/>
      <w:lvlJc w:val="left"/>
      <w:pPr>
        <w:ind w:left="3402" w:hanging="706"/>
      </w:pPr>
      <w:rPr>
        <w:rFonts w:hint="default"/>
        <w:lang w:val="zh-CN" w:eastAsia="zh-CN" w:bidi="zh-CN"/>
      </w:rPr>
    </w:lvl>
    <w:lvl w:ilvl="3" w:tentative="0">
      <w:start w:val="0"/>
      <w:numFmt w:val="bullet"/>
      <w:lvlText w:val="•"/>
      <w:lvlJc w:val="left"/>
      <w:pPr>
        <w:ind w:left="4263" w:hanging="706"/>
      </w:pPr>
      <w:rPr>
        <w:rFonts w:hint="default"/>
        <w:lang w:val="zh-CN" w:eastAsia="zh-CN" w:bidi="zh-CN"/>
      </w:rPr>
    </w:lvl>
    <w:lvl w:ilvl="4" w:tentative="0">
      <w:start w:val="0"/>
      <w:numFmt w:val="bullet"/>
      <w:lvlText w:val="•"/>
      <w:lvlJc w:val="left"/>
      <w:pPr>
        <w:ind w:left="5124" w:hanging="706"/>
      </w:pPr>
      <w:rPr>
        <w:rFonts w:hint="default"/>
        <w:lang w:val="zh-CN" w:eastAsia="zh-CN" w:bidi="zh-CN"/>
      </w:rPr>
    </w:lvl>
    <w:lvl w:ilvl="5" w:tentative="0">
      <w:start w:val="0"/>
      <w:numFmt w:val="bullet"/>
      <w:lvlText w:val="•"/>
      <w:lvlJc w:val="left"/>
      <w:pPr>
        <w:ind w:left="5985" w:hanging="706"/>
      </w:pPr>
      <w:rPr>
        <w:rFonts w:hint="default"/>
        <w:lang w:val="zh-CN" w:eastAsia="zh-CN" w:bidi="zh-CN"/>
      </w:rPr>
    </w:lvl>
    <w:lvl w:ilvl="6" w:tentative="0">
      <w:start w:val="0"/>
      <w:numFmt w:val="bullet"/>
      <w:lvlText w:val="•"/>
      <w:lvlJc w:val="left"/>
      <w:pPr>
        <w:ind w:left="6846" w:hanging="706"/>
      </w:pPr>
      <w:rPr>
        <w:rFonts w:hint="default"/>
        <w:lang w:val="zh-CN" w:eastAsia="zh-CN" w:bidi="zh-CN"/>
      </w:rPr>
    </w:lvl>
    <w:lvl w:ilvl="7" w:tentative="0">
      <w:start w:val="0"/>
      <w:numFmt w:val="bullet"/>
      <w:lvlText w:val="•"/>
      <w:lvlJc w:val="left"/>
      <w:pPr>
        <w:ind w:left="7707" w:hanging="706"/>
      </w:pPr>
      <w:rPr>
        <w:rFonts w:hint="default"/>
        <w:lang w:val="zh-CN" w:eastAsia="zh-CN" w:bidi="zh-CN"/>
      </w:rPr>
    </w:lvl>
    <w:lvl w:ilvl="8" w:tentative="0">
      <w:start w:val="0"/>
      <w:numFmt w:val="bullet"/>
      <w:lvlText w:val="•"/>
      <w:lvlJc w:val="left"/>
      <w:pPr>
        <w:ind w:left="8568" w:hanging="706"/>
      </w:pPr>
      <w:rPr>
        <w:rFonts w:hint="default"/>
        <w:lang w:val="zh-CN" w:eastAsia="zh-CN" w:bidi="zh-CN"/>
      </w:rPr>
    </w:lvl>
  </w:abstractNum>
  <w:abstractNum w:abstractNumId="45">
    <w:nsid w:val="F689643B"/>
    <w:multiLevelType w:val="multilevel"/>
    <w:tmpl w:val="F689643B"/>
    <w:lvl w:ilvl="0" w:tentative="0">
      <w:start w:val="18"/>
      <w:numFmt w:val="decimal"/>
      <w:lvlText w:val="%1)"/>
      <w:lvlJc w:val="left"/>
      <w:pPr>
        <w:ind w:left="420" w:hanging="408"/>
      </w:pPr>
      <w:rPr>
        <w:rFonts w:hint="default" w:ascii="仿宋" w:hAnsi="仿宋" w:eastAsia="仿宋" w:cs="仿宋"/>
        <w:spacing w:val="-15"/>
        <w:w w:val="99"/>
        <w:sz w:val="26"/>
        <w:szCs w:val="26"/>
        <w:lang w:val="zh-CN" w:eastAsia="zh-CN" w:bidi="zh-CN"/>
      </w:rPr>
    </w:lvl>
    <w:lvl w:ilvl="1" w:tentative="0">
      <w:start w:val="0"/>
      <w:numFmt w:val="bullet"/>
      <w:suff w:val="space"/>
      <w:lvlText w:val="·"/>
      <w:lvlJc w:val="left"/>
      <w:pPr>
        <w:ind w:left="420" w:hanging="420"/>
      </w:pPr>
      <w:rPr>
        <w:rFonts w:hint="eastAsia" w:ascii="仿宋" w:hAnsi="仿宋" w:eastAsia="仿宋"/>
        <w:w w:val="100"/>
        <w:sz w:val="28"/>
        <w:szCs w:val="28"/>
        <w:lang w:val="zh-CN" w:eastAsia="zh-CN" w:bidi="zh-CN"/>
      </w:rPr>
    </w:lvl>
    <w:lvl w:ilvl="2" w:tentative="0">
      <w:start w:val="0"/>
      <w:numFmt w:val="bullet"/>
      <w:lvlText w:val="•"/>
      <w:lvlJc w:val="left"/>
      <w:pPr>
        <w:ind w:left="2394" w:hanging="420"/>
      </w:pPr>
      <w:rPr>
        <w:rFonts w:hint="default"/>
        <w:lang w:val="zh-CN" w:eastAsia="zh-CN" w:bidi="zh-CN"/>
      </w:rPr>
    </w:lvl>
    <w:lvl w:ilvl="3" w:tentative="0">
      <w:start w:val="0"/>
      <w:numFmt w:val="bullet"/>
      <w:lvlText w:val="•"/>
      <w:lvlJc w:val="left"/>
      <w:pPr>
        <w:ind w:left="3381" w:hanging="420"/>
      </w:pPr>
      <w:rPr>
        <w:rFonts w:hint="default"/>
        <w:lang w:val="zh-CN" w:eastAsia="zh-CN" w:bidi="zh-CN"/>
      </w:rPr>
    </w:lvl>
    <w:lvl w:ilvl="4" w:tentative="0">
      <w:start w:val="0"/>
      <w:numFmt w:val="bullet"/>
      <w:lvlText w:val="•"/>
      <w:lvlJc w:val="left"/>
      <w:pPr>
        <w:ind w:left="4368" w:hanging="420"/>
      </w:pPr>
      <w:rPr>
        <w:rFonts w:hint="default"/>
        <w:lang w:val="zh-CN" w:eastAsia="zh-CN" w:bidi="zh-CN"/>
      </w:rPr>
    </w:lvl>
    <w:lvl w:ilvl="5" w:tentative="0">
      <w:start w:val="0"/>
      <w:numFmt w:val="bullet"/>
      <w:lvlText w:val="•"/>
      <w:lvlJc w:val="left"/>
      <w:pPr>
        <w:ind w:left="5355" w:hanging="420"/>
      </w:pPr>
      <w:rPr>
        <w:rFonts w:hint="default"/>
        <w:lang w:val="zh-CN" w:eastAsia="zh-CN" w:bidi="zh-CN"/>
      </w:rPr>
    </w:lvl>
    <w:lvl w:ilvl="6" w:tentative="0">
      <w:start w:val="0"/>
      <w:numFmt w:val="bullet"/>
      <w:lvlText w:val="•"/>
      <w:lvlJc w:val="left"/>
      <w:pPr>
        <w:ind w:left="6342" w:hanging="420"/>
      </w:pPr>
      <w:rPr>
        <w:rFonts w:hint="default"/>
        <w:lang w:val="zh-CN" w:eastAsia="zh-CN" w:bidi="zh-CN"/>
      </w:rPr>
    </w:lvl>
    <w:lvl w:ilvl="7" w:tentative="0">
      <w:start w:val="0"/>
      <w:numFmt w:val="bullet"/>
      <w:lvlText w:val="•"/>
      <w:lvlJc w:val="left"/>
      <w:pPr>
        <w:ind w:left="7329" w:hanging="420"/>
      </w:pPr>
      <w:rPr>
        <w:rFonts w:hint="default"/>
        <w:lang w:val="zh-CN" w:eastAsia="zh-CN" w:bidi="zh-CN"/>
      </w:rPr>
    </w:lvl>
    <w:lvl w:ilvl="8" w:tentative="0">
      <w:start w:val="0"/>
      <w:numFmt w:val="bullet"/>
      <w:lvlText w:val="•"/>
      <w:lvlJc w:val="left"/>
      <w:pPr>
        <w:ind w:left="8316" w:hanging="420"/>
      </w:pPr>
      <w:rPr>
        <w:rFonts w:hint="default"/>
        <w:lang w:val="zh-CN" w:eastAsia="zh-CN" w:bidi="zh-CN"/>
      </w:rPr>
    </w:lvl>
  </w:abstractNum>
  <w:abstractNum w:abstractNumId="46">
    <w:nsid w:val="FEC2EA36"/>
    <w:multiLevelType w:val="multilevel"/>
    <w:tmpl w:val="FEC2EA36"/>
    <w:lvl w:ilvl="0" w:tentative="0">
      <w:start w:val="1"/>
      <w:numFmt w:val="decimal"/>
      <w:suff w:val="space"/>
      <w:lvlText w:val="%1)"/>
      <w:lvlJc w:val="left"/>
      <w:pPr>
        <w:ind w:left="1262" w:hanging="284"/>
      </w:pPr>
      <w:rPr>
        <w:rFonts w:hint="default" w:ascii="仿宋" w:hAnsi="仿宋" w:eastAsia="仿宋" w:cs="仿宋"/>
        <w:w w:val="99"/>
        <w:sz w:val="26"/>
        <w:szCs w:val="26"/>
        <w:lang w:val="zh-CN" w:eastAsia="zh-CN" w:bidi="zh-CN"/>
      </w:rPr>
    </w:lvl>
    <w:lvl w:ilvl="1" w:tentative="0">
      <w:start w:val="0"/>
      <w:numFmt w:val="bullet"/>
      <w:lvlText w:val="•"/>
      <w:lvlJc w:val="left"/>
      <w:pPr>
        <w:ind w:left="2163" w:hanging="284"/>
      </w:pPr>
      <w:rPr>
        <w:rFonts w:hint="default"/>
        <w:lang w:val="zh-CN" w:eastAsia="zh-CN" w:bidi="zh-CN"/>
      </w:rPr>
    </w:lvl>
    <w:lvl w:ilvl="2" w:tentative="0">
      <w:start w:val="0"/>
      <w:numFmt w:val="bullet"/>
      <w:lvlText w:val="•"/>
      <w:lvlJc w:val="left"/>
      <w:pPr>
        <w:ind w:left="3066" w:hanging="284"/>
      </w:pPr>
      <w:rPr>
        <w:rFonts w:hint="default"/>
        <w:lang w:val="zh-CN" w:eastAsia="zh-CN" w:bidi="zh-CN"/>
      </w:rPr>
    </w:lvl>
    <w:lvl w:ilvl="3" w:tentative="0">
      <w:start w:val="0"/>
      <w:numFmt w:val="bullet"/>
      <w:lvlText w:val="•"/>
      <w:lvlJc w:val="left"/>
      <w:pPr>
        <w:ind w:left="3969" w:hanging="284"/>
      </w:pPr>
      <w:rPr>
        <w:rFonts w:hint="default"/>
        <w:lang w:val="zh-CN" w:eastAsia="zh-CN" w:bidi="zh-CN"/>
      </w:rPr>
    </w:lvl>
    <w:lvl w:ilvl="4" w:tentative="0">
      <w:start w:val="0"/>
      <w:numFmt w:val="bullet"/>
      <w:lvlText w:val="•"/>
      <w:lvlJc w:val="left"/>
      <w:pPr>
        <w:ind w:left="4872" w:hanging="284"/>
      </w:pPr>
      <w:rPr>
        <w:rFonts w:hint="default"/>
        <w:lang w:val="zh-CN" w:eastAsia="zh-CN" w:bidi="zh-CN"/>
      </w:rPr>
    </w:lvl>
    <w:lvl w:ilvl="5" w:tentative="0">
      <w:start w:val="0"/>
      <w:numFmt w:val="bullet"/>
      <w:lvlText w:val="•"/>
      <w:lvlJc w:val="left"/>
      <w:pPr>
        <w:ind w:left="5775" w:hanging="284"/>
      </w:pPr>
      <w:rPr>
        <w:rFonts w:hint="default"/>
        <w:lang w:val="zh-CN" w:eastAsia="zh-CN" w:bidi="zh-CN"/>
      </w:rPr>
    </w:lvl>
    <w:lvl w:ilvl="6" w:tentative="0">
      <w:start w:val="0"/>
      <w:numFmt w:val="bullet"/>
      <w:lvlText w:val="•"/>
      <w:lvlJc w:val="left"/>
      <w:pPr>
        <w:ind w:left="6678" w:hanging="284"/>
      </w:pPr>
      <w:rPr>
        <w:rFonts w:hint="default"/>
        <w:lang w:val="zh-CN" w:eastAsia="zh-CN" w:bidi="zh-CN"/>
      </w:rPr>
    </w:lvl>
    <w:lvl w:ilvl="7" w:tentative="0">
      <w:start w:val="0"/>
      <w:numFmt w:val="bullet"/>
      <w:lvlText w:val="•"/>
      <w:lvlJc w:val="left"/>
      <w:pPr>
        <w:ind w:left="7581" w:hanging="284"/>
      </w:pPr>
      <w:rPr>
        <w:rFonts w:hint="default"/>
        <w:lang w:val="zh-CN" w:eastAsia="zh-CN" w:bidi="zh-CN"/>
      </w:rPr>
    </w:lvl>
    <w:lvl w:ilvl="8" w:tentative="0">
      <w:start w:val="0"/>
      <w:numFmt w:val="bullet"/>
      <w:lvlText w:val="•"/>
      <w:lvlJc w:val="left"/>
      <w:pPr>
        <w:ind w:left="8484" w:hanging="284"/>
      </w:pPr>
      <w:rPr>
        <w:rFonts w:hint="default"/>
        <w:lang w:val="zh-CN" w:eastAsia="zh-CN" w:bidi="zh-CN"/>
      </w:rPr>
    </w:lvl>
  </w:abstractNum>
  <w:abstractNum w:abstractNumId="47">
    <w:nsid w:val="00AE4667"/>
    <w:multiLevelType w:val="multilevel"/>
    <w:tmpl w:val="00AE4667"/>
    <w:lvl w:ilvl="0" w:tentative="0">
      <w:start w:val="1"/>
      <w:numFmt w:val="decimal"/>
      <w:suff w:val="space"/>
      <w:lvlText w:val="（%1）"/>
      <w:lvlJc w:val="left"/>
      <w:pPr>
        <w:ind w:left="1020" w:hanging="671"/>
      </w:pPr>
      <w:rPr>
        <w:rFonts w:hint="default"/>
        <w:spacing w:val="-17"/>
        <w:w w:val="100"/>
        <w:lang w:val="zh-CN" w:eastAsia="zh-CN" w:bidi="zh-CN"/>
      </w:rPr>
    </w:lvl>
    <w:lvl w:ilvl="1" w:tentative="0">
      <w:start w:val="0"/>
      <w:numFmt w:val="bullet"/>
      <w:lvlText w:val="•"/>
      <w:lvlJc w:val="left"/>
      <w:pPr>
        <w:ind w:left="1947" w:hanging="671"/>
      </w:pPr>
      <w:rPr>
        <w:rFonts w:hint="default"/>
        <w:lang w:val="zh-CN" w:eastAsia="zh-CN" w:bidi="zh-CN"/>
      </w:rPr>
    </w:lvl>
    <w:lvl w:ilvl="2" w:tentative="0">
      <w:start w:val="0"/>
      <w:numFmt w:val="bullet"/>
      <w:lvlText w:val="•"/>
      <w:lvlJc w:val="left"/>
      <w:pPr>
        <w:ind w:left="2874" w:hanging="671"/>
      </w:pPr>
      <w:rPr>
        <w:rFonts w:hint="default"/>
        <w:lang w:val="zh-CN" w:eastAsia="zh-CN" w:bidi="zh-CN"/>
      </w:rPr>
    </w:lvl>
    <w:lvl w:ilvl="3" w:tentative="0">
      <w:start w:val="0"/>
      <w:numFmt w:val="bullet"/>
      <w:lvlText w:val="•"/>
      <w:lvlJc w:val="left"/>
      <w:pPr>
        <w:ind w:left="3801" w:hanging="671"/>
      </w:pPr>
      <w:rPr>
        <w:rFonts w:hint="default"/>
        <w:lang w:val="zh-CN" w:eastAsia="zh-CN" w:bidi="zh-CN"/>
      </w:rPr>
    </w:lvl>
    <w:lvl w:ilvl="4" w:tentative="0">
      <w:start w:val="0"/>
      <w:numFmt w:val="bullet"/>
      <w:lvlText w:val="•"/>
      <w:lvlJc w:val="left"/>
      <w:pPr>
        <w:ind w:left="4728" w:hanging="671"/>
      </w:pPr>
      <w:rPr>
        <w:rFonts w:hint="default"/>
        <w:lang w:val="zh-CN" w:eastAsia="zh-CN" w:bidi="zh-CN"/>
      </w:rPr>
    </w:lvl>
    <w:lvl w:ilvl="5" w:tentative="0">
      <w:start w:val="0"/>
      <w:numFmt w:val="bullet"/>
      <w:lvlText w:val="•"/>
      <w:lvlJc w:val="left"/>
      <w:pPr>
        <w:ind w:left="5655" w:hanging="671"/>
      </w:pPr>
      <w:rPr>
        <w:rFonts w:hint="default"/>
        <w:lang w:val="zh-CN" w:eastAsia="zh-CN" w:bidi="zh-CN"/>
      </w:rPr>
    </w:lvl>
    <w:lvl w:ilvl="6" w:tentative="0">
      <w:start w:val="0"/>
      <w:numFmt w:val="bullet"/>
      <w:lvlText w:val="•"/>
      <w:lvlJc w:val="left"/>
      <w:pPr>
        <w:ind w:left="6582" w:hanging="671"/>
      </w:pPr>
      <w:rPr>
        <w:rFonts w:hint="default"/>
        <w:lang w:val="zh-CN" w:eastAsia="zh-CN" w:bidi="zh-CN"/>
      </w:rPr>
    </w:lvl>
    <w:lvl w:ilvl="7" w:tentative="0">
      <w:start w:val="0"/>
      <w:numFmt w:val="bullet"/>
      <w:lvlText w:val="•"/>
      <w:lvlJc w:val="left"/>
      <w:pPr>
        <w:ind w:left="7509" w:hanging="671"/>
      </w:pPr>
      <w:rPr>
        <w:rFonts w:hint="default"/>
        <w:lang w:val="zh-CN" w:eastAsia="zh-CN" w:bidi="zh-CN"/>
      </w:rPr>
    </w:lvl>
    <w:lvl w:ilvl="8" w:tentative="0">
      <w:start w:val="0"/>
      <w:numFmt w:val="bullet"/>
      <w:lvlText w:val="•"/>
      <w:lvlJc w:val="left"/>
      <w:pPr>
        <w:ind w:left="8436" w:hanging="671"/>
      </w:pPr>
      <w:rPr>
        <w:rFonts w:hint="default"/>
        <w:lang w:val="zh-CN" w:eastAsia="zh-CN" w:bidi="zh-CN"/>
      </w:rPr>
    </w:lvl>
  </w:abstractNum>
  <w:abstractNum w:abstractNumId="48">
    <w:nsid w:val="01836A6D"/>
    <w:multiLevelType w:val="multilevel"/>
    <w:tmpl w:val="01836A6D"/>
    <w:lvl w:ilvl="0" w:tentative="0">
      <w:start w:val="1"/>
      <w:numFmt w:val="decimal"/>
      <w:suff w:val="space"/>
      <w:lvlText w:val="（%1）"/>
      <w:lvlJc w:val="left"/>
      <w:pPr>
        <w:ind w:left="2270" w:hanging="694"/>
      </w:pPr>
      <w:rPr>
        <w:rFonts w:hint="default" w:ascii="仿宋" w:hAnsi="仿宋" w:eastAsia="仿宋" w:cs="仿宋"/>
        <w:spacing w:val="-8"/>
        <w:w w:val="99"/>
        <w:sz w:val="26"/>
        <w:szCs w:val="26"/>
        <w:lang w:val="zh-CN" w:eastAsia="zh-CN" w:bidi="zh-CN"/>
      </w:rPr>
    </w:lvl>
    <w:lvl w:ilvl="1" w:tentative="0">
      <w:start w:val="0"/>
      <w:numFmt w:val="bullet"/>
      <w:lvlText w:val="•"/>
      <w:lvlJc w:val="left"/>
      <w:pPr>
        <w:ind w:left="3081" w:hanging="694"/>
      </w:pPr>
      <w:rPr>
        <w:rFonts w:hint="default"/>
        <w:lang w:val="zh-CN" w:eastAsia="zh-CN" w:bidi="zh-CN"/>
      </w:rPr>
    </w:lvl>
    <w:lvl w:ilvl="2" w:tentative="0">
      <w:start w:val="0"/>
      <w:numFmt w:val="bullet"/>
      <w:lvlText w:val="•"/>
      <w:lvlJc w:val="left"/>
      <w:pPr>
        <w:ind w:left="3882" w:hanging="694"/>
      </w:pPr>
      <w:rPr>
        <w:rFonts w:hint="default"/>
        <w:lang w:val="zh-CN" w:eastAsia="zh-CN" w:bidi="zh-CN"/>
      </w:rPr>
    </w:lvl>
    <w:lvl w:ilvl="3" w:tentative="0">
      <w:start w:val="0"/>
      <w:numFmt w:val="bullet"/>
      <w:lvlText w:val="•"/>
      <w:lvlJc w:val="left"/>
      <w:pPr>
        <w:ind w:left="4683" w:hanging="694"/>
      </w:pPr>
      <w:rPr>
        <w:rFonts w:hint="default"/>
        <w:lang w:val="zh-CN" w:eastAsia="zh-CN" w:bidi="zh-CN"/>
      </w:rPr>
    </w:lvl>
    <w:lvl w:ilvl="4" w:tentative="0">
      <w:start w:val="0"/>
      <w:numFmt w:val="bullet"/>
      <w:lvlText w:val="•"/>
      <w:lvlJc w:val="left"/>
      <w:pPr>
        <w:ind w:left="5484" w:hanging="694"/>
      </w:pPr>
      <w:rPr>
        <w:rFonts w:hint="default"/>
        <w:lang w:val="zh-CN" w:eastAsia="zh-CN" w:bidi="zh-CN"/>
      </w:rPr>
    </w:lvl>
    <w:lvl w:ilvl="5" w:tentative="0">
      <w:start w:val="0"/>
      <w:numFmt w:val="bullet"/>
      <w:lvlText w:val="•"/>
      <w:lvlJc w:val="left"/>
      <w:pPr>
        <w:ind w:left="6285" w:hanging="694"/>
      </w:pPr>
      <w:rPr>
        <w:rFonts w:hint="default"/>
        <w:lang w:val="zh-CN" w:eastAsia="zh-CN" w:bidi="zh-CN"/>
      </w:rPr>
    </w:lvl>
    <w:lvl w:ilvl="6" w:tentative="0">
      <w:start w:val="0"/>
      <w:numFmt w:val="bullet"/>
      <w:lvlText w:val="•"/>
      <w:lvlJc w:val="left"/>
      <w:pPr>
        <w:ind w:left="7086" w:hanging="694"/>
      </w:pPr>
      <w:rPr>
        <w:rFonts w:hint="default"/>
        <w:lang w:val="zh-CN" w:eastAsia="zh-CN" w:bidi="zh-CN"/>
      </w:rPr>
    </w:lvl>
    <w:lvl w:ilvl="7" w:tentative="0">
      <w:start w:val="0"/>
      <w:numFmt w:val="bullet"/>
      <w:lvlText w:val="•"/>
      <w:lvlJc w:val="left"/>
      <w:pPr>
        <w:ind w:left="7887" w:hanging="694"/>
      </w:pPr>
      <w:rPr>
        <w:rFonts w:hint="default"/>
        <w:lang w:val="zh-CN" w:eastAsia="zh-CN" w:bidi="zh-CN"/>
      </w:rPr>
    </w:lvl>
    <w:lvl w:ilvl="8" w:tentative="0">
      <w:start w:val="0"/>
      <w:numFmt w:val="bullet"/>
      <w:lvlText w:val="•"/>
      <w:lvlJc w:val="left"/>
      <w:pPr>
        <w:ind w:left="8688" w:hanging="694"/>
      </w:pPr>
      <w:rPr>
        <w:rFonts w:hint="default"/>
        <w:lang w:val="zh-CN" w:eastAsia="zh-CN" w:bidi="zh-CN"/>
      </w:rPr>
    </w:lvl>
  </w:abstractNum>
  <w:abstractNum w:abstractNumId="49">
    <w:nsid w:val="03A63A41"/>
    <w:multiLevelType w:val="multilevel"/>
    <w:tmpl w:val="03A63A41"/>
    <w:lvl w:ilvl="0" w:tentative="0">
      <w:start w:val="1"/>
      <w:numFmt w:val="decimal"/>
      <w:suff w:val="space"/>
      <w:lvlText w:val="%1）"/>
      <w:lvlJc w:val="left"/>
      <w:pPr>
        <w:ind w:left="1358" w:hanging="418"/>
      </w:pPr>
      <w:rPr>
        <w:rFonts w:hint="default" w:ascii="仿宋" w:hAnsi="仿宋" w:eastAsia="仿宋" w:cs="仿宋"/>
        <w:spacing w:val="-10"/>
        <w:w w:val="99"/>
        <w:sz w:val="26"/>
        <w:szCs w:val="26"/>
        <w:lang w:val="zh-CN" w:eastAsia="zh-CN" w:bidi="zh-CN"/>
      </w:rPr>
    </w:lvl>
    <w:lvl w:ilvl="1" w:tentative="0">
      <w:start w:val="0"/>
      <w:numFmt w:val="bullet"/>
      <w:lvlText w:val="•"/>
      <w:lvlJc w:val="left"/>
      <w:pPr>
        <w:ind w:left="2253" w:hanging="418"/>
      </w:pPr>
      <w:rPr>
        <w:rFonts w:hint="default"/>
        <w:lang w:val="zh-CN" w:eastAsia="zh-CN" w:bidi="zh-CN"/>
      </w:rPr>
    </w:lvl>
    <w:lvl w:ilvl="2" w:tentative="0">
      <w:start w:val="0"/>
      <w:numFmt w:val="bullet"/>
      <w:lvlText w:val="•"/>
      <w:lvlJc w:val="left"/>
      <w:pPr>
        <w:ind w:left="3146" w:hanging="418"/>
      </w:pPr>
      <w:rPr>
        <w:rFonts w:hint="default"/>
        <w:lang w:val="zh-CN" w:eastAsia="zh-CN" w:bidi="zh-CN"/>
      </w:rPr>
    </w:lvl>
    <w:lvl w:ilvl="3" w:tentative="0">
      <w:start w:val="0"/>
      <w:numFmt w:val="bullet"/>
      <w:lvlText w:val="•"/>
      <w:lvlJc w:val="left"/>
      <w:pPr>
        <w:ind w:left="4039" w:hanging="418"/>
      </w:pPr>
      <w:rPr>
        <w:rFonts w:hint="default"/>
        <w:lang w:val="zh-CN" w:eastAsia="zh-CN" w:bidi="zh-CN"/>
      </w:rPr>
    </w:lvl>
    <w:lvl w:ilvl="4" w:tentative="0">
      <w:start w:val="0"/>
      <w:numFmt w:val="bullet"/>
      <w:lvlText w:val="•"/>
      <w:lvlJc w:val="left"/>
      <w:pPr>
        <w:ind w:left="4932" w:hanging="418"/>
      </w:pPr>
      <w:rPr>
        <w:rFonts w:hint="default"/>
        <w:lang w:val="zh-CN" w:eastAsia="zh-CN" w:bidi="zh-CN"/>
      </w:rPr>
    </w:lvl>
    <w:lvl w:ilvl="5" w:tentative="0">
      <w:start w:val="0"/>
      <w:numFmt w:val="bullet"/>
      <w:lvlText w:val="•"/>
      <w:lvlJc w:val="left"/>
      <w:pPr>
        <w:ind w:left="5825" w:hanging="418"/>
      </w:pPr>
      <w:rPr>
        <w:rFonts w:hint="default"/>
        <w:lang w:val="zh-CN" w:eastAsia="zh-CN" w:bidi="zh-CN"/>
      </w:rPr>
    </w:lvl>
    <w:lvl w:ilvl="6" w:tentative="0">
      <w:start w:val="0"/>
      <w:numFmt w:val="bullet"/>
      <w:lvlText w:val="•"/>
      <w:lvlJc w:val="left"/>
      <w:pPr>
        <w:ind w:left="6718" w:hanging="418"/>
      </w:pPr>
      <w:rPr>
        <w:rFonts w:hint="default"/>
        <w:lang w:val="zh-CN" w:eastAsia="zh-CN" w:bidi="zh-CN"/>
      </w:rPr>
    </w:lvl>
    <w:lvl w:ilvl="7" w:tentative="0">
      <w:start w:val="0"/>
      <w:numFmt w:val="bullet"/>
      <w:lvlText w:val="•"/>
      <w:lvlJc w:val="left"/>
      <w:pPr>
        <w:ind w:left="7611" w:hanging="418"/>
      </w:pPr>
      <w:rPr>
        <w:rFonts w:hint="default"/>
        <w:lang w:val="zh-CN" w:eastAsia="zh-CN" w:bidi="zh-CN"/>
      </w:rPr>
    </w:lvl>
    <w:lvl w:ilvl="8" w:tentative="0">
      <w:start w:val="0"/>
      <w:numFmt w:val="bullet"/>
      <w:lvlText w:val="•"/>
      <w:lvlJc w:val="left"/>
      <w:pPr>
        <w:ind w:left="8504" w:hanging="418"/>
      </w:pPr>
      <w:rPr>
        <w:rFonts w:hint="default"/>
        <w:lang w:val="zh-CN" w:eastAsia="zh-CN" w:bidi="zh-CN"/>
      </w:rPr>
    </w:lvl>
  </w:abstractNum>
  <w:abstractNum w:abstractNumId="50">
    <w:nsid w:val="0709FD3E"/>
    <w:multiLevelType w:val="multilevel"/>
    <w:tmpl w:val="0709FD3E"/>
    <w:lvl w:ilvl="0" w:tentative="0">
      <w:start w:val="1"/>
      <w:numFmt w:val="decimal"/>
      <w:suff w:val="space"/>
      <w:lvlText w:val="(%1)"/>
      <w:lvlJc w:val="left"/>
      <w:pPr>
        <w:ind w:left="420" w:hanging="423"/>
      </w:pPr>
      <w:rPr>
        <w:rFonts w:hint="default" w:ascii="仿宋" w:hAnsi="仿宋" w:eastAsia="仿宋" w:cs="仿宋"/>
        <w:spacing w:val="-3"/>
        <w:w w:val="99"/>
        <w:sz w:val="26"/>
        <w:szCs w:val="26"/>
        <w:lang w:val="zh-CN" w:eastAsia="zh-CN" w:bidi="zh-CN"/>
      </w:rPr>
    </w:lvl>
    <w:lvl w:ilvl="1" w:tentative="0">
      <w:start w:val="0"/>
      <w:numFmt w:val="bullet"/>
      <w:lvlText w:val="•"/>
      <w:lvlJc w:val="left"/>
      <w:pPr>
        <w:ind w:left="1407" w:hanging="423"/>
      </w:pPr>
      <w:rPr>
        <w:rFonts w:hint="default"/>
        <w:lang w:val="zh-CN" w:eastAsia="zh-CN" w:bidi="zh-CN"/>
      </w:rPr>
    </w:lvl>
    <w:lvl w:ilvl="2" w:tentative="0">
      <w:start w:val="0"/>
      <w:numFmt w:val="bullet"/>
      <w:lvlText w:val="•"/>
      <w:lvlJc w:val="left"/>
      <w:pPr>
        <w:ind w:left="2394" w:hanging="423"/>
      </w:pPr>
      <w:rPr>
        <w:rFonts w:hint="default"/>
        <w:lang w:val="zh-CN" w:eastAsia="zh-CN" w:bidi="zh-CN"/>
      </w:rPr>
    </w:lvl>
    <w:lvl w:ilvl="3" w:tentative="0">
      <w:start w:val="0"/>
      <w:numFmt w:val="bullet"/>
      <w:lvlText w:val="•"/>
      <w:lvlJc w:val="left"/>
      <w:pPr>
        <w:ind w:left="3381" w:hanging="423"/>
      </w:pPr>
      <w:rPr>
        <w:rFonts w:hint="default"/>
        <w:lang w:val="zh-CN" w:eastAsia="zh-CN" w:bidi="zh-CN"/>
      </w:rPr>
    </w:lvl>
    <w:lvl w:ilvl="4" w:tentative="0">
      <w:start w:val="0"/>
      <w:numFmt w:val="bullet"/>
      <w:lvlText w:val="•"/>
      <w:lvlJc w:val="left"/>
      <w:pPr>
        <w:ind w:left="4368" w:hanging="423"/>
      </w:pPr>
      <w:rPr>
        <w:rFonts w:hint="default"/>
        <w:lang w:val="zh-CN" w:eastAsia="zh-CN" w:bidi="zh-CN"/>
      </w:rPr>
    </w:lvl>
    <w:lvl w:ilvl="5" w:tentative="0">
      <w:start w:val="0"/>
      <w:numFmt w:val="bullet"/>
      <w:lvlText w:val="•"/>
      <w:lvlJc w:val="left"/>
      <w:pPr>
        <w:ind w:left="5355" w:hanging="423"/>
      </w:pPr>
      <w:rPr>
        <w:rFonts w:hint="default"/>
        <w:lang w:val="zh-CN" w:eastAsia="zh-CN" w:bidi="zh-CN"/>
      </w:rPr>
    </w:lvl>
    <w:lvl w:ilvl="6" w:tentative="0">
      <w:start w:val="0"/>
      <w:numFmt w:val="bullet"/>
      <w:lvlText w:val="•"/>
      <w:lvlJc w:val="left"/>
      <w:pPr>
        <w:ind w:left="6342" w:hanging="423"/>
      </w:pPr>
      <w:rPr>
        <w:rFonts w:hint="default"/>
        <w:lang w:val="zh-CN" w:eastAsia="zh-CN" w:bidi="zh-CN"/>
      </w:rPr>
    </w:lvl>
    <w:lvl w:ilvl="7" w:tentative="0">
      <w:start w:val="0"/>
      <w:numFmt w:val="bullet"/>
      <w:lvlText w:val="•"/>
      <w:lvlJc w:val="left"/>
      <w:pPr>
        <w:ind w:left="7329" w:hanging="423"/>
      </w:pPr>
      <w:rPr>
        <w:rFonts w:hint="default"/>
        <w:lang w:val="zh-CN" w:eastAsia="zh-CN" w:bidi="zh-CN"/>
      </w:rPr>
    </w:lvl>
    <w:lvl w:ilvl="8" w:tentative="0">
      <w:start w:val="0"/>
      <w:numFmt w:val="bullet"/>
      <w:lvlText w:val="•"/>
      <w:lvlJc w:val="left"/>
      <w:pPr>
        <w:ind w:left="8316" w:hanging="423"/>
      </w:pPr>
      <w:rPr>
        <w:rFonts w:hint="default"/>
        <w:lang w:val="zh-CN" w:eastAsia="zh-CN" w:bidi="zh-CN"/>
      </w:rPr>
    </w:lvl>
  </w:abstractNum>
  <w:abstractNum w:abstractNumId="51">
    <w:nsid w:val="0A80053D"/>
    <w:multiLevelType w:val="singleLevel"/>
    <w:tmpl w:val="0A80053D"/>
    <w:lvl w:ilvl="0" w:tentative="0">
      <w:start w:val="1"/>
      <w:numFmt w:val="decimal"/>
      <w:suff w:val="space"/>
      <w:lvlText w:val="(%1)"/>
      <w:lvlJc w:val="left"/>
      <w:pPr>
        <w:ind w:left="1965" w:hanging="425"/>
      </w:pPr>
      <w:rPr>
        <w:rFonts w:hint="default"/>
      </w:rPr>
    </w:lvl>
  </w:abstractNum>
  <w:abstractNum w:abstractNumId="52">
    <w:nsid w:val="0CEF100B"/>
    <w:multiLevelType w:val="multilevel"/>
    <w:tmpl w:val="0CEF100B"/>
    <w:lvl w:ilvl="0" w:tentative="0">
      <w:start w:val="1"/>
      <w:numFmt w:val="decimal"/>
      <w:suff w:val="space"/>
      <w:lvlText w:val="(%1)"/>
      <w:lvlJc w:val="left"/>
      <w:pPr>
        <w:ind w:left="420" w:hanging="562"/>
      </w:pPr>
      <w:rPr>
        <w:rFonts w:hint="default"/>
        <w:spacing w:val="-2"/>
        <w:w w:val="100"/>
        <w:lang w:val="zh-CN" w:eastAsia="zh-CN" w:bidi="zh-CN"/>
      </w:rPr>
    </w:lvl>
    <w:lvl w:ilvl="1" w:tentative="0">
      <w:start w:val="0"/>
      <w:numFmt w:val="bullet"/>
      <w:lvlText w:val="•"/>
      <w:lvlJc w:val="left"/>
      <w:pPr>
        <w:ind w:left="1407" w:hanging="562"/>
      </w:pPr>
      <w:rPr>
        <w:rFonts w:hint="default"/>
        <w:lang w:val="zh-CN" w:eastAsia="zh-CN" w:bidi="zh-CN"/>
      </w:rPr>
    </w:lvl>
    <w:lvl w:ilvl="2" w:tentative="0">
      <w:start w:val="0"/>
      <w:numFmt w:val="bullet"/>
      <w:lvlText w:val="•"/>
      <w:lvlJc w:val="left"/>
      <w:pPr>
        <w:ind w:left="2394" w:hanging="562"/>
      </w:pPr>
      <w:rPr>
        <w:rFonts w:hint="default"/>
        <w:lang w:val="zh-CN" w:eastAsia="zh-CN" w:bidi="zh-CN"/>
      </w:rPr>
    </w:lvl>
    <w:lvl w:ilvl="3" w:tentative="0">
      <w:start w:val="0"/>
      <w:numFmt w:val="bullet"/>
      <w:lvlText w:val="•"/>
      <w:lvlJc w:val="left"/>
      <w:pPr>
        <w:ind w:left="3381" w:hanging="562"/>
      </w:pPr>
      <w:rPr>
        <w:rFonts w:hint="default"/>
        <w:lang w:val="zh-CN" w:eastAsia="zh-CN" w:bidi="zh-CN"/>
      </w:rPr>
    </w:lvl>
    <w:lvl w:ilvl="4" w:tentative="0">
      <w:start w:val="0"/>
      <w:numFmt w:val="bullet"/>
      <w:lvlText w:val="•"/>
      <w:lvlJc w:val="left"/>
      <w:pPr>
        <w:ind w:left="4368" w:hanging="562"/>
      </w:pPr>
      <w:rPr>
        <w:rFonts w:hint="default"/>
        <w:lang w:val="zh-CN" w:eastAsia="zh-CN" w:bidi="zh-CN"/>
      </w:rPr>
    </w:lvl>
    <w:lvl w:ilvl="5" w:tentative="0">
      <w:start w:val="0"/>
      <w:numFmt w:val="bullet"/>
      <w:lvlText w:val="•"/>
      <w:lvlJc w:val="left"/>
      <w:pPr>
        <w:ind w:left="5355" w:hanging="562"/>
      </w:pPr>
      <w:rPr>
        <w:rFonts w:hint="default"/>
        <w:lang w:val="zh-CN" w:eastAsia="zh-CN" w:bidi="zh-CN"/>
      </w:rPr>
    </w:lvl>
    <w:lvl w:ilvl="6" w:tentative="0">
      <w:start w:val="0"/>
      <w:numFmt w:val="bullet"/>
      <w:lvlText w:val="•"/>
      <w:lvlJc w:val="left"/>
      <w:pPr>
        <w:ind w:left="6342" w:hanging="562"/>
      </w:pPr>
      <w:rPr>
        <w:rFonts w:hint="default"/>
        <w:lang w:val="zh-CN" w:eastAsia="zh-CN" w:bidi="zh-CN"/>
      </w:rPr>
    </w:lvl>
    <w:lvl w:ilvl="7" w:tentative="0">
      <w:start w:val="0"/>
      <w:numFmt w:val="bullet"/>
      <w:lvlText w:val="•"/>
      <w:lvlJc w:val="left"/>
      <w:pPr>
        <w:ind w:left="7329" w:hanging="562"/>
      </w:pPr>
      <w:rPr>
        <w:rFonts w:hint="default"/>
        <w:lang w:val="zh-CN" w:eastAsia="zh-CN" w:bidi="zh-CN"/>
      </w:rPr>
    </w:lvl>
    <w:lvl w:ilvl="8" w:tentative="0">
      <w:start w:val="0"/>
      <w:numFmt w:val="bullet"/>
      <w:lvlText w:val="•"/>
      <w:lvlJc w:val="left"/>
      <w:pPr>
        <w:ind w:left="8316" w:hanging="562"/>
      </w:pPr>
      <w:rPr>
        <w:rFonts w:hint="default"/>
        <w:lang w:val="zh-CN" w:eastAsia="zh-CN" w:bidi="zh-CN"/>
      </w:rPr>
    </w:lvl>
  </w:abstractNum>
  <w:abstractNum w:abstractNumId="53">
    <w:nsid w:val="12EADF99"/>
    <w:multiLevelType w:val="multilevel"/>
    <w:tmpl w:val="12EADF99"/>
    <w:lvl w:ilvl="0" w:tentative="0">
      <w:start w:val="1"/>
      <w:numFmt w:val="decimal"/>
      <w:suff w:val="space"/>
      <w:lvlText w:val="%1）"/>
      <w:lvlJc w:val="left"/>
      <w:pPr>
        <w:ind w:left="1384" w:hanging="418"/>
      </w:pPr>
      <w:rPr>
        <w:rFonts w:hint="default" w:ascii="仿宋" w:hAnsi="仿宋" w:eastAsia="仿宋" w:cs="仿宋"/>
        <w:spacing w:val="-5"/>
        <w:w w:val="99"/>
        <w:sz w:val="26"/>
        <w:szCs w:val="26"/>
        <w:lang w:val="zh-CN" w:eastAsia="zh-CN" w:bidi="zh-CN"/>
      </w:rPr>
    </w:lvl>
    <w:lvl w:ilvl="1" w:tentative="0">
      <w:start w:val="0"/>
      <w:numFmt w:val="bullet"/>
      <w:lvlText w:val="•"/>
      <w:lvlJc w:val="left"/>
      <w:pPr>
        <w:ind w:left="2271" w:hanging="418"/>
      </w:pPr>
      <w:rPr>
        <w:rFonts w:hint="default"/>
        <w:lang w:val="zh-CN" w:eastAsia="zh-CN" w:bidi="zh-CN"/>
      </w:rPr>
    </w:lvl>
    <w:lvl w:ilvl="2" w:tentative="0">
      <w:start w:val="0"/>
      <w:numFmt w:val="bullet"/>
      <w:lvlText w:val="•"/>
      <w:lvlJc w:val="left"/>
      <w:pPr>
        <w:ind w:left="3162" w:hanging="418"/>
      </w:pPr>
      <w:rPr>
        <w:rFonts w:hint="default"/>
        <w:lang w:val="zh-CN" w:eastAsia="zh-CN" w:bidi="zh-CN"/>
      </w:rPr>
    </w:lvl>
    <w:lvl w:ilvl="3" w:tentative="0">
      <w:start w:val="0"/>
      <w:numFmt w:val="bullet"/>
      <w:lvlText w:val="•"/>
      <w:lvlJc w:val="left"/>
      <w:pPr>
        <w:ind w:left="4053" w:hanging="418"/>
      </w:pPr>
      <w:rPr>
        <w:rFonts w:hint="default"/>
        <w:lang w:val="zh-CN" w:eastAsia="zh-CN" w:bidi="zh-CN"/>
      </w:rPr>
    </w:lvl>
    <w:lvl w:ilvl="4" w:tentative="0">
      <w:start w:val="0"/>
      <w:numFmt w:val="bullet"/>
      <w:lvlText w:val="•"/>
      <w:lvlJc w:val="left"/>
      <w:pPr>
        <w:ind w:left="4944" w:hanging="418"/>
      </w:pPr>
      <w:rPr>
        <w:rFonts w:hint="default"/>
        <w:lang w:val="zh-CN" w:eastAsia="zh-CN" w:bidi="zh-CN"/>
      </w:rPr>
    </w:lvl>
    <w:lvl w:ilvl="5" w:tentative="0">
      <w:start w:val="0"/>
      <w:numFmt w:val="bullet"/>
      <w:lvlText w:val="•"/>
      <w:lvlJc w:val="left"/>
      <w:pPr>
        <w:ind w:left="5835" w:hanging="418"/>
      </w:pPr>
      <w:rPr>
        <w:rFonts w:hint="default"/>
        <w:lang w:val="zh-CN" w:eastAsia="zh-CN" w:bidi="zh-CN"/>
      </w:rPr>
    </w:lvl>
    <w:lvl w:ilvl="6" w:tentative="0">
      <w:start w:val="0"/>
      <w:numFmt w:val="bullet"/>
      <w:lvlText w:val="•"/>
      <w:lvlJc w:val="left"/>
      <w:pPr>
        <w:ind w:left="6726" w:hanging="418"/>
      </w:pPr>
      <w:rPr>
        <w:rFonts w:hint="default"/>
        <w:lang w:val="zh-CN" w:eastAsia="zh-CN" w:bidi="zh-CN"/>
      </w:rPr>
    </w:lvl>
    <w:lvl w:ilvl="7" w:tentative="0">
      <w:start w:val="0"/>
      <w:numFmt w:val="bullet"/>
      <w:lvlText w:val="•"/>
      <w:lvlJc w:val="left"/>
      <w:pPr>
        <w:ind w:left="7617" w:hanging="418"/>
      </w:pPr>
      <w:rPr>
        <w:rFonts w:hint="default"/>
        <w:lang w:val="zh-CN" w:eastAsia="zh-CN" w:bidi="zh-CN"/>
      </w:rPr>
    </w:lvl>
    <w:lvl w:ilvl="8" w:tentative="0">
      <w:start w:val="0"/>
      <w:numFmt w:val="bullet"/>
      <w:lvlText w:val="•"/>
      <w:lvlJc w:val="left"/>
      <w:pPr>
        <w:ind w:left="8508" w:hanging="418"/>
      </w:pPr>
      <w:rPr>
        <w:rFonts w:hint="default"/>
        <w:lang w:val="zh-CN" w:eastAsia="zh-CN" w:bidi="zh-CN"/>
      </w:rPr>
    </w:lvl>
  </w:abstractNum>
  <w:abstractNum w:abstractNumId="54">
    <w:nsid w:val="13457352"/>
    <w:multiLevelType w:val="multilevel"/>
    <w:tmpl w:val="13457352"/>
    <w:lvl w:ilvl="0" w:tentative="0">
      <w:start w:val="1"/>
      <w:numFmt w:val="decimal"/>
      <w:suff w:val="space"/>
      <w:lvlText w:val="（%1）"/>
      <w:lvlJc w:val="left"/>
      <w:pPr>
        <w:ind w:left="1020" w:hanging="671"/>
      </w:pPr>
      <w:rPr>
        <w:rFonts w:hint="default"/>
        <w:spacing w:val="-17"/>
        <w:w w:val="100"/>
        <w:lang w:val="zh-CN" w:eastAsia="zh-CN" w:bidi="zh-CN"/>
      </w:rPr>
    </w:lvl>
    <w:lvl w:ilvl="1" w:tentative="0">
      <w:start w:val="0"/>
      <w:numFmt w:val="bullet"/>
      <w:lvlText w:val="•"/>
      <w:lvlJc w:val="left"/>
      <w:pPr>
        <w:ind w:left="1947" w:hanging="671"/>
      </w:pPr>
      <w:rPr>
        <w:rFonts w:hint="default"/>
        <w:lang w:val="zh-CN" w:eastAsia="zh-CN" w:bidi="zh-CN"/>
      </w:rPr>
    </w:lvl>
    <w:lvl w:ilvl="2" w:tentative="0">
      <w:start w:val="0"/>
      <w:numFmt w:val="bullet"/>
      <w:lvlText w:val="•"/>
      <w:lvlJc w:val="left"/>
      <w:pPr>
        <w:ind w:left="2874" w:hanging="671"/>
      </w:pPr>
      <w:rPr>
        <w:rFonts w:hint="default"/>
        <w:lang w:val="zh-CN" w:eastAsia="zh-CN" w:bidi="zh-CN"/>
      </w:rPr>
    </w:lvl>
    <w:lvl w:ilvl="3" w:tentative="0">
      <w:start w:val="0"/>
      <w:numFmt w:val="bullet"/>
      <w:lvlText w:val="•"/>
      <w:lvlJc w:val="left"/>
      <w:pPr>
        <w:ind w:left="3801" w:hanging="671"/>
      </w:pPr>
      <w:rPr>
        <w:rFonts w:hint="default"/>
        <w:lang w:val="zh-CN" w:eastAsia="zh-CN" w:bidi="zh-CN"/>
      </w:rPr>
    </w:lvl>
    <w:lvl w:ilvl="4" w:tentative="0">
      <w:start w:val="0"/>
      <w:numFmt w:val="bullet"/>
      <w:lvlText w:val="•"/>
      <w:lvlJc w:val="left"/>
      <w:pPr>
        <w:ind w:left="4728" w:hanging="671"/>
      </w:pPr>
      <w:rPr>
        <w:rFonts w:hint="default"/>
        <w:lang w:val="zh-CN" w:eastAsia="zh-CN" w:bidi="zh-CN"/>
      </w:rPr>
    </w:lvl>
    <w:lvl w:ilvl="5" w:tentative="0">
      <w:start w:val="0"/>
      <w:numFmt w:val="bullet"/>
      <w:lvlText w:val="•"/>
      <w:lvlJc w:val="left"/>
      <w:pPr>
        <w:ind w:left="5655" w:hanging="671"/>
      </w:pPr>
      <w:rPr>
        <w:rFonts w:hint="default"/>
        <w:lang w:val="zh-CN" w:eastAsia="zh-CN" w:bidi="zh-CN"/>
      </w:rPr>
    </w:lvl>
    <w:lvl w:ilvl="6" w:tentative="0">
      <w:start w:val="0"/>
      <w:numFmt w:val="bullet"/>
      <w:lvlText w:val="•"/>
      <w:lvlJc w:val="left"/>
      <w:pPr>
        <w:ind w:left="6582" w:hanging="671"/>
      </w:pPr>
      <w:rPr>
        <w:rFonts w:hint="default"/>
        <w:lang w:val="zh-CN" w:eastAsia="zh-CN" w:bidi="zh-CN"/>
      </w:rPr>
    </w:lvl>
    <w:lvl w:ilvl="7" w:tentative="0">
      <w:start w:val="0"/>
      <w:numFmt w:val="bullet"/>
      <w:lvlText w:val="•"/>
      <w:lvlJc w:val="left"/>
      <w:pPr>
        <w:ind w:left="7509" w:hanging="671"/>
      </w:pPr>
      <w:rPr>
        <w:rFonts w:hint="default"/>
        <w:lang w:val="zh-CN" w:eastAsia="zh-CN" w:bidi="zh-CN"/>
      </w:rPr>
    </w:lvl>
    <w:lvl w:ilvl="8" w:tentative="0">
      <w:start w:val="0"/>
      <w:numFmt w:val="bullet"/>
      <w:lvlText w:val="•"/>
      <w:lvlJc w:val="left"/>
      <w:pPr>
        <w:ind w:left="8436" w:hanging="671"/>
      </w:pPr>
      <w:rPr>
        <w:rFonts w:hint="default"/>
        <w:lang w:val="zh-CN" w:eastAsia="zh-CN" w:bidi="zh-CN"/>
      </w:rPr>
    </w:lvl>
  </w:abstractNum>
  <w:abstractNum w:abstractNumId="55">
    <w:nsid w:val="1450273B"/>
    <w:multiLevelType w:val="multilevel"/>
    <w:tmpl w:val="1450273B"/>
    <w:lvl w:ilvl="0" w:tentative="0">
      <w:start w:val="1"/>
      <w:numFmt w:val="decimal"/>
      <w:suff w:val="space"/>
      <w:lvlText w:val="（%1）"/>
      <w:lvlJc w:val="left"/>
      <w:pPr>
        <w:ind w:left="420" w:hanging="704"/>
      </w:pPr>
      <w:rPr>
        <w:rFonts w:hint="default" w:ascii="仿宋" w:hAnsi="仿宋" w:eastAsia="仿宋" w:cs="仿宋"/>
        <w:spacing w:val="-3"/>
        <w:w w:val="99"/>
        <w:sz w:val="26"/>
        <w:szCs w:val="26"/>
        <w:lang w:val="zh-CN" w:eastAsia="zh-CN" w:bidi="zh-CN"/>
      </w:rPr>
    </w:lvl>
    <w:lvl w:ilvl="1" w:tentative="0">
      <w:start w:val="0"/>
      <w:numFmt w:val="bullet"/>
      <w:lvlText w:val="•"/>
      <w:lvlJc w:val="left"/>
      <w:pPr>
        <w:ind w:left="1407" w:hanging="704"/>
      </w:pPr>
      <w:rPr>
        <w:rFonts w:hint="default"/>
        <w:lang w:val="zh-CN" w:eastAsia="zh-CN" w:bidi="zh-CN"/>
      </w:rPr>
    </w:lvl>
    <w:lvl w:ilvl="2" w:tentative="0">
      <w:start w:val="0"/>
      <w:numFmt w:val="bullet"/>
      <w:lvlText w:val="•"/>
      <w:lvlJc w:val="left"/>
      <w:pPr>
        <w:ind w:left="2394" w:hanging="704"/>
      </w:pPr>
      <w:rPr>
        <w:rFonts w:hint="default"/>
        <w:lang w:val="zh-CN" w:eastAsia="zh-CN" w:bidi="zh-CN"/>
      </w:rPr>
    </w:lvl>
    <w:lvl w:ilvl="3" w:tentative="0">
      <w:start w:val="0"/>
      <w:numFmt w:val="bullet"/>
      <w:lvlText w:val="•"/>
      <w:lvlJc w:val="left"/>
      <w:pPr>
        <w:ind w:left="3381" w:hanging="704"/>
      </w:pPr>
      <w:rPr>
        <w:rFonts w:hint="default"/>
        <w:lang w:val="zh-CN" w:eastAsia="zh-CN" w:bidi="zh-CN"/>
      </w:rPr>
    </w:lvl>
    <w:lvl w:ilvl="4" w:tentative="0">
      <w:start w:val="0"/>
      <w:numFmt w:val="bullet"/>
      <w:lvlText w:val="•"/>
      <w:lvlJc w:val="left"/>
      <w:pPr>
        <w:ind w:left="4368" w:hanging="704"/>
      </w:pPr>
      <w:rPr>
        <w:rFonts w:hint="default"/>
        <w:lang w:val="zh-CN" w:eastAsia="zh-CN" w:bidi="zh-CN"/>
      </w:rPr>
    </w:lvl>
    <w:lvl w:ilvl="5" w:tentative="0">
      <w:start w:val="0"/>
      <w:numFmt w:val="bullet"/>
      <w:lvlText w:val="•"/>
      <w:lvlJc w:val="left"/>
      <w:pPr>
        <w:ind w:left="5355" w:hanging="704"/>
      </w:pPr>
      <w:rPr>
        <w:rFonts w:hint="default"/>
        <w:lang w:val="zh-CN" w:eastAsia="zh-CN" w:bidi="zh-CN"/>
      </w:rPr>
    </w:lvl>
    <w:lvl w:ilvl="6" w:tentative="0">
      <w:start w:val="0"/>
      <w:numFmt w:val="bullet"/>
      <w:lvlText w:val="•"/>
      <w:lvlJc w:val="left"/>
      <w:pPr>
        <w:ind w:left="6342" w:hanging="704"/>
      </w:pPr>
      <w:rPr>
        <w:rFonts w:hint="default"/>
        <w:lang w:val="zh-CN" w:eastAsia="zh-CN" w:bidi="zh-CN"/>
      </w:rPr>
    </w:lvl>
    <w:lvl w:ilvl="7" w:tentative="0">
      <w:start w:val="0"/>
      <w:numFmt w:val="bullet"/>
      <w:lvlText w:val="•"/>
      <w:lvlJc w:val="left"/>
      <w:pPr>
        <w:ind w:left="7329" w:hanging="704"/>
      </w:pPr>
      <w:rPr>
        <w:rFonts w:hint="default"/>
        <w:lang w:val="zh-CN" w:eastAsia="zh-CN" w:bidi="zh-CN"/>
      </w:rPr>
    </w:lvl>
    <w:lvl w:ilvl="8" w:tentative="0">
      <w:start w:val="0"/>
      <w:numFmt w:val="bullet"/>
      <w:lvlText w:val="•"/>
      <w:lvlJc w:val="left"/>
      <w:pPr>
        <w:ind w:left="8316" w:hanging="704"/>
      </w:pPr>
      <w:rPr>
        <w:rFonts w:hint="default"/>
        <w:lang w:val="zh-CN" w:eastAsia="zh-CN" w:bidi="zh-CN"/>
      </w:rPr>
    </w:lvl>
  </w:abstractNum>
  <w:abstractNum w:abstractNumId="56">
    <w:nsid w:val="18F74015"/>
    <w:multiLevelType w:val="multilevel"/>
    <w:tmpl w:val="18F74015"/>
    <w:lvl w:ilvl="0" w:tentative="0">
      <w:start w:val="1"/>
      <w:numFmt w:val="decimal"/>
      <w:suff w:val="space"/>
      <w:lvlText w:val="%1)"/>
      <w:lvlJc w:val="left"/>
      <w:pPr>
        <w:ind w:left="420" w:hanging="284"/>
      </w:pPr>
      <w:rPr>
        <w:rFonts w:hint="default" w:ascii="仿宋" w:hAnsi="仿宋" w:eastAsia="仿宋" w:cs="仿宋"/>
        <w:w w:val="99"/>
        <w:sz w:val="26"/>
        <w:szCs w:val="26"/>
        <w:lang w:val="zh-CN" w:eastAsia="zh-CN" w:bidi="zh-CN"/>
      </w:rPr>
    </w:lvl>
    <w:lvl w:ilvl="1" w:tentative="0">
      <w:start w:val="0"/>
      <w:numFmt w:val="bullet"/>
      <w:lvlText w:val="•"/>
      <w:lvlJc w:val="left"/>
      <w:pPr>
        <w:ind w:left="1407" w:hanging="284"/>
      </w:pPr>
      <w:rPr>
        <w:rFonts w:hint="default"/>
        <w:lang w:val="zh-CN" w:eastAsia="zh-CN" w:bidi="zh-CN"/>
      </w:rPr>
    </w:lvl>
    <w:lvl w:ilvl="2" w:tentative="0">
      <w:start w:val="0"/>
      <w:numFmt w:val="bullet"/>
      <w:lvlText w:val="•"/>
      <w:lvlJc w:val="left"/>
      <w:pPr>
        <w:ind w:left="2394" w:hanging="284"/>
      </w:pPr>
      <w:rPr>
        <w:rFonts w:hint="default"/>
        <w:lang w:val="zh-CN" w:eastAsia="zh-CN" w:bidi="zh-CN"/>
      </w:rPr>
    </w:lvl>
    <w:lvl w:ilvl="3" w:tentative="0">
      <w:start w:val="0"/>
      <w:numFmt w:val="bullet"/>
      <w:lvlText w:val="•"/>
      <w:lvlJc w:val="left"/>
      <w:pPr>
        <w:ind w:left="3381" w:hanging="284"/>
      </w:pPr>
      <w:rPr>
        <w:rFonts w:hint="default"/>
        <w:lang w:val="zh-CN" w:eastAsia="zh-CN" w:bidi="zh-CN"/>
      </w:rPr>
    </w:lvl>
    <w:lvl w:ilvl="4" w:tentative="0">
      <w:start w:val="0"/>
      <w:numFmt w:val="bullet"/>
      <w:lvlText w:val="•"/>
      <w:lvlJc w:val="left"/>
      <w:pPr>
        <w:ind w:left="4368" w:hanging="284"/>
      </w:pPr>
      <w:rPr>
        <w:rFonts w:hint="default"/>
        <w:lang w:val="zh-CN" w:eastAsia="zh-CN" w:bidi="zh-CN"/>
      </w:rPr>
    </w:lvl>
    <w:lvl w:ilvl="5" w:tentative="0">
      <w:start w:val="0"/>
      <w:numFmt w:val="bullet"/>
      <w:lvlText w:val="•"/>
      <w:lvlJc w:val="left"/>
      <w:pPr>
        <w:ind w:left="5355" w:hanging="284"/>
      </w:pPr>
      <w:rPr>
        <w:rFonts w:hint="default"/>
        <w:lang w:val="zh-CN" w:eastAsia="zh-CN" w:bidi="zh-CN"/>
      </w:rPr>
    </w:lvl>
    <w:lvl w:ilvl="6" w:tentative="0">
      <w:start w:val="0"/>
      <w:numFmt w:val="bullet"/>
      <w:lvlText w:val="•"/>
      <w:lvlJc w:val="left"/>
      <w:pPr>
        <w:ind w:left="6342" w:hanging="284"/>
      </w:pPr>
      <w:rPr>
        <w:rFonts w:hint="default"/>
        <w:lang w:val="zh-CN" w:eastAsia="zh-CN" w:bidi="zh-CN"/>
      </w:rPr>
    </w:lvl>
    <w:lvl w:ilvl="7" w:tentative="0">
      <w:start w:val="0"/>
      <w:numFmt w:val="bullet"/>
      <w:lvlText w:val="•"/>
      <w:lvlJc w:val="left"/>
      <w:pPr>
        <w:ind w:left="7329" w:hanging="284"/>
      </w:pPr>
      <w:rPr>
        <w:rFonts w:hint="default"/>
        <w:lang w:val="zh-CN" w:eastAsia="zh-CN" w:bidi="zh-CN"/>
      </w:rPr>
    </w:lvl>
    <w:lvl w:ilvl="8" w:tentative="0">
      <w:start w:val="0"/>
      <w:numFmt w:val="bullet"/>
      <w:lvlText w:val="•"/>
      <w:lvlJc w:val="left"/>
      <w:pPr>
        <w:ind w:left="8316" w:hanging="284"/>
      </w:pPr>
      <w:rPr>
        <w:rFonts w:hint="default"/>
        <w:lang w:val="zh-CN" w:eastAsia="zh-CN" w:bidi="zh-CN"/>
      </w:rPr>
    </w:lvl>
  </w:abstractNum>
  <w:abstractNum w:abstractNumId="57">
    <w:nsid w:val="1ACDE60F"/>
    <w:multiLevelType w:val="multilevel"/>
    <w:tmpl w:val="1ACDE60F"/>
    <w:lvl w:ilvl="0" w:tentative="0">
      <w:start w:val="1"/>
      <w:numFmt w:val="decimal"/>
      <w:suff w:val="space"/>
      <w:lvlText w:val="(%1)"/>
      <w:lvlJc w:val="left"/>
      <w:pPr>
        <w:ind w:left="1821" w:hanging="425"/>
      </w:pPr>
      <w:rPr>
        <w:rFonts w:hint="default" w:ascii="仿宋" w:hAnsi="仿宋" w:eastAsia="仿宋" w:cs="仿宋"/>
        <w:spacing w:val="-3"/>
        <w:w w:val="99"/>
        <w:sz w:val="26"/>
        <w:szCs w:val="26"/>
        <w:lang w:val="zh-CN" w:eastAsia="zh-CN" w:bidi="zh-CN"/>
      </w:rPr>
    </w:lvl>
    <w:lvl w:ilvl="1" w:tentative="0">
      <w:start w:val="0"/>
      <w:numFmt w:val="bullet"/>
      <w:lvlText w:val="•"/>
      <w:lvlJc w:val="left"/>
      <w:pPr>
        <w:ind w:left="2000" w:hanging="425"/>
      </w:pPr>
      <w:rPr>
        <w:rFonts w:hint="default"/>
        <w:lang w:val="zh-CN" w:eastAsia="zh-CN" w:bidi="zh-CN"/>
      </w:rPr>
    </w:lvl>
    <w:lvl w:ilvl="2" w:tentative="0">
      <w:start w:val="0"/>
      <w:numFmt w:val="bullet"/>
      <w:lvlText w:val="•"/>
      <w:lvlJc w:val="left"/>
      <w:pPr>
        <w:ind w:left="2921" w:hanging="425"/>
      </w:pPr>
      <w:rPr>
        <w:rFonts w:hint="default"/>
        <w:lang w:val="zh-CN" w:eastAsia="zh-CN" w:bidi="zh-CN"/>
      </w:rPr>
    </w:lvl>
    <w:lvl w:ilvl="3" w:tentative="0">
      <w:start w:val="0"/>
      <w:numFmt w:val="bullet"/>
      <w:lvlText w:val="•"/>
      <w:lvlJc w:val="left"/>
      <w:pPr>
        <w:ind w:left="3842" w:hanging="425"/>
      </w:pPr>
      <w:rPr>
        <w:rFonts w:hint="default"/>
        <w:lang w:val="zh-CN" w:eastAsia="zh-CN" w:bidi="zh-CN"/>
      </w:rPr>
    </w:lvl>
    <w:lvl w:ilvl="4" w:tentative="0">
      <w:start w:val="0"/>
      <w:numFmt w:val="bullet"/>
      <w:lvlText w:val="•"/>
      <w:lvlJc w:val="left"/>
      <w:pPr>
        <w:ind w:left="4763" w:hanging="425"/>
      </w:pPr>
      <w:rPr>
        <w:rFonts w:hint="default"/>
        <w:lang w:val="zh-CN" w:eastAsia="zh-CN" w:bidi="zh-CN"/>
      </w:rPr>
    </w:lvl>
    <w:lvl w:ilvl="5" w:tentative="0">
      <w:start w:val="0"/>
      <w:numFmt w:val="bullet"/>
      <w:lvlText w:val="•"/>
      <w:lvlJc w:val="left"/>
      <w:pPr>
        <w:ind w:left="5684" w:hanging="425"/>
      </w:pPr>
      <w:rPr>
        <w:rFonts w:hint="default"/>
        <w:lang w:val="zh-CN" w:eastAsia="zh-CN" w:bidi="zh-CN"/>
      </w:rPr>
    </w:lvl>
    <w:lvl w:ilvl="6" w:tentative="0">
      <w:start w:val="0"/>
      <w:numFmt w:val="bullet"/>
      <w:lvlText w:val="•"/>
      <w:lvlJc w:val="left"/>
      <w:pPr>
        <w:ind w:left="6605" w:hanging="425"/>
      </w:pPr>
      <w:rPr>
        <w:rFonts w:hint="default"/>
        <w:lang w:val="zh-CN" w:eastAsia="zh-CN" w:bidi="zh-CN"/>
      </w:rPr>
    </w:lvl>
    <w:lvl w:ilvl="7" w:tentative="0">
      <w:start w:val="0"/>
      <w:numFmt w:val="bullet"/>
      <w:lvlText w:val="•"/>
      <w:lvlJc w:val="left"/>
      <w:pPr>
        <w:ind w:left="7526" w:hanging="425"/>
      </w:pPr>
      <w:rPr>
        <w:rFonts w:hint="default"/>
        <w:lang w:val="zh-CN" w:eastAsia="zh-CN" w:bidi="zh-CN"/>
      </w:rPr>
    </w:lvl>
    <w:lvl w:ilvl="8" w:tentative="0">
      <w:start w:val="0"/>
      <w:numFmt w:val="bullet"/>
      <w:lvlText w:val="•"/>
      <w:lvlJc w:val="left"/>
      <w:pPr>
        <w:ind w:left="8447" w:hanging="425"/>
      </w:pPr>
      <w:rPr>
        <w:rFonts w:hint="default"/>
        <w:lang w:val="zh-CN" w:eastAsia="zh-CN" w:bidi="zh-CN"/>
      </w:rPr>
    </w:lvl>
  </w:abstractNum>
  <w:abstractNum w:abstractNumId="58">
    <w:nsid w:val="1BCBBCF0"/>
    <w:multiLevelType w:val="multilevel"/>
    <w:tmpl w:val="1BCBBCF0"/>
    <w:lvl w:ilvl="0" w:tentative="0">
      <w:start w:val="7"/>
      <w:numFmt w:val="decimal"/>
      <w:lvlText w:val="%1"/>
      <w:lvlJc w:val="left"/>
      <w:pPr>
        <w:ind w:left="1195" w:hanging="776"/>
      </w:pPr>
      <w:rPr>
        <w:rFonts w:hint="default"/>
        <w:lang w:val="zh-CN" w:eastAsia="zh-CN" w:bidi="zh-CN"/>
      </w:rPr>
    </w:lvl>
    <w:lvl w:ilvl="1" w:tentative="0">
      <w:start w:val="1"/>
      <w:numFmt w:val="decimal"/>
      <w:lvlText w:val="%1.%2"/>
      <w:lvlJc w:val="left"/>
      <w:pPr>
        <w:ind w:left="1195" w:hanging="776"/>
      </w:pPr>
      <w:rPr>
        <w:rFonts w:hint="default"/>
        <w:lang w:val="zh-CN" w:eastAsia="zh-CN" w:bidi="zh-CN"/>
      </w:rPr>
    </w:lvl>
    <w:lvl w:ilvl="2" w:tentative="0">
      <w:start w:val="1"/>
      <w:numFmt w:val="decimal"/>
      <w:suff w:val="space"/>
      <w:lvlText w:val="%1.%2.%3"/>
      <w:lvlJc w:val="left"/>
      <w:pPr>
        <w:ind w:left="1195" w:hanging="776"/>
      </w:pPr>
      <w:rPr>
        <w:rFonts w:hint="default" w:ascii="黑体" w:hAnsi="黑体" w:eastAsia="黑体" w:cs="黑体"/>
        <w:b/>
        <w:bCs/>
        <w:spacing w:val="-4"/>
        <w:w w:val="99"/>
        <w:sz w:val="28"/>
        <w:szCs w:val="28"/>
        <w:lang w:val="zh-CN" w:eastAsia="zh-CN" w:bidi="zh-CN"/>
      </w:rPr>
    </w:lvl>
    <w:lvl w:ilvl="3" w:tentative="0">
      <w:start w:val="0"/>
      <w:numFmt w:val="bullet"/>
      <w:lvlText w:val="•"/>
      <w:lvlJc w:val="left"/>
      <w:pPr>
        <w:ind w:left="3927" w:hanging="776"/>
      </w:pPr>
      <w:rPr>
        <w:rFonts w:hint="default"/>
        <w:lang w:val="zh-CN" w:eastAsia="zh-CN" w:bidi="zh-CN"/>
      </w:rPr>
    </w:lvl>
    <w:lvl w:ilvl="4" w:tentative="0">
      <w:start w:val="0"/>
      <w:numFmt w:val="bullet"/>
      <w:lvlText w:val="•"/>
      <w:lvlJc w:val="left"/>
      <w:pPr>
        <w:ind w:left="4836" w:hanging="776"/>
      </w:pPr>
      <w:rPr>
        <w:rFonts w:hint="default"/>
        <w:lang w:val="zh-CN" w:eastAsia="zh-CN" w:bidi="zh-CN"/>
      </w:rPr>
    </w:lvl>
    <w:lvl w:ilvl="5" w:tentative="0">
      <w:start w:val="0"/>
      <w:numFmt w:val="bullet"/>
      <w:lvlText w:val="•"/>
      <w:lvlJc w:val="left"/>
      <w:pPr>
        <w:ind w:left="5745" w:hanging="776"/>
      </w:pPr>
      <w:rPr>
        <w:rFonts w:hint="default"/>
        <w:lang w:val="zh-CN" w:eastAsia="zh-CN" w:bidi="zh-CN"/>
      </w:rPr>
    </w:lvl>
    <w:lvl w:ilvl="6" w:tentative="0">
      <w:start w:val="0"/>
      <w:numFmt w:val="bullet"/>
      <w:lvlText w:val="•"/>
      <w:lvlJc w:val="left"/>
      <w:pPr>
        <w:ind w:left="6654" w:hanging="776"/>
      </w:pPr>
      <w:rPr>
        <w:rFonts w:hint="default"/>
        <w:lang w:val="zh-CN" w:eastAsia="zh-CN" w:bidi="zh-CN"/>
      </w:rPr>
    </w:lvl>
    <w:lvl w:ilvl="7" w:tentative="0">
      <w:start w:val="0"/>
      <w:numFmt w:val="bullet"/>
      <w:lvlText w:val="•"/>
      <w:lvlJc w:val="left"/>
      <w:pPr>
        <w:ind w:left="7563" w:hanging="776"/>
      </w:pPr>
      <w:rPr>
        <w:rFonts w:hint="default"/>
        <w:lang w:val="zh-CN" w:eastAsia="zh-CN" w:bidi="zh-CN"/>
      </w:rPr>
    </w:lvl>
    <w:lvl w:ilvl="8" w:tentative="0">
      <w:start w:val="0"/>
      <w:numFmt w:val="bullet"/>
      <w:lvlText w:val="•"/>
      <w:lvlJc w:val="left"/>
      <w:pPr>
        <w:ind w:left="8472" w:hanging="776"/>
      </w:pPr>
      <w:rPr>
        <w:rFonts w:hint="default"/>
        <w:lang w:val="zh-CN" w:eastAsia="zh-CN" w:bidi="zh-CN"/>
      </w:rPr>
    </w:lvl>
  </w:abstractNum>
  <w:abstractNum w:abstractNumId="59">
    <w:nsid w:val="1C257C7B"/>
    <w:multiLevelType w:val="multilevel"/>
    <w:tmpl w:val="1C257C7B"/>
    <w:lvl w:ilvl="0" w:tentative="0">
      <w:start w:val="6"/>
      <w:numFmt w:val="decimal"/>
      <w:lvlText w:val="%1"/>
      <w:lvlJc w:val="left"/>
      <w:pPr>
        <w:ind w:left="1548" w:hanging="528"/>
      </w:pPr>
      <w:rPr>
        <w:rFonts w:hint="default"/>
        <w:lang w:val="zh-CN" w:eastAsia="zh-CN" w:bidi="zh-CN"/>
      </w:rPr>
    </w:lvl>
    <w:lvl w:ilvl="1" w:tentative="0">
      <w:start w:val="2"/>
      <w:numFmt w:val="decimal"/>
      <w:suff w:val="space"/>
      <w:lvlText w:val="%1.%2"/>
      <w:lvlJc w:val="left"/>
      <w:pPr>
        <w:ind w:left="1548" w:hanging="528"/>
      </w:pPr>
      <w:rPr>
        <w:rFonts w:hint="default" w:ascii="黑体" w:hAnsi="黑体" w:eastAsia="黑体" w:cs="黑体"/>
        <w:b/>
        <w:bCs/>
        <w:spacing w:val="0"/>
        <w:w w:val="99"/>
        <w:sz w:val="30"/>
        <w:szCs w:val="30"/>
        <w:lang w:val="zh-CN" w:eastAsia="zh-CN" w:bidi="zh-CN"/>
      </w:rPr>
    </w:lvl>
    <w:lvl w:ilvl="2" w:tentative="0">
      <w:start w:val="1"/>
      <w:numFmt w:val="decimal"/>
      <w:suff w:val="space"/>
      <w:lvlText w:val="%1.%2.%3"/>
      <w:lvlJc w:val="left"/>
      <w:pPr>
        <w:ind w:left="1795" w:hanging="776"/>
      </w:pPr>
      <w:rPr>
        <w:rFonts w:hint="default" w:ascii="黑体" w:hAnsi="黑体" w:eastAsia="黑体" w:cs="黑体"/>
        <w:b/>
        <w:bCs/>
        <w:spacing w:val="-2"/>
        <w:w w:val="99"/>
        <w:sz w:val="28"/>
        <w:szCs w:val="28"/>
        <w:lang w:val="zh-CN" w:eastAsia="zh-CN" w:bidi="zh-CN"/>
      </w:rPr>
    </w:lvl>
    <w:lvl w:ilvl="3" w:tentative="0">
      <w:start w:val="1"/>
      <w:numFmt w:val="decimal"/>
      <w:suff w:val="space"/>
      <w:lvlText w:val="%1.%2.%3.%4"/>
      <w:lvlJc w:val="left"/>
      <w:pPr>
        <w:ind w:left="2700" w:hanging="1119"/>
      </w:pPr>
      <w:rPr>
        <w:rFonts w:hint="default" w:ascii="黑体" w:hAnsi="黑体" w:eastAsia="黑体" w:cs="黑体"/>
        <w:b/>
        <w:bCs/>
        <w:spacing w:val="-2"/>
        <w:w w:val="99"/>
        <w:sz w:val="24"/>
        <w:szCs w:val="24"/>
        <w:lang w:val="zh-CN" w:eastAsia="zh-CN" w:bidi="zh-CN"/>
      </w:rPr>
    </w:lvl>
    <w:lvl w:ilvl="4" w:tentative="0">
      <w:start w:val="0"/>
      <w:numFmt w:val="bullet"/>
      <w:lvlText w:val="•"/>
      <w:lvlJc w:val="left"/>
      <w:pPr>
        <w:ind w:left="4597" w:hanging="1119"/>
      </w:pPr>
      <w:rPr>
        <w:rFonts w:hint="default"/>
        <w:lang w:val="zh-CN" w:eastAsia="zh-CN" w:bidi="zh-CN"/>
      </w:rPr>
    </w:lvl>
    <w:lvl w:ilvl="5" w:tentative="0">
      <w:start w:val="0"/>
      <w:numFmt w:val="bullet"/>
      <w:lvlText w:val="•"/>
      <w:lvlJc w:val="left"/>
      <w:pPr>
        <w:ind w:left="5546" w:hanging="1119"/>
      </w:pPr>
      <w:rPr>
        <w:rFonts w:hint="default"/>
        <w:lang w:val="zh-CN" w:eastAsia="zh-CN" w:bidi="zh-CN"/>
      </w:rPr>
    </w:lvl>
    <w:lvl w:ilvl="6" w:tentative="0">
      <w:start w:val="0"/>
      <w:numFmt w:val="bullet"/>
      <w:lvlText w:val="•"/>
      <w:lvlJc w:val="left"/>
      <w:pPr>
        <w:ind w:left="6495" w:hanging="1119"/>
      </w:pPr>
      <w:rPr>
        <w:rFonts w:hint="default"/>
        <w:lang w:val="zh-CN" w:eastAsia="zh-CN" w:bidi="zh-CN"/>
      </w:rPr>
    </w:lvl>
    <w:lvl w:ilvl="7" w:tentative="0">
      <w:start w:val="0"/>
      <w:numFmt w:val="bullet"/>
      <w:lvlText w:val="•"/>
      <w:lvlJc w:val="left"/>
      <w:pPr>
        <w:ind w:left="7443" w:hanging="1119"/>
      </w:pPr>
      <w:rPr>
        <w:rFonts w:hint="default"/>
        <w:lang w:val="zh-CN" w:eastAsia="zh-CN" w:bidi="zh-CN"/>
      </w:rPr>
    </w:lvl>
    <w:lvl w:ilvl="8" w:tentative="0">
      <w:start w:val="0"/>
      <w:numFmt w:val="bullet"/>
      <w:lvlText w:val="•"/>
      <w:lvlJc w:val="left"/>
      <w:pPr>
        <w:ind w:left="8392" w:hanging="1119"/>
      </w:pPr>
      <w:rPr>
        <w:rFonts w:hint="default"/>
        <w:lang w:val="zh-CN" w:eastAsia="zh-CN" w:bidi="zh-CN"/>
      </w:rPr>
    </w:lvl>
  </w:abstractNum>
  <w:abstractNum w:abstractNumId="60">
    <w:nsid w:val="20AC1A7D"/>
    <w:multiLevelType w:val="multilevel"/>
    <w:tmpl w:val="20AC1A7D"/>
    <w:lvl w:ilvl="0" w:tentative="0">
      <w:start w:val="1"/>
      <w:numFmt w:val="decimal"/>
      <w:suff w:val="space"/>
      <w:lvlText w:val="(%1)"/>
      <w:lvlJc w:val="left"/>
      <w:pPr>
        <w:ind w:left="420" w:hanging="562"/>
      </w:pPr>
      <w:rPr>
        <w:rFonts w:hint="default"/>
        <w:spacing w:val="-2"/>
        <w:w w:val="100"/>
        <w:lang w:val="zh-CN" w:eastAsia="zh-CN" w:bidi="zh-CN"/>
      </w:rPr>
    </w:lvl>
    <w:lvl w:ilvl="1" w:tentative="0">
      <w:start w:val="0"/>
      <w:numFmt w:val="bullet"/>
      <w:lvlText w:val="•"/>
      <w:lvlJc w:val="left"/>
      <w:pPr>
        <w:ind w:left="1407" w:hanging="562"/>
      </w:pPr>
      <w:rPr>
        <w:rFonts w:hint="default"/>
        <w:lang w:val="zh-CN" w:eastAsia="zh-CN" w:bidi="zh-CN"/>
      </w:rPr>
    </w:lvl>
    <w:lvl w:ilvl="2" w:tentative="0">
      <w:start w:val="0"/>
      <w:numFmt w:val="bullet"/>
      <w:lvlText w:val="•"/>
      <w:lvlJc w:val="left"/>
      <w:pPr>
        <w:ind w:left="2394" w:hanging="562"/>
      </w:pPr>
      <w:rPr>
        <w:rFonts w:hint="default"/>
        <w:lang w:val="zh-CN" w:eastAsia="zh-CN" w:bidi="zh-CN"/>
      </w:rPr>
    </w:lvl>
    <w:lvl w:ilvl="3" w:tentative="0">
      <w:start w:val="0"/>
      <w:numFmt w:val="bullet"/>
      <w:lvlText w:val="•"/>
      <w:lvlJc w:val="left"/>
      <w:pPr>
        <w:ind w:left="3381" w:hanging="562"/>
      </w:pPr>
      <w:rPr>
        <w:rFonts w:hint="default"/>
        <w:lang w:val="zh-CN" w:eastAsia="zh-CN" w:bidi="zh-CN"/>
      </w:rPr>
    </w:lvl>
    <w:lvl w:ilvl="4" w:tentative="0">
      <w:start w:val="0"/>
      <w:numFmt w:val="bullet"/>
      <w:lvlText w:val="•"/>
      <w:lvlJc w:val="left"/>
      <w:pPr>
        <w:ind w:left="4368" w:hanging="562"/>
      </w:pPr>
      <w:rPr>
        <w:rFonts w:hint="default"/>
        <w:lang w:val="zh-CN" w:eastAsia="zh-CN" w:bidi="zh-CN"/>
      </w:rPr>
    </w:lvl>
    <w:lvl w:ilvl="5" w:tentative="0">
      <w:start w:val="0"/>
      <w:numFmt w:val="bullet"/>
      <w:lvlText w:val="•"/>
      <w:lvlJc w:val="left"/>
      <w:pPr>
        <w:ind w:left="5355" w:hanging="562"/>
      </w:pPr>
      <w:rPr>
        <w:rFonts w:hint="default"/>
        <w:lang w:val="zh-CN" w:eastAsia="zh-CN" w:bidi="zh-CN"/>
      </w:rPr>
    </w:lvl>
    <w:lvl w:ilvl="6" w:tentative="0">
      <w:start w:val="0"/>
      <w:numFmt w:val="bullet"/>
      <w:lvlText w:val="•"/>
      <w:lvlJc w:val="left"/>
      <w:pPr>
        <w:ind w:left="6342" w:hanging="562"/>
      </w:pPr>
      <w:rPr>
        <w:rFonts w:hint="default"/>
        <w:lang w:val="zh-CN" w:eastAsia="zh-CN" w:bidi="zh-CN"/>
      </w:rPr>
    </w:lvl>
    <w:lvl w:ilvl="7" w:tentative="0">
      <w:start w:val="0"/>
      <w:numFmt w:val="bullet"/>
      <w:lvlText w:val="•"/>
      <w:lvlJc w:val="left"/>
      <w:pPr>
        <w:ind w:left="7329" w:hanging="562"/>
      </w:pPr>
      <w:rPr>
        <w:rFonts w:hint="default"/>
        <w:lang w:val="zh-CN" w:eastAsia="zh-CN" w:bidi="zh-CN"/>
      </w:rPr>
    </w:lvl>
    <w:lvl w:ilvl="8" w:tentative="0">
      <w:start w:val="0"/>
      <w:numFmt w:val="bullet"/>
      <w:lvlText w:val="•"/>
      <w:lvlJc w:val="left"/>
      <w:pPr>
        <w:ind w:left="8316" w:hanging="562"/>
      </w:pPr>
      <w:rPr>
        <w:rFonts w:hint="default"/>
        <w:lang w:val="zh-CN" w:eastAsia="zh-CN" w:bidi="zh-CN"/>
      </w:rPr>
    </w:lvl>
  </w:abstractNum>
  <w:abstractNum w:abstractNumId="61">
    <w:nsid w:val="21B3B1B1"/>
    <w:multiLevelType w:val="multilevel"/>
    <w:tmpl w:val="21B3B1B1"/>
    <w:lvl w:ilvl="0" w:tentative="0">
      <w:start w:val="5"/>
      <w:numFmt w:val="decimal"/>
      <w:suff w:val="space"/>
      <w:lvlText w:val="（%1）"/>
      <w:lvlJc w:val="left"/>
      <w:pPr>
        <w:ind w:left="420" w:hanging="682"/>
      </w:pPr>
      <w:rPr>
        <w:rFonts w:hint="default" w:ascii="仿宋" w:hAnsi="仿宋" w:eastAsia="仿宋" w:cs="仿宋"/>
        <w:spacing w:val="-12"/>
        <w:w w:val="99"/>
        <w:sz w:val="26"/>
        <w:szCs w:val="26"/>
        <w:lang w:val="zh-CN" w:eastAsia="zh-CN" w:bidi="zh-CN"/>
      </w:rPr>
    </w:lvl>
    <w:lvl w:ilvl="1" w:tentative="0">
      <w:start w:val="0"/>
      <w:numFmt w:val="bullet"/>
      <w:lvlText w:val="•"/>
      <w:lvlJc w:val="left"/>
      <w:pPr>
        <w:ind w:left="1407" w:hanging="682"/>
      </w:pPr>
      <w:rPr>
        <w:rFonts w:hint="default"/>
        <w:lang w:val="zh-CN" w:eastAsia="zh-CN" w:bidi="zh-CN"/>
      </w:rPr>
    </w:lvl>
    <w:lvl w:ilvl="2" w:tentative="0">
      <w:start w:val="0"/>
      <w:numFmt w:val="bullet"/>
      <w:lvlText w:val="•"/>
      <w:lvlJc w:val="left"/>
      <w:pPr>
        <w:ind w:left="2394" w:hanging="682"/>
      </w:pPr>
      <w:rPr>
        <w:rFonts w:hint="default"/>
        <w:lang w:val="zh-CN" w:eastAsia="zh-CN" w:bidi="zh-CN"/>
      </w:rPr>
    </w:lvl>
    <w:lvl w:ilvl="3" w:tentative="0">
      <w:start w:val="0"/>
      <w:numFmt w:val="bullet"/>
      <w:lvlText w:val="•"/>
      <w:lvlJc w:val="left"/>
      <w:pPr>
        <w:ind w:left="3381" w:hanging="682"/>
      </w:pPr>
      <w:rPr>
        <w:rFonts w:hint="default"/>
        <w:lang w:val="zh-CN" w:eastAsia="zh-CN" w:bidi="zh-CN"/>
      </w:rPr>
    </w:lvl>
    <w:lvl w:ilvl="4" w:tentative="0">
      <w:start w:val="0"/>
      <w:numFmt w:val="bullet"/>
      <w:lvlText w:val="•"/>
      <w:lvlJc w:val="left"/>
      <w:pPr>
        <w:ind w:left="4368" w:hanging="682"/>
      </w:pPr>
      <w:rPr>
        <w:rFonts w:hint="default"/>
        <w:lang w:val="zh-CN" w:eastAsia="zh-CN" w:bidi="zh-CN"/>
      </w:rPr>
    </w:lvl>
    <w:lvl w:ilvl="5" w:tentative="0">
      <w:start w:val="0"/>
      <w:numFmt w:val="bullet"/>
      <w:lvlText w:val="•"/>
      <w:lvlJc w:val="left"/>
      <w:pPr>
        <w:ind w:left="5355" w:hanging="682"/>
      </w:pPr>
      <w:rPr>
        <w:rFonts w:hint="default"/>
        <w:lang w:val="zh-CN" w:eastAsia="zh-CN" w:bidi="zh-CN"/>
      </w:rPr>
    </w:lvl>
    <w:lvl w:ilvl="6" w:tentative="0">
      <w:start w:val="0"/>
      <w:numFmt w:val="bullet"/>
      <w:lvlText w:val="•"/>
      <w:lvlJc w:val="left"/>
      <w:pPr>
        <w:ind w:left="6342" w:hanging="682"/>
      </w:pPr>
      <w:rPr>
        <w:rFonts w:hint="default"/>
        <w:lang w:val="zh-CN" w:eastAsia="zh-CN" w:bidi="zh-CN"/>
      </w:rPr>
    </w:lvl>
    <w:lvl w:ilvl="7" w:tentative="0">
      <w:start w:val="0"/>
      <w:numFmt w:val="bullet"/>
      <w:lvlText w:val="•"/>
      <w:lvlJc w:val="left"/>
      <w:pPr>
        <w:ind w:left="7329" w:hanging="682"/>
      </w:pPr>
      <w:rPr>
        <w:rFonts w:hint="default"/>
        <w:lang w:val="zh-CN" w:eastAsia="zh-CN" w:bidi="zh-CN"/>
      </w:rPr>
    </w:lvl>
    <w:lvl w:ilvl="8" w:tentative="0">
      <w:start w:val="0"/>
      <w:numFmt w:val="bullet"/>
      <w:lvlText w:val="•"/>
      <w:lvlJc w:val="left"/>
      <w:pPr>
        <w:ind w:left="8316" w:hanging="682"/>
      </w:pPr>
      <w:rPr>
        <w:rFonts w:hint="default"/>
        <w:lang w:val="zh-CN" w:eastAsia="zh-CN" w:bidi="zh-CN"/>
      </w:rPr>
    </w:lvl>
  </w:abstractNum>
  <w:abstractNum w:abstractNumId="62">
    <w:nsid w:val="22C46BB9"/>
    <w:multiLevelType w:val="multilevel"/>
    <w:tmpl w:val="22C46BB9"/>
    <w:lvl w:ilvl="0" w:tentative="0">
      <w:start w:val="8"/>
      <w:numFmt w:val="japaneseCounting"/>
      <w:lvlText w:val="%1、"/>
      <w:lvlJc w:val="left"/>
      <w:pPr>
        <w:ind w:left="720" w:hanging="720"/>
      </w:pPr>
      <w:rPr>
        <w:rFonts w:hint="default"/>
      </w:rPr>
    </w:lvl>
    <w:lvl w:ilvl="1" w:tentative="0">
      <w:start w:val="8"/>
      <w:numFmt w:val="decimal"/>
      <w:lvlText w:val="%2."/>
      <w:lvlJc w:val="left"/>
      <w:pPr>
        <w:ind w:left="780" w:hanging="360"/>
      </w:pPr>
      <w:rPr>
        <w:rFonts w:hint="default"/>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3">
    <w:nsid w:val="23123911"/>
    <w:multiLevelType w:val="singleLevel"/>
    <w:tmpl w:val="23123911"/>
    <w:lvl w:ilvl="0" w:tentative="0">
      <w:start w:val="1"/>
      <w:numFmt w:val="decimal"/>
      <w:lvlText w:val="(%1)"/>
      <w:lvlJc w:val="left"/>
      <w:pPr>
        <w:ind w:left="0" w:firstLine="272"/>
      </w:pPr>
      <w:rPr>
        <w:rFonts w:hint="default"/>
      </w:rPr>
    </w:lvl>
  </w:abstractNum>
  <w:abstractNum w:abstractNumId="64">
    <w:nsid w:val="23373459"/>
    <w:multiLevelType w:val="multilevel"/>
    <w:tmpl w:val="23373459"/>
    <w:lvl w:ilvl="0" w:tentative="0">
      <w:start w:val="16"/>
      <w:numFmt w:val="decimal"/>
      <w:lvlText w:val="%1"/>
      <w:lvlJc w:val="left"/>
      <w:pPr>
        <w:ind w:left="1015" w:hanging="759"/>
      </w:pPr>
      <w:rPr>
        <w:rFonts w:hint="default"/>
        <w:lang w:val="zh-CN" w:eastAsia="zh-CN" w:bidi="zh-CN"/>
      </w:rPr>
    </w:lvl>
    <w:lvl w:ilvl="1" w:tentative="0">
      <w:start w:val="1"/>
      <w:numFmt w:val="decimal"/>
      <w:suff w:val="space"/>
      <w:lvlText w:val="%1.%2"/>
      <w:lvlJc w:val="left"/>
      <w:pPr>
        <w:ind w:left="0" w:firstLine="0"/>
      </w:pPr>
      <w:rPr>
        <w:rFonts w:hint="default" w:ascii="黑体" w:hAnsi="黑体" w:eastAsia="黑体" w:cs="黑体"/>
        <w:b/>
        <w:bCs/>
        <w:spacing w:val="0"/>
        <w:w w:val="99"/>
        <w:sz w:val="30"/>
        <w:szCs w:val="30"/>
        <w:lang w:val="zh-CN" w:eastAsia="zh-CN" w:bidi="zh-CN"/>
      </w:rPr>
    </w:lvl>
    <w:lvl w:ilvl="2" w:tentative="0">
      <w:start w:val="1"/>
      <w:numFmt w:val="decimal"/>
      <w:lvlText w:val="%1.%2.%3"/>
      <w:lvlJc w:val="left"/>
      <w:pPr>
        <w:ind w:left="1459" w:hanging="912"/>
        <w:jc w:val="right"/>
      </w:pPr>
      <w:rPr>
        <w:rFonts w:hint="default" w:ascii="黑体" w:hAnsi="黑体" w:eastAsia="黑体" w:cs="黑体"/>
        <w:b/>
        <w:bCs/>
        <w:spacing w:val="-19"/>
        <w:w w:val="100"/>
        <w:sz w:val="28"/>
        <w:szCs w:val="28"/>
        <w:lang w:val="zh-CN" w:eastAsia="zh-CN" w:bidi="zh-CN"/>
      </w:rPr>
    </w:lvl>
    <w:lvl w:ilvl="3" w:tentative="0">
      <w:start w:val="0"/>
      <w:numFmt w:val="bullet"/>
      <w:lvlText w:val="•"/>
      <w:lvlJc w:val="left"/>
      <w:pPr>
        <w:ind w:left="2563" w:hanging="912"/>
      </w:pPr>
      <w:rPr>
        <w:rFonts w:hint="default"/>
        <w:lang w:val="zh-CN" w:eastAsia="zh-CN" w:bidi="zh-CN"/>
      </w:rPr>
    </w:lvl>
    <w:lvl w:ilvl="4" w:tentative="0">
      <w:start w:val="0"/>
      <w:numFmt w:val="bullet"/>
      <w:lvlText w:val="•"/>
      <w:lvlJc w:val="left"/>
      <w:pPr>
        <w:ind w:left="3667" w:hanging="912"/>
      </w:pPr>
      <w:rPr>
        <w:rFonts w:hint="default"/>
        <w:lang w:val="zh-CN" w:eastAsia="zh-CN" w:bidi="zh-CN"/>
      </w:rPr>
    </w:lvl>
    <w:lvl w:ilvl="5" w:tentative="0">
      <w:start w:val="0"/>
      <w:numFmt w:val="bullet"/>
      <w:lvlText w:val="•"/>
      <w:lvlJc w:val="left"/>
      <w:pPr>
        <w:ind w:left="4771" w:hanging="912"/>
      </w:pPr>
      <w:rPr>
        <w:rFonts w:hint="default"/>
        <w:lang w:val="zh-CN" w:eastAsia="zh-CN" w:bidi="zh-CN"/>
      </w:rPr>
    </w:lvl>
    <w:lvl w:ilvl="6" w:tentative="0">
      <w:start w:val="0"/>
      <w:numFmt w:val="bullet"/>
      <w:lvlText w:val="•"/>
      <w:lvlJc w:val="left"/>
      <w:pPr>
        <w:ind w:left="5875" w:hanging="912"/>
      </w:pPr>
      <w:rPr>
        <w:rFonts w:hint="default"/>
        <w:lang w:val="zh-CN" w:eastAsia="zh-CN" w:bidi="zh-CN"/>
      </w:rPr>
    </w:lvl>
    <w:lvl w:ilvl="7" w:tentative="0">
      <w:start w:val="0"/>
      <w:numFmt w:val="bullet"/>
      <w:lvlText w:val="•"/>
      <w:lvlJc w:val="left"/>
      <w:pPr>
        <w:ind w:left="6978" w:hanging="912"/>
      </w:pPr>
      <w:rPr>
        <w:rFonts w:hint="default"/>
        <w:lang w:val="zh-CN" w:eastAsia="zh-CN" w:bidi="zh-CN"/>
      </w:rPr>
    </w:lvl>
    <w:lvl w:ilvl="8" w:tentative="0">
      <w:start w:val="0"/>
      <w:numFmt w:val="bullet"/>
      <w:lvlText w:val="•"/>
      <w:lvlJc w:val="left"/>
      <w:pPr>
        <w:ind w:left="8082" w:hanging="912"/>
      </w:pPr>
      <w:rPr>
        <w:rFonts w:hint="default"/>
        <w:lang w:val="zh-CN" w:eastAsia="zh-CN" w:bidi="zh-CN"/>
      </w:rPr>
    </w:lvl>
  </w:abstractNum>
  <w:abstractNum w:abstractNumId="65">
    <w:nsid w:val="23E97754"/>
    <w:multiLevelType w:val="multilevel"/>
    <w:tmpl w:val="23E97754"/>
    <w:lvl w:ilvl="0" w:tentative="0">
      <w:start w:val="1"/>
      <w:numFmt w:val="decimal"/>
      <w:suff w:val="space"/>
      <w:lvlText w:val="(%1)"/>
      <w:lvlJc w:val="left"/>
      <w:pPr>
        <w:ind w:left="1975" w:hanging="399"/>
      </w:pPr>
      <w:rPr>
        <w:rFonts w:hint="default" w:ascii="Times New Roman" w:hAnsi="Times New Roman" w:eastAsia="宋体" w:cs="Times New Roman"/>
        <w:b w:val="0"/>
        <w:bCs w:val="0"/>
        <w:w w:val="100"/>
        <w:sz w:val="24"/>
        <w:szCs w:val="24"/>
        <w:lang w:val="zh-CN" w:eastAsia="zh-CN" w:bidi="zh-CN"/>
      </w:rPr>
    </w:lvl>
    <w:lvl w:ilvl="1" w:tentative="0">
      <w:start w:val="0"/>
      <w:numFmt w:val="bullet"/>
      <w:lvlText w:val="•"/>
      <w:lvlJc w:val="left"/>
      <w:pPr>
        <w:ind w:left="2811" w:hanging="399"/>
      </w:pPr>
      <w:rPr>
        <w:rFonts w:hint="default"/>
        <w:lang w:val="zh-CN" w:eastAsia="zh-CN" w:bidi="zh-CN"/>
      </w:rPr>
    </w:lvl>
    <w:lvl w:ilvl="2" w:tentative="0">
      <w:start w:val="0"/>
      <w:numFmt w:val="bullet"/>
      <w:lvlText w:val="•"/>
      <w:lvlJc w:val="left"/>
      <w:pPr>
        <w:ind w:left="3642" w:hanging="399"/>
      </w:pPr>
      <w:rPr>
        <w:rFonts w:hint="default"/>
        <w:lang w:val="zh-CN" w:eastAsia="zh-CN" w:bidi="zh-CN"/>
      </w:rPr>
    </w:lvl>
    <w:lvl w:ilvl="3" w:tentative="0">
      <w:start w:val="0"/>
      <w:numFmt w:val="bullet"/>
      <w:lvlText w:val="•"/>
      <w:lvlJc w:val="left"/>
      <w:pPr>
        <w:ind w:left="4473" w:hanging="399"/>
      </w:pPr>
      <w:rPr>
        <w:rFonts w:hint="default"/>
        <w:lang w:val="zh-CN" w:eastAsia="zh-CN" w:bidi="zh-CN"/>
      </w:rPr>
    </w:lvl>
    <w:lvl w:ilvl="4" w:tentative="0">
      <w:start w:val="0"/>
      <w:numFmt w:val="bullet"/>
      <w:lvlText w:val="•"/>
      <w:lvlJc w:val="left"/>
      <w:pPr>
        <w:ind w:left="5304" w:hanging="399"/>
      </w:pPr>
      <w:rPr>
        <w:rFonts w:hint="default"/>
        <w:lang w:val="zh-CN" w:eastAsia="zh-CN" w:bidi="zh-CN"/>
      </w:rPr>
    </w:lvl>
    <w:lvl w:ilvl="5" w:tentative="0">
      <w:start w:val="0"/>
      <w:numFmt w:val="bullet"/>
      <w:lvlText w:val="•"/>
      <w:lvlJc w:val="left"/>
      <w:pPr>
        <w:ind w:left="6135" w:hanging="399"/>
      </w:pPr>
      <w:rPr>
        <w:rFonts w:hint="default"/>
        <w:lang w:val="zh-CN" w:eastAsia="zh-CN" w:bidi="zh-CN"/>
      </w:rPr>
    </w:lvl>
    <w:lvl w:ilvl="6" w:tentative="0">
      <w:start w:val="0"/>
      <w:numFmt w:val="bullet"/>
      <w:lvlText w:val="•"/>
      <w:lvlJc w:val="left"/>
      <w:pPr>
        <w:ind w:left="6966" w:hanging="399"/>
      </w:pPr>
      <w:rPr>
        <w:rFonts w:hint="default"/>
        <w:lang w:val="zh-CN" w:eastAsia="zh-CN" w:bidi="zh-CN"/>
      </w:rPr>
    </w:lvl>
    <w:lvl w:ilvl="7" w:tentative="0">
      <w:start w:val="0"/>
      <w:numFmt w:val="bullet"/>
      <w:lvlText w:val="•"/>
      <w:lvlJc w:val="left"/>
      <w:pPr>
        <w:ind w:left="7797" w:hanging="399"/>
      </w:pPr>
      <w:rPr>
        <w:rFonts w:hint="default"/>
        <w:lang w:val="zh-CN" w:eastAsia="zh-CN" w:bidi="zh-CN"/>
      </w:rPr>
    </w:lvl>
    <w:lvl w:ilvl="8" w:tentative="0">
      <w:start w:val="0"/>
      <w:numFmt w:val="bullet"/>
      <w:lvlText w:val="•"/>
      <w:lvlJc w:val="left"/>
      <w:pPr>
        <w:ind w:left="8628" w:hanging="399"/>
      </w:pPr>
      <w:rPr>
        <w:rFonts w:hint="default"/>
        <w:lang w:val="zh-CN" w:eastAsia="zh-CN" w:bidi="zh-CN"/>
      </w:rPr>
    </w:lvl>
  </w:abstractNum>
  <w:abstractNum w:abstractNumId="66">
    <w:nsid w:val="243FCF68"/>
    <w:multiLevelType w:val="multilevel"/>
    <w:tmpl w:val="243FCF68"/>
    <w:lvl w:ilvl="0" w:tentative="0">
      <w:start w:val="4"/>
      <w:numFmt w:val="decimal"/>
      <w:lvlText w:val="%1"/>
      <w:lvlJc w:val="left"/>
      <w:pPr>
        <w:ind w:left="1624" w:hanging="605"/>
      </w:pPr>
      <w:rPr>
        <w:rFonts w:hint="default"/>
        <w:lang w:val="zh-CN" w:eastAsia="zh-CN" w:bidi="zh-CN"/>
      </w:rPr>
    </w:lvl>
    <w:lvl w:ilvl="1" w:tentative="0">
      <w:start w:val="1"/>
      <w:numFmt w:val="decimal"/>
      <w:suff w:val="nothing"/>
      <w:lvlText w:val="%1.%2"/>
      <w:lvlJc w:val="left"/>
      <w:pPr>
        <w:ind w:left="1624" w:hanging="605"/>
      </w:pPr>
      <w:rPr>
        <w:rFonts w:hint="default" w:ascii="黑体" w:hAnsi="黑体" w:eastAsia="黑体" w:cs="黑体"/>
        <w:b/>
        <w:bCs/>
        <w:spacing w:val="0"/>
        <w:w w:val="99"/>
        <w:sz w:val="30"/>
        <w:szCs w:val="30"/>
        <w:lang w:val="zh-CN" w:eastAsia="zh-CN" w:bidi="zh-CN"/>
      </w:rPr>
    </w:lvl>
    <w:lvl w:ilvl="2" w:tentative="0">
      <w:start w:val="1"/>
      <w:numFmt w:val="decimal"/>
      <w:suff w:val="space"/>
      <w:lvlText w:val="%1.%2.%3"/>
      <w:lvlJc w:val="left"/>
      <w:pPr>
        <w:ind w:left="952" w:hanging="730"/>
      </w:pPr>
      <w:rPr>
        <w:rFonts w:hint="default" w:ascii="黑体" w:hAnsi="黑体" w:eastAsia="黑体" w:cs="黑体"/>
        <w:spacing w:val="-11"/>
        <w:w w:val="100"/>
        <w:sz w:val="28"/>
        <w:szCs w:val="28"/>
        <w:lang w:val="zh-CN" w:eastAsia="zh-CN" w:bidi="zh-CN"/>
      </w:rPr>
    </w:lvl>
    <w:lvl w:ilvl="3" w:tentative="0">
      <w:start w:val="1"/>
      <w:numFmt w:val="decimal"/>
      <w:suff w:val="space"/>
      <w:lvlText w:val="(%4)"/>
      <w:lvlJc w:val="left"/>
      <w:pPr>
        <w:ind w:left="880" w:hanging="730"/>
      </w:pPr>
      <w:rPr>
        <w:rFonts w:hint="default" w:ascii="仿宋" w:hAnsi="仿宋" w:eastAsia="仿宋" w:cs="仿宋"/>
        <w:spacing w:val="-2"/>
        <w:w w:val="100"/>
        <w:sz w:val="28"/>
        <w:szCs w:val="28"/>
        <w:lang w:val="zh-CN" w:eastAsia="zh-CN" w:bidi="zh-CN"/>
      </w:rPr>
    </w:lvl>
    <w:lvl w:ilvl="4" w:tentative="0">
      <w:start w:val="3"/>
      <w:numFmt w:val="decimal"/>
      <w:suff w:val="space"/>
      <w:lvlText w:val="(%5)"/>
      <w:lvlJc w:val="left"/>
      <w:pPr>
        <w:ind w:left="1999" w:hanging="423"/>
      </w:pPr>
      <w:rPr>
        <w:rFonts w:hint="default" w:ascii="仿宋" w:hAnsi="仿宋" w:eastAsia="仿宋" w:cs="仿宋"/>
        <w:spacing w:val="-10"/>
        <w:w w:val="99"/>
        <w:sz w:val="26"/>
        <w:szCs w:val="26"/>
        <w:lang w:val="zh-CN" w:eastAsia="zh-CN" w:bidi="zh-CN"/>
      </w:rPr>
    </w:lvl>
    <w:lvl w:ilvl="5" w:tentative="0">
      <w:start w:val="0"/>
      <w:numFmt w:val="bullet"/>
      <w:lvlText w:val="•"/>
      <w:lvlJc w:val="left"/>
      <w:pPr>
        <w:ind w:left="1620" w:hanging="423"/>
      </w:pPr>
      <w:rPr>
        <w:rFonts w:hint="default"/>
        <w:lang w:val="zh-CN" w:eastAsia="zh-CN" w:bidi="zh-CN"/>
      </w:rPr>
    </w:lvl>
    <w:lvl w:ilvl="6" w:tentative="0">
      <w:start w:val="0"/>
      <w:numFmt w:val="bullet"/>
      <w:lvlText w:val="•"/>
      <w:lvlJc w:val="left"/>
      <w:pPr>
        <w:ind w:left="1800" w:hanging="423"/>
      </w:pPr>
      <w:rPr>
        <w:rFonts w:hint="default"/>
        <w:lang w:val="zh-CN" w:eastAsia="zh-CN" w:bidi="zh-CN"/>
      </w:rPr>
    </w:lvl>
    <w:lvl w:ilvl="7" w:tentative="0">
      <w:start w:val="0"/>
      <w:numFmt w:val="bullet"/>
      <w:lvlText w:val="•"/>
      <w:lvlJc w:val="left"/>
      <w:pPr>
        <w:ind w:left="2000" w:hanging="423"/>
      </w:pPr>
      <w:rPr>
        <w:rFonts w:hint="default"/>
        <w:lang w:val="zh-CN" w:eastAsia="zh-CN" w:bidi="zh-CN"/>
      </w:rPr>
    </w:lvl>
    <w:lvl w:ilvl="8" w:tentative="0">
      <w:start w:val="0"/>
      <w:numFmt w:val="bullet"/>
      <w:lvlText w:val="•"/>
      <w:lvlJc w:val="left"/>
      <w:pPr>
        <w:ind w:left="4763" w:hanging="423"/>
      </w:pPr>
      <w:rPr>
        <w:rFonts w:hint="default"/>
        <w:lang w:val="zh-CN" w:eastAsia="zh-CN" w:bidi="zh-CN"/>
      </w:rPr>
    </w:lvl>
  </w:abstractNum>
  <w:abstractNum w:abstractNumId="67">
    <w:nsid w:val="251342A6"/>
    <w:multiLevelType w:val="multilevel"/>
    <w:tmpl w:val="251342A6"/>
    <w:lvl w:ilvl="0" w:tentative="0">
      <w:start w:val="14"/>
      <w:numFmt w:val="decimal"/>
      <w:lvlText w:val="%1"/>
      <w:lvlJc w:val="left"/>
      <w:pPr>
        <w:ind w:left="2006" w:hanging="987"/>
      </w:pPr>
      <w:rPr>
        <w:rFonts w:hint="default"/>
        <w:lang w:val="zh-CN" w:eastAsia="zh-CN" w:bidi="zh-CN"/>
      </w:rPr>
    </w:lvl>
    <w:lvl w:ilvl="1" w:tentative="0">
      <w:start w:val="2"/>
      <w:numFmt w:val="decimal"/>
      <w:lvlText w:val="%1.%2"/>
      <w:lvlJc w:val="left"/>
      <w:pPr>
        <w:ind w:left="2006" w:hanging="987"/>
      </w:pPr>
      <w:rPr>
        <w:rFonts w:hint="default"/>
        <w:lang w:val="zh-CN" w:eastAsia="zh-CN" w:bidi="zh-CN"/>
      </w:rPr>
    </w:lvl>
    <w:lvl w:ilvl="2" w:tentative="0">
      <w:start w:val="1"/>
      <w:numFmt w:val="decimal"/>
      <w:suff w:val="space"/>
      <w:lvlText w:val="%1.%2.%3"/>
      <w:lvlJc w:val="left"/>
      <w:pPr>
        <w:ind w:left="1647" w:hanging="987"/>
      </w:pPr>
      <w:rPr>
        <w:rFonts w:hint="default" w:ascii="黑体" w:hAnsi="黑体" w:eastAsia="黑体" w:cs="黑体"/>
        <w:b/>
        <w:bCs/>
        <w:spacing w:val="-2"/>
        <w:w w:val="99"/>
        <w:sz w:val="28"/>
        <w:szCs w:val="28"/>
        <w:lang w:val="zh-CN" w:eastAsia="zh-CN" w:bidi="zh-CN"/>
      </w:rPr>
    </w:lvl>
    <w:lvl w:ilvl="3" w:tentative="0">
      <w:start w:val="0"/>
      <w:numFmt w:val="bullet"/>
      <w:lvlText w:val="•"/>
      <w:lvlJc w:val="left"/>
      <w:pPr>
        <w:ind w:left="4487" w:hanging="987"/>
      </w:pPr>
      <w:rPr>
        <w:rFonts w:hint="default"/>
        <w:lang w:val="zh-CN" w:eastAsia="zh-CN" w:bidi="zh-CN"/>
      </w:rPr>
    </w:lvl>
    <w:lvl w:ilvl="4" w:tentative="0">
      <w:start w:val="0"/>
      <w:numFmt w:val="bullet"/>
      <w:lvlText w:val="•"/>
      <w:lvlJc w:val="left"/>
      <w:pPr>
        <w:ind w:left="5316" w:hanging="987"/>
      </w:pPr>
      <w:rPr>
        <w:rFonts w:hint="default"/>
        <w:lang w:val="zh-CN" w:eastAsia="zh-CN" w:bidi="zh-CN"/>
      </w:rPr>
    </w:lvl>
    <w:lvl w:ilvl="5" w:tentative="0">
      <w:start w:val="0"/>
      <w:numFmt w:val="bullet"/>
      <w:lvlText w:val="•"/>
      <w:lvlJc w:val="left"/>
      <w:pPr>
        <w:ind w:left="6145" w:hanging="987"/>
      </w:pPr>
      <w:rPr>
        <w:rFonts w:hint="default"/>
        <w:lang w:val="zh-CN" w:eastAsia="zh-CN" w:bidi="zh-CN"/>
      </w:rPr>
    </w:lvl>
    <w:lvl w:ilvl="6" w:tentative="0">
      <w:start w:val="0"/>
      <w:numFmt w:val="bullet"/>
      <w:lvlText w:val="•"/>
      <w:lvlJc w:val="left"/>
      <w:pPr>
        <w:ind w:left="6974" w:hanging="987"/>
      </w:pPr>
      <w:rPr>
        <w:rFonts w:hint="default"/>
        <w:lang w:val="zh-CN" w:eastAsia="zh-CN" w:bidi="zh-CN"/>
      </w:rPr>
    </w:lvl>
    <w:lvl w:ilvl="7" w:tentative="0">
      <w:start w:val="0"/>
      <w:numFmt w:val="bullet"/>
      <w:lvlText w:val="•"/>
      <w:lvlJc w:val="left"/>
      <w:pPr>
        <w:ind w:left="7803" w:hanging="987"/>
      </w:pPr>
      <w:rPr>
        <w:rFonts w:hint="default"/>
        <w:lang w:val="zh-CN" w:eastAsia="zh-CN" w:bidi="zh-CN"/>
      </w:rPr>
    </w:lvl>
    <w:lvl w:ilvl="8" w:tentative="0">
      <w:start w:val="0"/>
      <w:numFmt w:val="bullet"/>
      <w:lvlText w:val="•"/>
      <w:lvlJc w:val="left"/>
      <w:pPr>
        <w:ind w:left="8632" w:hanging="987"/>
      </w:pPr>
      <w:rPr>
        <w:rFonts w:hint="default"/>
        <w:lang w:val="zh-CN" w:eastAsia="zh-CN" w:bidi="zh-CN"/>
      </w:rPr>
    </w:lvl>
  </w:abstractNum>
  <w:abstractNum w:abstractNumId="68">
    <w:nsid w:val="29A54ABB"/>
    <w:multiLevelType w:val="multilevel"/>
    <w:tmpl w:val="29A54ABB"/>
    <w:lvl w:ilvl="0" w:tentative="0">
      <w:start w:val="13"/>
      <w:numFmt w:val="decimal"/>
      <w:lvlText w:val="%1"/>
      <w:lvlJc w:val="left"/>
      <w:pPr>
        <w:ind w:left="1358" w:hanging="682"/>
      </w:pPr>
      <w:rPr>
        <w:rFonts w:hint="default"/>
        <w:lang w:val="zh-CN" w:eastAsia="zh-CN" w:bidi="zh-CN"/>
      </w:rPr>
    </w:lvl>
    <w:lvl w:ilvl="1" w:tentative="0">
      <w:start w:val="1"/>
      <w:numFmt w:val="decimal"/>
      <w:suff w:val="space"/>
      <w:lvlText w:val="%1.%2"/>
      <w:lvlJc w:val="left"/>
      <w:pPr>
        <w:ind w:left="0" w:firstLine="0"/>
      </w:pPr>
      <w:rPr>
        <w:rFonts w:hint="default" w:ascii="黑体" w:hAnsi="黑体" w:eastAsia="黑体" w:cs="黑体"/>
        <w:b/>
        <w:bCs/>
        <w:spacing w:val="0"/>
        <w:w w:val="99"/>
        <w:sz w:val="30"/>
        <w:szCs w:val="30"/>
        <w:lang w:val="zh-CN" w:eastAsia="zh-CN" w:bidi="zh-CN"/>
      </w:rPr>
    </w:lvl>
    <w:lvl w:ilvl="2" w:tentative="0">
      <w:start w:val="1"/>
      <w:numFmt w:val="decimal"/>
      <w:suff w:val="space"/>
      <w:lvlText w:val="(%3)"/>
      <w:lvlJc w:val="left"/>
      <w:pPr>
        <w:ind w:left="1134" w:hanging="680"/>
      </w:pPr>
      <w:rPr>
        <w:rFonts w:hint="default" w:ascii="仿宋" w:hAnsi="仿宋" w:eastAsia="仿宋" w:cs="仿宋"/>
        <w:spacing w:val="-10"/>
        <w:w w:val="99"/>
        <w:sz w:val="26"/>
        <w:szCs w:val="26"/>
        <w:lang w:val="zh-CN" w:eastAsia="zh-CN" w:bidi="zh-CN"/>
      </w:rPr>
    </w:lvl>
    <w:lvl w:ilvl="3" w:tentative="0">
      <w:start w:val="0"/>
      <w:numFmt w:val="bullet"/>
      <w:lvlText w:val="•"/>
      <w:lvlJc w:val="left"/>
      <w:pPr>
        <w:ind w:left="3577" w:hanging="423"/>
      </w:pPr>
      <w:rPr>
        <w:rFonts w:hint="default"/>
        <w:lang w:val="zh-CN" w:eastAsia="zh-CN" w:bidi="zh-CN"/>
      </w:rPr>
    </w:lvl>
    <w:lvl w:ilvl="4" w:tentative="0">
      <w:start w:val="0"/>
      <w:numFmt w:val="bullet"/>
      <w:lvlText w:val="•"/>
      <w:lvlJc w:val="left"/>
      <w:pPr>
        <w:ind w:left="4536" w:hanging="423"/>
      </w:pPr>
      <w:rPr>
        <w:rFonts w:hint="default"/>
        <w:lang w:val="zh-CN" w:eastAsia="zh-CN" w:bidi="zh-CN"/>
      </w:rPr>
    </w:lvl>
    <w:lvl w:ilvl="5" w:tentative="0">
      <w:start w:val="0"/>
      <w:numFmt w:val="bullet"/>
      <w:lvlText w:val="•"/>
      <w:lvlJc w:val="left"/>
      <w:pPr>
        <w:ind w:left="5495" w:hanging="423"/>
      </w:pPr>
      <w:rPr>
        <w:rFonts w:hint="default"/>
        <w:lang w:val="zh-CN" w:eastAsia="zh-CN" w:bidi="zh-CN"/>
      </w:rPr>
    </w:lvl>
    <w:lvl w:ilvl="6" w:tentative="0">
      <w:start w:val="0"/>
      <w:numFmt w:val="bullet"/>
      <w:lvlText w:val="•"/>
      <w:lvlJc w:val="left"/>
      <w:pPr>
        <w:ind w:left="6454" w:hanging="423"/>
      </w:pPr>
      <w:rPr>
        <w:rFonts w:hint="default"/>
        <w:lang w:val="zh-CN" w:eastAsia="zh-CN" w:bidi="zh-CN"/>
      </w:rPr>
    </w:lvl>
    <w:lvl w:ilvl="7" w:tentative="0">
      <w:start w:val="0"/>
      <w:numFmt w:val="bullet"/>
      <w:lvlText w:val="•"/>
      <w:lvlJc w:val="left"/>
      <w:pPr>
        <w:ind w:left="7413" w:hanging="423"/>
      </w:pPr>
      <w:rPr>
        <w:rFonts w:hint="default"/>
        <w:lang w:val="zh-CN" w:eastAsia="zh-CN" w:bidi="zh-CN"/>
      </w:rPr>
    </w:lvl>
    <w:lvl w:ilvl="8" w:tentative="0">
      <w:start w:val="0"/>
      <w:numFmt w:val="bullet"/>
      <w:lvlText w:val="•"/>
      <w:lvlJc w:val="left"/>
      <w:pPr>
        <w:ind w:left="8372" w:hanging="423"/>
      </w:pPr>
      <w:rPr>
        <w:rFonts w:hint="default"/>
        <w:lang w:val="zh-CN" w:eastAsia="zh-CN" w:bidi="zh-CN"/>
      </w:rPr>
    </w:lvl>
  </w:abstractNum>
  <w:abstractNum w:abstractNumId="69">
    <w:nsid w:val="29CB5BFF"/>
    <w:multiLevelType w:val="singleLevel"/>
    <w:tmpl w:val="29CB5BFF"/>
    <w:lvl w:ilvl="0" w:tentative="0">
      <w:start w:val="1"/>
      <w:numFmt w:val="decimal"/>
      <w:lvlText w:val="(%1)"/>
      <w:lvlJc w:val="left"/>
      <w:pPr>
        <w:ind w:left="865" w:hanging="425"/>
      </w:pPr>
      <w:rPr>
        <w:rFonts w:hint="default"/>
      </w:rPr>
    </w:lvl>
  </w:abstractNum>
  <w:abstractNum w:abstractNumId="70">
    <w:nsid w:val="2B3F3F89"/>
    <w:multiLevelType w:val="multilevel"/>
    <w:tmpl w:val="2B3F3F89"/>
    <w:lvl w:ilvl="0" w:tentative="0">
      <w:start w:val="1"/>
      <w:numFmt w:val="decimal"/>
      <w:suff w:val="space"/>
      <w:lvlText w:val="（%1）"/>
      <w:lvlJc w:val="left"/>
      <w:pPr>
        <w:ind w:left="1660" w:hanging="682"/>
      </w:pPr>
      <w:rPr>
        <w:rFonts w:hint="default" w:ascii="仿宋" w:hAnsi="仿宋" w:eastAsia="仿宋" w:cs="仿宋"/>
        <w:spacing w:val="-12"/>
        <w:w w:val="99"/>
        <w:sz w:val="26"/>
        <w:szCs w:val="26"/>
        <w:lang w:val="zh-CN" w:eastAsia="zh-CN" w:bidi="zh-CN"/>
      </w:rPr>
    </w:lvl>
    <w:lvl w:ilvl="1" w:tentative="0">
      <w:start w:val="0"/>
      <w:numFmt w:val="bullet"/>
      <w:lvlText w:val="•"/>
      <w:lvlJc w:val="left"/>
      <w:pPr>
        <w:ind w:left="2523" w:hanging="682"/>
      </w:pPr>
      <w:rPr>
        <w:rFonts w:hint="default"/>
        <w:lang w:val="zh-CN" w:eastAsia="zh-CN" w:bidi="zh-CN"/>
      </w:rPr>
    </w:lvl>
    <w:lvl w:ilvl="2" w:tentative="0">
      <w:start w:val="0"/>
      <w:numFmt w:val="bullet"/>
      <w:lvlText w:val="•"/>
      <w:lvlJc w:val="left"/>
      <w:pPr>
        <w:ind w:left="3386" w:hanging="682"/>
      </w:pPr>
      <w:rPr>
        <w:rFonts w:hint="default"/>
        <w:lang w:val="zh-CN" w:eastAsia="zh-CN" w:bidi="zh-CN"/>
      </w:rPr>
    </w:lvl>
    <w:lvl w:ilvl="3" w:tentative="0">
      <w:start w:val="0"/>
      <w:numFmt w:val="bullet"/>
      <w:lvlText w:val="•"/>
      <w:lvlJc w:val="left"/>
      <w:pPr>
        <w:ind w:left="4249" w:hanging="682"/>
      </w:pPr>
      <w:rPr>
        <w:rFonts w:hint="default"/>
        <w:lang w:val="zh-CN" w:eastAsia="zh-CN" w:bidi="zh-CN"/>
      </w:rPr>
    </w:lvl>
    <w:lvl w:ilvl="4" w:tentative="0">
      <w:start w:val="0"/>
      <w:numFmt w:val="bullet"/>
      <w:lvlText w:val="•"/>
      <w:lvlJc w:val="left"/>
      <w:pPr>
        <w:ind w:left="5112" w:hanging="682"/>
      </w:pPr>
      <w:rPr>
        <w:rFonts w:hint="default"/>
        <w:lang w:val="zh-CN" w:eastAsia="zh-CN" w:bidi="zh-CN"/>
      </w:rPr>
    </w:lvl>
    <w:lvl w:ilvl="5" w:tentative="0">
      <w:start w:val="0"/>
      <w:numFmt w:val="bullet"/>
      <w:lvlText w:val="•"/>
      <w:lvlJc w:val="left"/>
      <w:pPr>
        <w:ind w:left="5975" w:hanging="682"/>
      </w:pPr>
      <w:rPr>
        <w:rFonts w:hint="default"/>
        <w:lang w:val="zh-CN" w:eastAsia="zh-CN" w:bidi="zh-CN"/>
      </w:rPr>
    </w:lvl>
    <w:lvl w:ilvl="6" w:tentative="0">
      <w:start w:val="0"/>
      <w:numFmt w:val="bullet"/>
      <w:lvlText w:val="•"/>
      <w:lvlJc w:val="left"/>
      <w:pPr>
        <w:ind w:left="6838" w:hanging="682"/>
      </w:pPr>
      <w:rPr>
        <w:rFonts w:hint="default"/>
        <w:lang w:val="zh-CN" w:eastAsia="zh-CN" w:bidi="zh-CN"/>
      </w:rPr>
    </w:lvl>
    <w:lvl w:ilvl="7" w:tentative="0">
      <w:start w:val="0"/>
      <w:numFmt w:val="bullet"/>
      <w:lvlText w:val="•"/>
      <w:lvlJc w:val="left"/>
      <w:pPr>
        <w:ind w:left="7701" w:hanging="682"/>
      </w:pPr>
      <w:rPr>
        <w:rFonts w:hint="default"/>
        <w:lang w:val="zh-CN" w:eastAsia="zh-CN" w:bidi="zh-CN"/>
      </w:rPr>
    </w:lvl>
    <w:lvl w:ilvl="8" w:tentative="0">
      <w:start w:val="0"/>
      <w:numFmt w:val="bullet"/>
      <w:lvlText w:val="•"/>
      <w:lvlJc w:val="left"/>
      <w:pPr>
        <w:ind w:left="8564" w:hanging="682"/>
      </w:pPr>
      <w:rPr>
        <w:rFonts w:hint="default"/>
        <w:lang w:val="zh-CN" w:eastAsia="zh-CN" w:bidi="zh-CN"/>
      </w:rPr>
    </w:lvl>
  </w:abstractNum>
  <w:abstractNum w:abstractNumId="71">
    <w:nsid w:val="30A0AC00"/>
    <w:multiLevelType w:val="multilevel"/>
    <w:tmpl w:val="30A0AC00"/>
    <w:lvl w:ilvl="0" w:tentative="0">
      <w:start w:val="1"/>
      <w:numFmt w:val="decimal"/>
      <w:suff w:val="space"/>
      <w:lvlText w:val="(%1)"/>
      <w:lvlJc w:val="left"/>
      <w:pPr>
        <w:ind w:left="2001" w:hanging="425"/>
      </w:pPr>
      <w:rPr>
        <w:rFonts w:hint="default" w:ascii="仿宋" w:hAnsi="仿宋" w:eastAsia="仿宋" w:cs="仿宋"/>
        <w:spacing w:val="-3"/>
        <w:w w:val="99"/>
        <w:sz w:val="26"/>
        <w:szCs w:val="26"/>
        <w:lang w:val="zh-CN" w:eastAsia="zh-CN" w:bidi="zh-CN"/>
      </w:rPr>
    </w:lvl>
    <w:lvl w:ilvl="1" w:tentative="0">
      <w:start w:val="0"/>
      <w:numFmt w:val="bullet"/>
      <w:lvlText w:val="•"/>
      <w:lvlJc w:val="left"/>
      <w:pPr>
        <w:ind w:left="2829" w:hanging="425"/>
      </w:pPr>
      <w:rPr>
        <w:rFonts w:hint="default"/>
        <w:lang w:val="zh-CN" w:eastAsia="zh-CN" w:bidi="zh-CN"/>
      </w:rPr>
    </w:lvl>
    <w:lvl w:ilvl="2" w:tentative="0">
      <w:start w:val="0"/>
      <w:numFmt w:val="bullet"/>
      <w:lvlText w:val="•"/>
      <w:lvlJc w:val="left"/>
      <w:pPr>
        <w:ind w:left="3658" w:hanging="425"/>
      </w:pPr>
      <w:rPr>
        <w:rFonts w:hint="default"/>
        <w:lang w:val="zh-CN" w:eastAsia="zh-CN" w:bidi="zh-CN"/>
      </w:rPr>
    </w:lvl>
    <w:lvl w:ilvl="3" w:tentative="0">
      <w:start w:val="0"/>
      <w:numFmt w:val="bullet"/>
      <w:lvlText w:val="•"/>
      <w:lvlJc w:val="left"/>
      <w:pPr>
        <w:ind w:left="4487" w:hanging="425"/>
      </w:pPr>
      <w:rPr>
        <w:rFonts w:hint="default"/>
        <w:lang w:val="zh-CN" w:eastAsia="zh-CN" w:bidi="zh-CN"/>
      </w:rPr>
    </w:lvl>
    <w:lvl w:ilvl="4" w:tentative="0">
      <w:start w:val="0"/>
      <w:numFmt w:val="bullet"/>
      <w:lvlText w:val="•"/>
      <w:lvlJc w:val="left"/>
      <w:pPr>
        <w:ind w:left="5316" w:hanging="425"/>
      </w:pPr>
      <w:rPr>
        <w:rFonts w:hint="default"/>
        <w:lang w:val="zh-CN" w:eastAsia="zh-CN" w:bidi="zh-CN"/>
      </w:rPr>
    </w:lvl>
    <w:lvl w:ilvl="5" w:tentative="0">
      <w:start w:val="0"/>
      <w:numFmt w:val="bullet"/>
      <w:lvlText w:val="•"/>
      <w:lvlJc w:val="left"/>
      <w:pPr>
        <w:ind w:left="6145" w:hanging="425"/>
      </w:pPr>
      <w:rPr>
        <w:rFonts w:hint="default"/>
        <w:lang w:val="zh-CN" w:eastAsia="zh-CN" w:bidi="zh-CN"/>
      </w:rPr>
    </w:lvl>
    <w:lvl w:ilvl="6" w:tentative="0">
      <w:start w:val="0"/>
      <w:numFmt w:val="bullet"/>
      <w:lvlText w:val="•"/>
      <w:lvlJc w:val="left"/>
      <w:pPr>
        <w:ind w:left="6974" w:hanging="425"/>
      </w:pPr>
      <w:rPr>
        <w:rFonts w:hint="default"/>
        <w:lang w:val="zh-CN" w:eastAsia="zh-CN" w:bidi="zh-CN"/>
      </w:rPr>
    </w:lvl>
    <w:lvl w:ilvl="7" w:tentative="0">
      <w:start w:val="0"/>
      <w:numFmt w:val="bullet"/>
      <w:lvlText w:val="•"/>
      <w:lvlJc w:val="left"/>
      <w:pPr>
        <w:ind w:left="7803" w:hanging="425"/>
      </w:pPr>
      <w:rPr>
        <w:rFonts w:hint="default"/>
        <w:lang w:val="zh-CN" w:eastAsia="zh-CN" w:bidi="zh-CN"/>
      </w:rPr>
    </w:lvl>
    <w:lvl w:ilvl="8" w:tentative="0">
      <w:start w:val="0"/>
      <w:numFmt w:val="bullet"/>
      <w:lvlText w:val="•"/>
      <w:lvlJc w:val="left"/>
      <w:pPr>
        <w:ind w:left="8632" w:hanging="425"/>
      </w:pPr>
      <w:rPr>
        <w:rFonts w:hint="default"/>
        <w:lang w:val="zh-CN" w:eastAsia="zh-CN" w:bidi="zh-CN"/>
      </w:rPr>
    </w:lvl>
  </w:abstractNum>
  <w:abstractNum w:abstractNumId="72">
    <w:nsid w:val="30FC5B15"/>
    <w:multiLevelType w:val="multilevel"/>
    <w:tmpl w:val="30FC5B15"/>
    <w:lvl w:ilvl="0" w:tentative="0">
      <w:start w:val="1"/>
      <w:numFmt w:val="decimal"/>
      <w:suff w:val="space"/>
      <w:lvlText w:val="（%1）"/>
      <w:lvlJc w:val="left"/>
      <w:pPr>
        <w:ind w:left="420" w:hanging="689"/>
      </w:pPr>
      <w:rPr>
        <w:rFonts w:hint="default" w:ascii="仿宋" w:hAnsi="仿宋" w:eastAsia="仿宋" w:cs="仿宋"/>
        <w:spacing w:val="-10"/>
        <w:w w:val="99"/>
        <w:sz w:val="26"/>
        <w:szCs w:val="26"/>
        <w:lang w:val="zh-CN" w:eastAsia="zh-CN" w:bidi="zh-CN"/>
      </w:rPr>
    </w:lvl>
    <w:lvl w:ilvl="1" w:tentative="0">
      <w:start w:val="0"/>
      <w:numFmt w:val="bullet"/>
      <w:lvlText w:val="•"/>
      <w:lvlJc w:val="left"/>
      <w:pPr>
        <w:ind w:left="1407" w:hanging="689"/>
      </w:pPr>
      <w:rPr>
        <w:rFonts w:hint="default"/>
        <w:lang w:val="zh-CN" w:eastAsia="zh-CN" w:bidi="zh-CN"/>
      </w:rPr>
    </w:lvl>
    <w:lvl w:ilvl="2" w:tentative="0">
      <w:start w:val="0"/>
      <w:numFmt w:val="bullet"/>
      <w:lvlText w:val="•"/>
      <w:lvlJc w:val="left"/>
      <w:pPr>
        <w:ind w:left="2394" w:hanging="689"/>
      </w:pPr>
      <w:rPr>
        <w:rFonts w:hint="default"/>
        <w:lang w:val="zh-CN" w:eastAsia="zh-CN" w:bidi="zh-CN"/>
      </w:rPr>
    </w:lvl>
    <w:lvl w:ilvl="3" w:tentative="0">
      <w:start w:val="0"/>
      <w:numFmt w:val="bullet"/>
      <w:lvlText w:val="•"/>
      <w:lvlJc w:val="left"/>
      <w:pPr>
        <w:ind w:left="3381" w:hanging="689"/>
      </w:pPr>
      <w:rPr>
        <w:rFonts w:hint="default"/>
        <w:lang w:val="zh-CN" w:eastAsia="zh-CN" w:bidi="zh-CN"/>
      </w:rPr>
    </w:lvl>
    <w:lvl w:ilvl="4" w:tentative="0">
      <w:start w:val="0"/>
      <w:numFmt w:val="bullet"/>
      <w:lvlText w:val="•"/>
      <w:lvlJc w:val="left"/>
      <w:pPr>
        <w:ind w:left="4368" w:hanging="689"/>
      </w:pPr>
      <w:rPr>
        <w:rFonts w:hint="default"/>
        <w:lang w:val="zh-CN" w:eastAsia="zh-CN" w:bidi="zh-CN"/>
      </w:rPr>
    </w:lvl>
    <w:lvl w:ilvl="5" w:tentative="0">
      <w:start w:val="0"/>
      <w:numFmt w:val="bullet"/>
      <w:lvlText w:val="•"/>
      <w:lvlJc w:val="left"/>
      <w:pPr>
        <w:ind w:left="5355" w:hanging="689"/>
      </w:pPr>
      <w:rPr>
        <w:rFonts w:hint="default"/>
        <w:lang w:val="zh-CN" w:eastAsia="zh-CN" w:bidi="zh-CN"/>
      </w:rPr>
    </w:lvl>
    <w:lvl w:ilvl="6" w:tentative="0">
      <w:start w:val="0"/>
      <w:numFmt w:val="bullet"/>
      <w:lvlText w:val="•"/>
      <w:lvlJc w:val="left"/>
      <w:pPr>
        <w:ind w:left="6342" w:hanging="689"/>
      </w:pPr>
      <w:rPr>
        <w:rFonts w:hint="default"/>
        <w:lang w:val="zh-CN" w:eastAsia="zh-CN" w:bidi="zh-CN"/>
      </w:rPr>
    </w:lvl>
    <w:lvl w:ilvl="7" w:tentative="0">
      <w:start w:val="0"/>
      <w:numFmt w:val="bullet"/>
      <w:lvlText w:val="•"/>
      <w:lvlJc w:val="left"/>
      <w:pPr>
        <w:ind w:left="7329" w:hanging="689"/>
      </w:pPr>
      <w:rPr>
        <w:rFonts w:hint="default"/>
        <w:lang w:val="zh-CN" w:eastAsia="zh-CN" w:bidi="zh-CN"/>
      </w:rPr>
    </w:lvl>
    <w:lvl w:ilvl="8" w:tentative="0">
      <w:start w:val="0"/>
      <w:numFmt w:val="bullet"/>
      <w:lvlText w:val="•"/>
      <w:lvlJc w:val="left"/>
      <w:pPr>
        <w:ind w:left="8316" w:hanging="689"/>
      </w:pPr>
      <w:rPr>
        <w:rFonts w:hint="default"/>
        <w:lang w:val="zh-CN" w:eastAsia="zh-CN" w:bidi="zh-CN"/>
      </w:rPr>
    </w:lvl>
  </w:abstractNum>
  <w:abstractNum w:abstractNumId="73">
    <w:nsid w:val="367742E4"/>
    <w:multiLevelType w:val="multilevel"/>
    <w:tmpl w:val="367742E4"/>
    <w:lvl w:ilvl="0" w:tentative="0">
      <w:start w:val="16"/>
      <w:numFmt w:val="decimal"/>
      <w:lvlText w:val="%1"/>
      <w:lvlJc w:val="left"/>
      <w:pPr>
        <w:ind w:left="1015" w:hanging="759"/>
      </w:pPr>
      <w:rPr>
        <w:rFonts w:hint="default"/>
        <w:lang w:val="zh-CN" w:eastAsia="zh-CN" w:bidi="zh-CN"/>
      </w:rPr>
    </w:lvl>
    <w:lvl w:ilvl="1" w:tentative="0">
      <w:start w:val="1"/>
      <w:numFmt w:val="decimal"/>
      <w:suff w:val="space"/>
      <w:lvlText w:val="%1.%2"/>
      <w:lvlJc w:val="left"/>
      <w:pPr>
        <w:ind w:left="0" w:firstLine="0"/>
      </w:pPr>
      <w:rPr>
        <w:rFonts w:hint="default" w:ascii="黑体" w:hAnsi="黑体" w:eastAsia="黑体" w:cs="黑体"/>
        <w:b/>
        <w:bCs/>
        <w:spacing w:val="0"/>
        <w:w w:val="99"/>
        <w:sz w:val="30"/>
        <w:szCs w:val="30"/>
        <w:lang w:val="zh-CN" w:eastAsia="zh-CN" w:bidi="zh-CN"/>
      </w:rPr>
    </w:lvl>
    <w:lvl w:ilvl="2" w:tentative="0">
      <w:start w:val="1"/>
      <w:numFmt w:val="decimal"/>
      <w:lvlText w:val="%1.%2.%3"/>
      <w:lvlJc w:val="left"/>
      <w:pPr>
        <w:ind w:left="1459" w:hanging="912"/>
        <w:jc w:val="right"/>
      </w:pPr>
      <w:rPr>
        <w:rFonts w:hint="default" w:ascii="黑体" w:hAnsi="黑体" w:eastAsia="黑体" w:cs="黑体"/>
        <w:b/>
        <w:bCs/>
        <w:spacing w:val="-19"/>
        <w:w w:val="100"/>
        <w:sz w:val="28"/>
        <w:szCs w:val="28"/>
        <w:lang w:val="zh-CN" w:eastAsia="zh-CN" w:bidi="zh-CN"/>
      </w:rPr>
    </w:lvl>
    <w:lvl w:ilvl="3" w:tentative="0">
      <w:start w:val="0"/>
      <w:numFmt w:val="bullet"/>
      <w:lvlText w:val="•"/>
      <w:lvlJc w:val="left"/>
      <w:pPr>
        <w:ind w:left="2563" w:hanging="912"/>
      </w:pPr>
      <w:rPr>
        <w:rFonts w:hint="default"/>
        <w:lang w:val="zh-CN" w:eastAsia="zh-CN" w:bidi="zh-CN"/>
      </w:rPr>
    </w:lvl>
    <w:lvl w:ilvl="4" w:tentative="0">
      <w:start w:val="0"/>
      <w:numFmt w:val="bullet"/>
      <w:lvlText w:val="•"/>
      <w:lvlJc w:val="left"/>
      <w:pPr>
        <w:ind w:left="3667" w:hanging="912"/>
      </w:pPr>
      <w:rPr>
        <w:rFonts w:hint="default"/>
        <w:lang w:val="zh-CN" w:eastAsia="zh-CN" w:bidi="zh-CN"/>
      </w:rPr>
    </w:lvl>
    <w:lvl w:ilvl="5" w:tentative="0">
      <w:start w:val="0"/>
      <w:numFmt w:val="bullet"/>
      <w:lvlText w:val="•"/>
      <w:lvlJc w:val="left"/>
      <w:pPr>
        <w:ind w:left="4771" w:hanging="912"/>
      </w:pPr>
      <w:rPr>
        <w:rFonts w:hint="default"/>
        <w:lang w:val="zh-CN" w:eastAsia="zh-CN" w:bidi="zh-CN"/>
      </w:rPr>
    </w:lvl>
    <w:lvl w:ilvl="6" w:tentative="0">
      <w:start w:val="0"/>
      <w:numFmt w:val="bullet"/>
      <w:lvlText w:val="•"/>
      <w:lvlJc w:val="left"/>
      <w:pPr>
        <w:ind w:left="5875" w:hanging="912"/>
      </w:pPr>
      <w:rPr>
        <w:rFonts w:hint="default"/>
        <w:lang w:val="zh-CN" w:eastAsia="zh-CN" w:bidi="zh-CN"/>
      </w:rPr>
    </w:lvl>
    <w:lvl w:ilvl="7" w:tentative="0">
      <w:start w:val="0"/>
      <w:numFmt w:val="bullet"/>
      <w:lvlText w:val="•"/>
      <w:lvlJc w:val="left"/>
      <w:pPr>
        <w:ind w:left="6978" w:hanging="912"/>
      </w:pPr>
      <w:rPr>
        <w:rFonts w:hint="default"/>
        <w:lang w:val="zh-CN" w:eastAsia="zh-CN" w:bidi="zh-CN"/>
      </w:rPr>
    </w:lvl>
    <w:lvl w:ilvl="8" w:tentative="0">
      <w:start w:val="0"/>
      <w:numFmt w:val="bullet"/>
      <w:lvlText w:val="•"/>
      <w:lvlJc w:val="left"/>
      <w:pPr>
        <w:ind w:left="8082" w:hanging="912"/>
      </w:pPr>
      <w:rPr>
        <w:rFonts w:hint="default"/>
        <w:lang w:val="zh-CN" w:eastAsia="zh-CN" w:bidi="zh-CN"/>
      </w:rPr>
    </w:lvl>
  </w:abstractNum>
  <w:abstractNum w:abstractNumId="74">
    <w:nsid w:val="39A0D9AC"/>
    <w:multiLevelType w:val="multilevel"/>
    <w:tmpl w:val="39A0D9AC"/>
    <w:lvl w:ilvl="0" w:tentative="0">
      <w:start w:val="1"/>
      <w:numFmt w:val="decimal"/>
      <w:suff w:val="space"/>
      <w:lvlText w:val="%1)"/>
      <w:lvlJc w:val="left"/>
      <w:pPr>
        <w:ind w:left="1020" w:hanging="315"/>
      </w:pPr>
      <w:rPr>
        <w:rFonts w:hint="default" w:ascii="仿宋" w:hAnsi="仿宋" w:eastAsia="仿宋" w:cs="仿宋"/>
        <w:spacing w:val="-7"/>
        <w:w w:val="100"/>
        <w:sz w:val="28"/>
        <w:szCs w:val="28"/>
        <w:lang w:val="zh-CN" w:eastAsia="zh-CN" w:bidi="zh-CN"/>
      </w:rPr>
    </w:lvl>
    <w:lvl w:ilvl="1" w:tentative="0">
      <w:start w:val="0"/>
      <w:numFmt w:val="bullet"/>
      <w:lvlText w:val="•"/>
      <w:lvlJc w:val="left"/>
      <w:pPr>
        <w:ind w:left="1947" w:hanging="315"/>
      </w:pPr>
      <w:rPr>
        <w:rFonts w:hint="default"/>
        <w:lang w:val="zh-CN" w:eastAsia="zh-CN" w:bidi="zh-CN"/>
      </w:rPr>
    </w:lvl>
    <w:lvl w:ilvl="2" w:tentative="0">
      <w:start w:val="0"/>
      <w:numFmt w:val="bullet"/>
      <w:lvlText w:val="•"/>
      <w:lvlJc w:val="left"/>
      <w:pPr>
        <w:ind w:left="2874" w:hanging="315"/>
      </w:pPr>
      <w:rPr>
        <w:rFonts w:hint="default"/>
        <w:lang w:val="zh-CN" w:eastAsia="zh-CN" w:bidi="zh-CN"/>
      </w:rPr>
    </w:lvl>
    <w:lvl w:ilvl="3" w:tentative="0">
      <w:start w:val="0"/>
      <w:numFmt w:val="bullet"/>
      <w:lvlText w:val="•"/>
      <w:lvlJc w:val="left"/>
      <w:pPr>
        <w:ind w:left="3801" w:hanging="315"/>
      </w:pPr>
      <w:rPr>
        <w:rFonts w:hint="default"/>
        <w:lang w:val="zh-CN" w:eastAsia="zh-CN" w:bidi="zh-CN"/>
      </w:rPr>
    </w:lvl>
    <w:lvl w:ilvl="4" w:tentative="0">
      <w:start w:val="0"/>
      <w:numFmt w:val="bullet"/>
      <w:lvlText w:val="•"/>
      <w:lvlJc w:val="left"/>
      <w:pPr>
        <w:ind w:left="4728" w:hanging="315"/>
      </w:pPr>
      <w:rPr>
        <w:rFonts w:hint="default"/>
        <w:lang w:val="zh-CN" w:eastAsia="zh-CN" w:bidi="zh-CN"/>
      </w:rPr>
    </w:lvl>
    <w:lvl w:ilvl="5" w:tentative="0">
      <w:start w:val="0"/>
      <w:numFmt w:val="bullet"/>
      <w:lvlText w:val="•"/>
      <w:lvlJc w:val="left"/>
      <w:pPr>
        <w:ind w:left="5655" w:hanging="315"/>
      </w:pPr>
      <w:rPr>
        <w:rFonts w:hint="default"/>
        <w:lang w:val="zh-CN" w:eastAsia="zh-CN" w:bidi="zh-CN"/>
      </w:rPr>
    </w:lvl>
    <w:lvl w:ilvl="6" w:tentative="0">
      <w:start w:val="0"/>
      <w:numFmt w:val="bullet"/>
      <w:lvlText w:val="•"/>
      <w:lvlJc w:val="left"/>
      <w:pPr>
        <w:ind w:left="6582" w:hanging="315"/>
      </w:pPr>
      <w:rPr>
        <w:rFonts w:hint="default"/>
        <w:lang w:val="zh-CN" w:eastAsia="zh-CN" w:bidi="zh-CN"/>
      </w:rPr>
    </w:lvl>
    <w:lvl w:ilvl="7" w:tentative="0">
      <w:start w:val="0"/>
      <w:numFmt w:val="bullet"/>
      <w:lvlText w:val="•"/>
      <w:lvlJc w:val="left"/>
      <w:pPr>
        <w:ind w:left="7509" w:hanging="315"/>
      </w:pPr>
      <w:rPr>
        <w:rFonts w:hint="default"/>
        <w:lang w:val="zh-CN" w:eastAsia="zh-CN" w:bidi="zh-CN"/>
      </w:rPr>
    </w:lvl>
    <w:lvl w:ilvl="8" w:tentative="0">
      <w:start w:val="0"/>
      <w:numFmt w:val="bullet"/>
      <w:lvlText w:val="•"/>
      <w:lvlJc w:val="left"/>
      <w:pPr>
        <w:ind w:left="8436" w:hanging="315"/>
      </w:pPr>
      <w:rPr>
        <w:rFonts w:hint="default"/>
        <w:lang w:val="zh-CN" w:eastAsia="zh-CN" w:bidi="zh-CN"/>
      </w:rPr>
    </w:lvl>
  </w:abstractNum>
  <w:abstractNum w:abstractNumId="75">
    <w:nsid w:val="3B8127DF"/>
    <w:multiLevelType w:val="multilevel"/>
    <w:tmpl w:val="3B8127DF"/>
    <w:lvl w:ilvl="0" w:tentative="0">
      <w:start w:val="1"/>
      <w:numFmt w:val="decimal"/>
      <w:suff w:val="space"/>
      <w:lvlText w:val="%1）"/>
      <w:lvlJc w:val="left"/>
      <w:pPr>
        <w:ind w:left="420" w:hanging="411"/>
      </w:pPr>
      <w:rPr>
        <w:rFonts w:hint="default" w:ascii="仿宋" w:hAnsi="仿宋" w:eastAsia="仿宋" w:cs="仿宋"/>
        <w:spacing w:val="-12"/>
        <w:w w:val="99"/>
        <w:sz w:val="26"/>
        <w:szCs w:val="26"/>
        <w:lang w:val="zh-CN" w:eastAsia="zh-CN" w:bidi="zh-CN"/>
      </w:rPr>
    </w:lvl>
    <w:lvl w:ilvl="1" w:tentative="0">
      <w:start w:val="1"/>
      <w:numFmt w:val="decimal"/>
      <w:suff w:val="space"/>
      <w:lvlText w:val="%2)"/>
      <w:lvlJc w:val="left"/>
      <w:pPr>
        <w:ind w:left="420" w:hanging="389"/>
      </w:pPr>
      <w:rPr>
        <w:rFonts w:hint="default" w:ascii="仿宋" w:hAnsi="仿宋" w:eastAsia="仿宋" w:cs="仿宋"/>
        <w:spacing w:val="-4"/>
        <w:w w:val="100"/>
        <w:sz w:val="28"/>
        <w:szCs w:val="28"/>
        <w:lang w:val="zh-CN" w:eastAsia="zh-CN" w:bidi="zh-CN"/>
      </w:rPr>
    </w:lvl>
    <w:lvl w:ilvl="2" w:tentative="0">
      <w:start w:val="0"/>
      <w:numFmt w:val="bullet"/>
      <w:lvlText w:val="•"/>
      <w:lvlJc w:val="left"/>
      <w:pPr>
        <w:ind w:left="2394" w:hanging="389"/>
      </w:pPr>
      <w:rPr>
        <w:rFonts w:hint="default"/>
        <w:lang w:val="zh-CN" w:eastAsia="zh-CN" w:bidi="zh-CN"/>
      </w:rPr>
    </w:lvl>
    <w:lvl w:ilvl="3" w:tentative="0">
      <w:start w:val="0"/>
      <w:numFmt w:val="bullet"/>
      <w:lvlText w:val="•"/>
      <w:lvlJc w:val="left"/>
      <w:pPr>
        <w:ind w:left="3381" w:hanging="389"/>
      </w:pPr>
      <w:rPr>
        <w:rFonts w:hint="default"/>
        <w:lang w:val="zh-CN" w:eastAsia="zh-CN" w:bidi="zh-CN"/>
      </w:rPr>
    </w:lvl>
    <w:lvl w:ilvl="4" w:tentative="0">
      <w:start w:val="0"/>
      <w:numFmt w:val="bullet"/>
      <w:lvlText w:val="•"/>
      <w:lvlJc w:val="left"/>
      <w:pPr>
        <w:ind w:left="4368" w:hanging="389"/>
      </w:pPr>
      <w:rPr>
        <w:rFonts w:hint="default"/>
        <w:lang w:val="zh-CN" w:eastAsia="zh-CN" w:bidi="zh-CN"/>
      </w:rPr>
    </w:lvl>
    <w:lvl w:ilvl="5" w:tentative="0">
      <w:start w:val="0"/>
      <w:numFmt w:val="bullet"/>
      <w:lvlText w:val="•"/>
      <w:lvlJc w:val="left"/>
      <w:pPr>
        <w:ind w:left="5355" w:hanging="389"/>
      </w:pPr>
      <w:rPr>
        <w:rFonts w:hint="default"/>
        <w:lang w:val="zh-CN" w:eastAsia="zh-CN" w:bidi="zh-CN"/>
      </w:rPr>
    </w:lvl>
    <w:lvl w:ilvl="6" w:tentative="0">
      <w:start w:val="0"/>
      <w:numFmt w:val="bullet"/>
      <w:lvlText w:val="•"/>
      <w:lvlJc w:val="left"/>
      <w:pPr>
        <w:ind w:left="6342" w:hanging="389"/>
      </w:pPr>
      <w:rPr>
        <w:rFonts w:hint="default"/>
        <w:lang w:val="zh-CN" w:eastAsia="zh-CN" w:bidi="zh-CN"/>
      </w:rPr>
    </w:lvl>
    <w:lvl w:ilvl="7" w:tentative="0">
      <w:start w:val="0"/>
      <w:numFmt w:val="bullet"/>
      <w:lvlText w:val="•"/>
      <w:lvlJc w:val="left"/>
      <w:pPr>
        <w:ind w:left="7329" w:hanging="389"/>
      </w:pPr>
      <w:rPr>
        <w:rFonts w:hint="default"/>
        <w:lang w:val="zh-CN" w:eastAsia="zh-CN" w:bidi="zh-CN"/>
      </w:rPr>
    </w:lvl>
    <w:lvl w:ilvl="8" w:tentative="0">
      <w:start w:val="0"/>
      <w:numFmt w:val="bullet"/>
      <w:lvlText w:val="•"/>
      <w:lvlJc w:val="left"/>
      <w:pPr>
        <w:ind w:left="8316" w:hanging="389"/>
      </w:pPr>
      <w:rPr>
        <w:rFonts w:hint="default"/>
        <w:lang w:val="zh-CN" w:eastAsia="zh-CN" w:bidi="zh-CN"/>
      </w:rPr>
    </w:lvl>
  </w:abstractNum>
  <w:abstractNum w:abstractNumId="76">
    <w:nsid w:val="40B249F9"/>
    <w:multiLevelType w:val="multilevel"/>
    <w:tmpl w:val="40B249F9"/>
    <w:lvl w:ilvl="0" w:tentative="0">
      <w:start w:val="1"/>
      <w:numFmt w:val="decimal"/>
      <w:suff w:val="space"/>
      <w:lvlText w:val="%1）"/>
      <w:lvlJc w:val="left"/>
      <w:pPr>
        <w:ind w:left="420" w:hanging="425"/>
      </w:pPr>
      <w:rPr>
        <w:rFonts w:hint="default" w:ascii="仿宋" w:hAnsi="仿宋" w:eastAsia="仿宋" w:cs="仿宋"/>
        <w:w w:val="99"/>
        <w:sz w:val="26"/>
        <w:szCs w:val="26"/>
        <w:lang w:val="zh-CN" w:eastAsia="zh-CN" w:bidi="zh-CN"/>
      </w:rPr>
    </w:lvl>
    <w:lvl w:ilvl="1" w:tentative="0">
      <w:start w:val="0"/>
      <w:numFmt w:val="bullet"/>
      <w:lvlText w:val="•"/>
      <w:lvlJc w:val="left"/>
      <w:pPr>
        <w:ind w:left="1407" w:hanging="425"/>
      </w:pPr>
      <w:rPr>
        <w:rFonts w:hint="default"/>
        <w:lang w:val="zh-CN" w:eastAsia="zh-CN" w:bidi="zh-CN"/>
      </w:rPr>
    </w:lvl>
    <w:lvl w:ilvl="2" w:tentative="0">
      <w:start w:val="0"/>
      <w:numFmt w:val="bullet"/>
      <w:lvlText w:val="•"/>
      <w:lvlJc w:val="left"/>
      <w:pPr>
        <w:ind w:left="2394" w:hanging="425"/>
      </w:pPr>
      <w:rPr>
        <w:rFonts w:hint="default"/>
        <w:lang w:val="zh-CN" w:eastAsia="zh-CN" w:bidi="zh-CN"/>
      </w:rPr>
    </w:lvl>
    <w:lvl w:ilvl="3" w:tentative="0">
      <w:start w:val="0"/>
      <w:numFmt w:val="bullet"/>
      <w:lvlText w:val="•"/>
      <w:lvlJc w:val="left"/>
      <w:pPr>
        <w:ind w:left="3381" w:hanging="425"/>
      </w:pPr>
      <w:rPr>
        <w:rFonts w:hint="default"/>
        <w:lang w:val="zh-CN" w:eastAsia="zh-CN" w:bidi="zh-CN"/>
      </w:rPr>
    </w:lvl>
    <w:lvl w:ilvl="4" w:tentative="0">
      <w:start w:val="0"/>
      <w:numFmt w:val="bullet"/>
      <w:lvlText w:val="•"/>
      <w:lvlJc w:val="left"/>
      <w:pPr>
        <w:ind w:left="4368" w:hanging="425"/>
      </w:pPr>
      <w:rPr>
        <w:rFonts w:hint="default"/>
        <w:lang w:val="zh-CN" w:eastAsia="zh-CN" w:bidi="zh-CN"/>
      </w:rPr>
    </w:lvl>
    <w:lvl w:ilvl="5" w:tentative="0">
      <w:start w:val="0"/>
      <w:numFmt w:val="bullet"/>
      <w:lvlText w:val="•"/>
      <w:lvlJc w:val="left"/>
      <w:pPr>
        <w:ind w:left="5355" w:hanging="425"/>
      </w:pPr>
      <w:rPr>
        <w:rFonts w:hint="default"/>
        <w:lang w:val="zh-CN" w:eastAsia="zh-CN" w:bidi="zh-CN"/>
      </w:rPr>
    </w:lvl>
    <w:lvl w:ilvl="6" w:tentative="0">
      <w:start w:val="0"/>
      <w:numFmt w:val="bullet"/>
      <w:lvlText w:val="•"/>
      <w:lvlJc w:val="left"/>
      <w:pPr>
        <w:ind w:left="6342" w:hanging="425"/>
      </w:pPr>
      <w:rPr>
        <w:rFonts w:hint="default"/>
        <w:lang w:val="zh-CN" w:eastAsia="zh-CN" w:bidi="zh-CN"/>
      </w:rPr>
    </w:lvl>
    <w:lvl w:ilvl="7" w:tentative="0">
      <w:start w:val="0"/>
      <w:numFmt w:val="bullet"/>
      <w:lvlText w:val="•"/>
      <w:lvlJc w:val="left"/>
      <w:pPr>
        <w:ind w:left="7329" w:hanging="425"/>
      </w:pPr>
      <w:rPr>
        <w:rFonts w:hint="default"/>
        <w:lang w:val="zh-CN" w:eastAsia="zh-CN" w:bidi="zh-CN"/>
      </w:rPr>
    </w:lvl>
    <w:lvl w:ilvl="8" w:tentative="0">
      <w:start w:val="0"/>
      <w:numFmt w:val="bullet"/>
      <w:lvlText w:val="•"/>
      <w:lvlJc w:val="left"/>
      <w:pPr>
        <w:ind w:left="8316" w:hanging="425"/>
      </w:pPr>
      <w:rPr>
        <w:rFonts w:hint="default"/>
        <w:lang w:val="zh-CN" w:eastAsia="zh-CN" w:bidi="zh-CN"/>
      </w:rPr>
    </w:lvl>
  </w:abstractNum>
  <w:abstractNum w:abstractNumId="77">
    <w:nsid w:val="40F245EA"/>
    <w:multiLevelType w:val="multilevel"/>
    <w:tmpl w:val="40F245EA"/>
    <w:lvl w:ilvl="0" w:tentative="0">
      <w:start w:val="3"/>
      <w:numFmt w:val="decimal"/>
      <w:suff w:val="space"/>
      <w:lvlText w:val="(%1)"/>
      <w:lvlJc w:val="left"/>
      <w:pPr>
        <w:ind w:left="1658" w:hanging="423"/>
      </w:pPr>
      <w:rPr>
        <w:rFonts w:hint="default" w:ascii="仿宋" w:hAnsi="仿宋" w:eastAsia="仿宋" w:cs="仿宋"/>
        <w:spacing w:val="-10"/>
        <w:w w:val="99"/>
        <w:sz w:val="26"/>
        <w:szCs w:val="26"/>
        <w:lang w:val="zh-CN" w:eastAsia="zh-CN" w:bidi="zh-CN"/>
      </w:rPr>
    </w:lvl>
    <w:lvl w:ilvl="1" w:tentative="0">
      <w:start w:val="0"/>
      <w:numFmt w:val="bullet"/>
      <w:lvlText w:val="•"/>
      <w:lvlJc w:val="left"/>
      <w:pPr>
        <w:ind w:left="2523" w:hanging="423"/>
      </w:pPr>
      <w:rPr>
        <w:rFonts w:hint="default"/>
        <w:lang w:val="zh-CN" w:eastAsia="zh-CN" w:bidi="zh-CN"/>
      </w:rPr>
    </w:lvl>
    <w:lvl w:ilvl="2" w:tentative="0">
      <w:start w:val="0"/>
      <w:numFmt w:val="bullet"/>
      <w:lvlText w:val="•"/>
      <w:lvlJc w:val="left"/>
      <w:pPr>
        <w:ind w:left="3386" w:hanging="423"/>
      </w:pPr>
      <w:rPr>
        <w:rFonts w:hint="default"/>
        <w:lang w:val="zh-CN" w:eastAsia="zh-CN" w:bidi="zh-CN"/>
      </w:rPr>
    </w:lvl>
    <w:lvl w:ilvl="3" w:tentative="0">
      <w:start w:val="0"/>
      <w:numFmt w:val="bullet"/>
      <w:lvlText w:val="•"/>
      <w:lvlJc w:val="left"/>
      <w:pPr>
        <w:ind w:left="4249" w:hanging="423"/>
      </w:pPr>
      <w:rPr>
        <w:rFonts w:hint="default"/>
        <w:lang w:val="zh-CN" w:eastAsia="zh-CN" w:bidi="zh-CN"/>
      </w:rPr>
    </w:lvl>
    <w:lvl w:ilvl="4" w:tentative="0">
      <w:start w:val="0"/>
      <w:numFmt w:val="bullet"/>
      <w:lvlText w:val="•"/>
      <w:lvlJc w:val="left"/>
      <w:pPr>
        <w:ind w:left="5112" w:hanging="423"/>
      </w:pPr>
      <w:rPr>
        <w:rFonts w:hint="default"/>
        <w:lang w:val="zh-CN" w:eastAsia="zh-CN" w:bidi="zh-CN"/>
      </w:rPr>
    </w:lvl>
    <w:lvl w:ilvl="5" w:tentative="0">
      <w:start w:val="0"/>
      <w:numFmt w:val="bullet"/>
      <w:lvlText w:val="•"/>
      <w:lvlJc w:val="left"/>
      <w:pPr>
        <w:ind w:left="5975" w:hanging="423"/>
      </w:pPr>
      <w:rPr>
        <w:rFonts w:hint="default"/>
        <w:lang w:val="zh-CN" w:eastAsia="zh-CN" w:bidi="zh-CN"/>
      </w:rPr>
    </w:lvl>
    <w:lvl w:ilvl="6" w:tentative="0">
      <w:start w:val="0"/>
      <w:numFmt w:val="bullet"/>
      <w:lvlText w:val="•"/>
      <w:lvlJc w:val="left"/>
      <w:pPr>
        <w:ind w:left="6838" w:hanging="423"/>
      </w:pPr>
      <w:rPr>
        <w:rFonts w:hint="default"/>
        <w:lang w:val="zh-CN" w:eastAsia="zh-CN" w:bidi="zh-CN"/>
      </w:rPr>
    </w:lvl>
    <w:lvl w:ilvl="7" w:tentative="0">
      <w:start w:val="0"/>
      <w:numFmt w:val="bullet"/>
      <w:lvlText w:val="•"/>
      <w:lvlJc w:val="left"/>
      <w:pPr>
        <w:ind w:left="7701" w:hanging="423"/>
      </w:pPr>
      <w:rPr>
        <w:rFonts w:hint="default"/>
        <w:lang w:val="zh-CN" w:eastAsia="zh-CN" w:bidi="zh-CN"/>
      </w:rPr>
    </w:lvl>
    <w:lvl w:ilvl="8" w:tentative="0">
      <w:start w:val="0"/>
      <w:numFmt w:val="bullet"/>
      <w:lvlText w:val="•"/>
      <w:lvlJc w:val="left"/>
      <w:pPr>
        <w:ind w:left="8564" w:hanging="423"/>
      </w:pPr>
      <w:rPr>
        <w:rFonts w:hint="default"/>
        <w:lang w:val="zh-CN" w:eastAsia="zh-CN" w:bidi="zh-CN"/>
      </w:rPr>
    </w:lvl>
  </w:abstractNum>
  <w:abstractNum w:abstractNumId="78">
    <w:nsid w:val="420A489C"/>
    <w:multiLevelType w:val="multilevel"/>
    <w:tmpl w:val="420A489C"/>
    <w:lvl w:ilvl="0" w:tentative="0">
      <w:start w:val="1"/>
      <w:numFmt w:val="decimal"/>
      <w:suff w:val="space"/>
      <w:lvlText w:val="（%1）"/>
      <w:lvlJc w:val="left"/>
      <w:pPr>
        <w:ind w:left="2122" w:hanging="706"/>
      </w:pPr>
      <w:rPr>
        <w:rFonts w:hint="default" w:ascii="仿宋" w:hAnsi="仿宋" w:eastAsia="仿宋" w:cs="仿宋"/>
        <w:spacing w:val="-3"/>
        <w:w w:val="99"/>
        <w:sz w:val="26"/>
        <w:szCs w:val="26"/>
        <w:lang w:val="zh-CN" w:eastAsia="zh-CN" w:bidi="zh-CN"/>
      </w:rPr>
    </w:lvl>
    <w:lvl w:ilvl="1" w:tentative="0">
      <w:start w:val="0"/>
      <w:numFmt w:val="bullet"/>
      <w:lvlText w:val="•"/>
      <w:lvlJc w:val="left"/>
      <w:pPr>
        <w:ind w:left="2981" w:hanging="706"/>
      </w:pPr>
      <w:rPr>
        <w:rFonts w:hint="default"/>
        <w:lang w:val="zh-CN" w:eastAsia="zh-CN" w:bidi="zh-CN"/>
      </w:rPr>
    </w:lvl>
    <w:lvl w:ilvl="2" w:tentative="0">
      <w:start w:val="0"/>
      <w:numFmt w:val="bullet"/>
      <w:lvlText w:val="•"/>
      <w:lvlJc w:val="left"/>
      <w:pPr>
        <w:ind w:left="3842" w:hanging="706"/>
      </w:pPr>
      <w:rPr>
        <w:rFonts w:hint="default"/>
        <w:lang w:val="zh-CN" w:eastAsia="zh-CN" w:bidi="zh-CN"/>
      </w:rPr>
    </w:lvl>
    <w:lvl w:ilvl="3" w:tentative="0">
      <w:start w:val="0"/>
      <w:numFmt w:val="bullet"/>
      <w:lvlText w:val="•"/>
      <w:lvlJc w:val="left"/>
      <w:pPr>
        <w:ind w:left="4703" w:hanging="706"/>
      </w:pPr>
      <w:rPr>
        <w:rFonts w:hint="default"/>
        <w:lang w:val="zh-CN" w:eastAsia="zh-CN" w:bidi="zh-CN"/>
      </w:rPr>
    </w:lvl>
    <w:lvl w:ilvl="4" w:tentative="0">
      <w:start w:val="0"/>
      <w:numFmt w:val="bullet"/>
      <w:lvlText w:val="•"/>
      <w:lvlJc w:val="left"/>
      <w:pPr>
        <w:ind w:left="5564" w:hanging="706"/>
      </w:pPr>
      <w:rPr>
        <w:rFonts w:hint="default"/>
        <w:lang w:val="zh-CN" w:eastAsia="zh-CN" w:bidi="zh-CN"/>
      </w:rPr>
    </w:lvl>
    <w:lvl w:ilvl="5" w:tentative="0">
      <w:start w:val="0"/>
      <w:numFmt w:val="bullet"/>
      <w:lvlText w:val="•"/>
      <w:lvlJc w:val="left"/>
      <w:pPr>
        <w:ind w:left="6425" w:hanging="706"/>
      </w:pPr>
      <w:rPr>
        <w:rFonts w:hint="default"/>
        <w:lang w:val="zh-CN" w:eastAsia="zh-CN" w:bidi="zh-CN"/>
      </w:rPr>
    </w:lvl>
    <w:lvl w:ilvl="6" w:tentative="0">
      <w:start w:val="0"/>
      <w:numFmt w:val="bullet"/>
      <w:lvlText w:val="•"/>
      <w:lvlJc w:val="left"/>
      <w:pPr>
        <w:ind w:left="7286" w:hanging="706"/>
      </w:pPr>
      <w:rPr>
        <w:rFonts w:hint="default"/>
        <w:lang w:val="zh-CN" w:eastAsia="zh-CN" w:bidi="zh-CN"/>
      </w:rPr>
    </w:lvl>
    <w:lvl w:ilvl="7" w:tentative="0">
      <w:start w:val="0"/>
      <w:numFmt w:val="bullet"/>
      <w:lvlText w:val="•"/>
      <w:lvlJc w:val="left"/>
      <w:pPr>
        <w:ind w:left="8147" w:hanging="706"/>
      </w:pPr>
      <w:rPr>
        <w:rFonts w:hint="default"/>
        <w:lang w:val="zh-CN" w:eastAsia="zh-CN" w:bidi="zh-CN"/>
      </w:rPr>
    </w:lvl>
    <w:lvl w:ilvl="8" w:tentative="0">
      <w:start w:val="0"/>
      <w:numFmt w:val="bullet"/>
      <w:lvlText w:val="•"/>
      <w:lvlJc w:val="left"/>
      <w:pPr>
        <w:ind w:left="9008" w:hanging="706"/>
      </w:pPr>
      <w:rPr>
        <w:rFonts w:hint="default"/>
        <w:lang w:val="zh-CN" w:eastAsia="zh-CN" w:bidi="zh-CN"/>
      </w:rPr>
    </w:lvl>
  </w:abstractNum>
  <w:abstractNum w:abstractNumId="79">
    <w:nsid w:val="46A08BB8"/>
    <w:multiLevelType w:val="multilevel"/>
    <w:tmpl w:val="46A08BB8"/>
    <w:lvl w:ilvl="0" w:tentative="0">
      <w:start w:val="2"/>
      <w:numFmt w:val="decimal"/>
      <w:lvlText w:val="%1"/>
      <w:lvlJc w:val="left"/>
      <w:pPr>
        <w:ind w:left="1248" w:hanging="528"/>
      </w:pPr>
      <w:rPr>
        <w:rFonts w:hint="default"/>
        <w:lang w:val="zh-CN" w:eastAsia="zh-CN" w:bidi="zh-CN"/>
      </w:rPr>
    </w:lvl>
    <w:lvl w:ilvl="1" w:tentative="0">
      <w:start w:val="2"/>
      <w:numFmt w:val="decimal"/>
      <w:lvlText w:val="%1.%2"/>
      <w:lvlJc w:val="left"/>
      <w:pPr>
        <w:ind w:left="1248" w:hanging="528"/>
      </w:pPr>
      <w:rPr>
        <w:rFonts w:hint="default" w:ascii="黑体" w:hAnsi="黑体" w:eastAsia="黑体" w:cs="黑体"/>
        <w:b/>
        <w:bCs/>
        <w:spacing w:val="0"/>
        <w:w w:val="99"/>
        <w:sz w:val="30"/>
        <w:szCs w:val="30"/>
        <w:lang w:val="zh-CN" w:eastAsia="zh-CN" w:bidi="zh-CN"/>
      </w:rPr>
    </w:lvl>
    <w:lvl w:ilvl="2" w:tentative="0">
      <w:start w:val="1"/>
      <w:numFmt w:val="decimal"/>
      <w:suff w:val="space"/>
      <w:lvlText w:val="(%3)"/>
      <w:lvlJc w:val="left"/>
      <w:pPr>
        <w:ind w:left="1622" w:hanging="423"/>
      </w:pPr>
      <w:rPr>
        <w:rFonts w:hint="default"/>
        <w:spacing w:val="-3"/>
        <w:w w:val="99"/>
        <w:lang w:val="zh-CN" w:eastAsia="zh-CN" w:bidi="zh-CN"/>
      </w:rPr>
    </w:lvl>
    <w:lvl w:ilvl="3" w:tentative="0">
      <w:start w:val="0"/>
      <w:numFmt w:val="bullet"/>
      <w:lvlText w:val="•"/>
      <w:lvlJc w:val="left"/>
      <w:pPr>
        <w:ind w:left="3546" w:hanging="423"/>
      </w:pPr>
      <w:rPr>
        <w:rFonts w:hint="default"/>
        <w:lang w:val="zh-CN" w:eastAsia="zh-CN" w:bidi="zh-CN"/>
      </w:rPr>
    </w:lvl>
    <w:lvl w:ilvl="4" w:tentative="0">
      <w:start w:val="0"/>
      <w:numFmt w:val="bullet"/>
      <w:lvlText w:val="•"/>
      <w:lvlJc w:val="left"/>
      <w:pPr>
        <w:ind w:left="4510" w:hanging="423"/>
      </w:pPr>
      <w:rPr>
        <w:rFonts w:hint="default"/>
        <w:lang w:val="zh-CN" w:eastAsia="zh-CN" w:bidi="zh-CN"/>
      </w:rPr>
    </w:lvl>
    <w:lvl w:ilvl="5" w:tentative="0">
      <w:start w:val="0"/>
      <w:numFmt w:val="bullet"/>
      <w:lvlText w:val="•"/>
      <w:lvlJc w:val="left"/>
      <w:pPr>
        <w:ind w:left="5473" w:hanging="423"/>
      </w:pPr>
      <w:rPr>
        <w:rFonts w:hint="default"/>
        <w:lang w:val="zh-CN" w:eastAsia="zh-CN" w:bidi="zh-CN"/>
      </w:rPr>
    </w:lvl>
    <w:lvl w:ilvl="6" w:tentative="0">
      <w:start w:val="0"/>
      <w:numFmt w:val="bullet"/>
      <w:lvlText w:val="•"/>
      <w:lvlJc w:val="left"/>
      <w:pPr>
        <w:ind w:left="6436" w:hanging="423"/>
      </w:pPr>
      <w:rPr>
        <w:rFonts w:hint="default"/>
        <w:lang w:val="zh-CN" w:eastAsia="zh-CN" w:bidi="zh-CN"/>
      </w:rPr>
    </w:lvl>
    <w:lvl w:ilvl="7" w:tentative="0">
      <w:start w:val="0"/>
      <w:numFmt w:val="bullet"/>
      <w:lvlText w:val="•"/>
      <w:lvlJc w:val="left"/>
      <w:pPr>
        <w:ind w:left="7400" w:hanging="423"/>
      </w:pPr>
      <w:rPr>
        <w:rFonts w:hint="default"/>
        <w:lang w:val="zh-CN" w:eastAsia="zh-CN" w:bidi="zh-CN"/>
      </w:rPr>
    </w:lvl>
    <w:lvl w:ilvl="8" w:tentative="0">
      <w:start w:val="0"/>
      <w:numFmt w:val="bullet"/>
      <w:lvlText w:val="•"/>
      <w:lvlJc w:val="left"/>
      <w:pPr>
        <w:ind w:left="8363" w:hanging="423"/>
      </w:pPr>
      <w:rPr>
        <w:rFonts w:hint="default"/>
        <w:lang w:val="zh-CN" w:eastAsia="zh-CN" w:bidi="zh-CN"/>
      </w:rPr>
    </w:lvl>
  </w:abstractNum>
  <w:abstractNum w:abstractNumId="80">
    <w:nsid w:val="4A51D704"/>
    <w:multiLevelType w:val="multilevel"/>
    <w:tmpl w:val="4A51D704"/>
    <w:lvl w:ilvl="0" w:tentative="0">
      <w:start w:val="1"/>
      <w:numFmt w:val="decimal"/>
      <w:suff w:val="space"/>
      <w:lvlText w:val="（%1）"/>
      <w:lvlJc w:val="left"/>
      <w:pPr>
        <w:ind w:left="1020" w:hanging="706"/>
      </w:pPr>
      <w:rPr>
        <w:rFonts w:hint="default" w:ascii="仿宋" w:hAnsi="仿宋" w:eastAsia="仿宋" w:cs="仿宋"/>
        <w:w w:val="99"/>
        <w:sz w:val="26"/>
        <w:szCs w:val="26"/>
        <w:lang w:val="zh-CN" w:eastAsia="zh-CN" w:bidi="zh-CN"/>
      </w:rPr>
    </w:lvl>
    <w:lvl w:ilvl="1" w:tentative="0">
      <w:start w:val="0"/>
      <w:numFmt w:val="bullet"/>
      <w:lvlText w:val="•"/>
      <w:lvlJc w:val="left"/>
      <w:pPr>
        <w:ind w:left="1947" w:hanging="706"/>
      </w:pPr>
      <w:rPr>
        <w:rFonts w:hint="default"/>
        <w:lang w:val="zh-CN" w:eastAsia="zh-CN" w:bidi="zh-CN"/>
      </w:rPr>
    </w:lvl>
    <w:lvl w:ilvl="2" w:tentative="0">
      <w:start w:val="0"/>
      <w:numFmt w:val="bullet"/>
      <w:lvlText w:val="•"/>
      <w:lvlJc w:val="left"/>
      <w:pPr>
        <w:ind w:left="2874" w:hanging="706"/>
      </w:pPr>
      <w:rPr>
        <w:rFonts w:hint="default"/>
        <w:lang w:val="zh-CN" w:eastAsia="zh-CN" w:bidi="zh-CN"/>
      </w:rPr>
    </w:lvl>
    <w:lvl w:ilvl="3" w:tentative="0">
      <w:start w:val="0"/>
      <w:numFmt w:val="bullet"/>
      <w:lvlText w:val="•"/>
      <w:lvlJc w:val="left"/>
      <w:pPr>
        <w:ind w:left="3801" w:hanging="706"/>
      </w:pPr>
      <w:rPr>
        <w:rFonts w:hint="default"/>
        <w:lang w:val="zh-CN" w:eastAsia="zh-CN" w:bidi="zh-CN"/>
      </w:rPr>
    </w:lvl>
    <w:lvl w:ilvl="4" w:tentative="0">
      <w:start w:val="0"/>
      <w:numFmt w:val="bullet"/>
      <w:lvlText w:val="•"/>
      <w:lvlJc w:val="left"/>
      <w:pPr>
        <w:ind w:left="4728" w:hanging="706"/>
      </w:pPr>
      <w:rPr>
        <w:rFonts w:hint="default"/>
        <w:lang w:val="zh-CN" w:eastAsia="zh-CN" w:bidi="zh-CN"/>
      </w:rPr>
    </w:lvl>
    <w:lvl w:ilvl="5" w:tentative="0">
      <w:start w:val="0"/>
      <w:numFmt w:val="bullet"/>
      <w:lvlText w:val="•"/>
      <w:lvlJc w:val="left"/>
      <w:pPr>
        <w:ind w:left="5655" w:hanging="706"/>
      </w:pPr>
      <w:rPr>
        <w:rFonts w:hint="default"/>
        <w:lang w:val="zh-CN" w:eastAsia="zh-CN" w:bidi="zh-CN"/>
      </w:rPr>
    </w:lvl>
    <w:lvl w:ilvl="6" w:tentative="0">
      <w:start w:val="0"/>
      <w:numFmt w:val="bullet"/>
      <w:lvlText w:val="•"/>
      <w:lvlJc w:val="left"/>
      <w:pPr>
        <w:ind w:left="6582" w:hanging="706"/>
      </w:pPr>
      <w:rPr>
        <w:rFonts w:hint="default"/>
        <w:lang w:val="zh-CN" w:eastAsia="zh-CN" w:bidi="zh-CN"/>
      </w:rPr>
    </w:lvl>
    <w:lvl w:ilvl="7" w:tentative="0">
      <w:start w:val="0"/>
      <w:numFmt w:val="bullet"/>
      <w:lvlText w:val="•"/>
      <w:lvlJc w:val="left"/>
      <w:pPr>
        <w:ind w:left="7509" w:hanging="706"/>
      </w:pPr>
      <w:rPr>
        <w:rFonts w:hint="default"/>
        <w:lang w:val="zh-CN" w:eastAsia="zh-CN" w:bidi="zh-CN"/>
      </w:rPr>
    </w:lvl>
    <w:lvl w:ilvl="8" w:tentative="0">
      <w:start w:val="0"/>
      <w:numFmt w:val="bullet"/>
      <w:lvlText w:val="•"/>
      <w:lvlJc w:val="left"/>
      <w:pPr>
        <w:ind w:left="8436" w:hanging="706"/>
      </w:pPr>
      <w:rPr>
        <w:rFonts w:hint="default"/>
        <w:lang w:val="zh-CN" w:eastAsia="zh-CN" w:bidi="zh-CN"/>
      </w:rPr>
    </w:lvl>
  </w:abstractNum>
  <w:abstractNum w:abstractNumId="81">
    <w:nsid w:val="4B5BFC6A"/>
    <w:multiLevelType w:val="multilevel"/>
    <w:tmpl w:val="4B5BFC6A"/>
    <w:lvl w:ilvl="0" w:tentative="0">
      <w:start w:val="3"/>
      <w:numFmt w:val="decimal"/>
      <w:lvlText w:val="%1"/>
      <w:lvlJc w:val="left"/>
      <w:pPr>
        <w:ind w:left="1248" w:hanging="528"/>
      </w:pPr>
      <w:rPr>
        <w:rFonts w:hint="default"/>
        <w:lang w:val="zh-CN" w:eastAsia="zh-CN" w:bidi="zh-CN"/>
      </w:rPr>
    </w:lvl>
    <w:lvl w:ilvl="1" w:tentative="0">
      <w:start w:val="1"/>
      <w:numFmt w:val="decimal"/>
      <w:suff w:val="space"/>
      <w:lvlText w:val="%1.%2"/>
      <w:lvlJc w:val="left"/>
      <w:pPr>
        <w:ind w:left="0" w:firstLine="0"/>
      </w:pPr>
      <w:rPr>
        <w:rFonts w:hint="default" w:ascii="黑体" w:hAnsi="黑体" w:eastAsia="黑体" w:cs="黑体"/>
        <w:b/>
        <w:bCs/>
        <w:spacing w:val="0"/>
        <w:w w:val="99"/>
        <w:sz w:val="30"/>
        <w:szCs w:val="30"/>
        <w:lang w:val="zh-CN" w:eastAsia="zh-CN" w:bidi="zh-CN"/>
      </w:rPr>
    </w:lvl>
    <w:lvl w:ilvl="2" w:tentative="0">
      <w:start w:val="1"/>
      <w:numFmt w:val="decimal"/>
      <w:lvlText w:val="%1.%2.%3"/>
      <w:lvlJc w:val="left"/>
      <w:pPr>
        <w:ind w:left="567" w:firstLine="0"/>
      </w:pPr>
      <w:rPr>
        <w:rFonts w:hint="default" w:ascii="黑体" w:hAnsi="黑体" w:eastAsia="黑体" w:cs="黑体"/>
        <w:b/>
        <w:bCs/>
        <w:spacing w:val="-2"/>
        <w:w w:val="99"/>
        <w:sz w:val="28"/>
        <w:szCs w:val="28"/>
        <w:lang w:val="zh-CN" w:eastAsia="zh-CN" w:bidi="zh-CN"/>
      </w:rPr>
    </w:lvl>
    <w:lvl w:ilvl="3" w:tentative="0">
      <w:start w:val="0"/>
      <w:numFmt w:val="bullet"/>
      <w:lvlText w:val="•"/>
      <w:lvlJc w:val="left"/>
      <w:pPr>
        <w:ind w:left="3453" w:hanging="776"/>
      </w:pPr>
      <w:rPr>
        <w:rFonts w:hint="default"/>
        <w:lang w:val="zh-CN" w:eastAsia="zh-CN" w:bidi="zh-CN"/>
      </w:rPr>
    </w:lvl>
    <w:lvl w:ilvl="4" w:tentative="0">
      <w:start w:val="0"/>
      <w:numFmt w:val="bullet"/>
      <w:lvlText w:val="•"/>
      <w:lvlJc w:val="left"/>
      <w:pPr>
        <w:ind w:left="4430" w:hanging="776"/>
      </w:pPr>
      <w:rPr>
        <w:rFonts w:hint="default"/>
        <w:lang w:val="zh-CN" w:eastAsia="zh-CN" w:bidi="zh-CN"/>
      </w:rPr>
    </w:lvl>
    <w:lvl w:ilvl="5" w:tentative="0">
      <w:start w:val="0"/>
      <w:numFmt w:val="bullet"/>
      <w:lvlText w:val="•"/>
      <w:lvlJc w:val="left"/>
      <w:pPr>
        <w:ind w:left="5406" w:hanging="776"/>
      </w:pPr>
      <w:rPr>
        <w:rFonts w:hint="default"/>
        <w:lang w:val="zh-CN" w:eastAsia="zh-CN" w:bidi="zh-CN"/>
      </w:rPr>
    </w:lvl>
    <w:lvl w:ilvl="6" w:tentative="0">
      <w:start w:val="0"/>
      <w:numFmt w:val="bullet"/>
      <w:lvlText w:val="•"/>
      <w:lvlJc w:val="left"/>
      <w:pPr>
        <w:ind w:left="6383" w:hanging="776"/>
      </w:pPr>
      <w:rPr>
        <w:rFonts w:hint="default"/>
        <w:lang w:val="zh-CN" w:eastAsia="zh-CN" w:bidi="zh-CN"/>
      </w:rPr>
    </w:lvl>
    <w:lvl w:ilvl="7" w:tentative="0">
      <w:start w:val="0"/>
      <w:numFmt w:val="bullet"/>
      <w:lvlText w:val="•"/>
      <w:lvlJc w:val="left"/>
      <w:pPr>
        <w:ind w:left="7360" w:hanging="776"/>
      </w:pPr>
      <w:rPr>
        <w:rFonts w:hint="default"/>
        <w:lang w:val="zh-CN" w:eastAsia="zh-CN" w:bidi="zh-CN"/>
      </w:rPr>
    </w:lvl>
    <w:lvl w:ilvl="8" w:tentative="0">
      <w:start w:val="0"/>
      <w:numFmt w:val="bullet"/>
      <w:lvlText w:val="•"/>
      <w:lvlJc w:val="left"/>
      <w:pPr>
        <w:ind w:left="8336" w:hanging="776"/>
      </w:pPr>
      <w:rPr>
        <w:rFonts w:hint="default"/>
        <w:lang w:val="zh-CN" w:eastAsia="zh-CN" w:bidi="zh-CN"/>
      </w:rPr>
    </w:lvl>
  </w:abstractNum>
  <w:abstractNum w:abstractNumId="82">
    <w:nsid w:val="4C3D7A74"/>
    <w:multiLevelType w:val="multilevel"/>
    <w:tmpl w:val="4C3D7A74"/>
    <w:lvl w:ilvl="0" w:tentative="0">
      <w:start w:val="6"/>
      <w:numFmt w:val="decimal"/>
      <w:lvlText w:val="%1"/>
      <w:lvlJc w:val="left"/>
      <w:pPr>
        <w:ind w:left="1548" w:hanging="528"/>
      </w:pPr>
      <w:rPr>
        <w:rFonts w:hint="default"/>
        <w:lang w:val="zh-CN" w:eastAsia="zh-CN" w:bidi="zh-CN"/>
      </w:rPr>
    </w:lvl>
    <w:lvl w:ilvl="1" w:tentative="0">
      <w:start w:val="1"/>
      <w:numFmt w:val="decimal"/>
      <w:suff w:val="space"/>
      <w:lvlText w:val="%1.%2"/>
      <w:lvlJc w:val="left"/>
      <w:pPr>
        <w:ind w:left="1548" w:hanging="528"/>
      </w:pPr>
      <w:rPr>
        <w:rFonts w:hint="default" w:ascii="黑体" w:hAnsi="黑体" w:eastAsia="黑体" w:cs="黑体"/>
        <w:b/>
        <w:bCs/>
        <w:spacing w:val="0"/>
        <w:w w:val="99"/>
        <w:sz w:val="30"/>
        <w:szCs w:val="30"/>
        <w:lang w:val="zh-CN" w:eastAsia="zh-CN" w:bidi="zh-CN"/>
      </w:rPr>
    </w:lvl>
    <w:lvl w:ilvl="2" w:tentative="0">
      <w:start w:val="1"/>
      <w:numFmt w:val="decimal"/>
      <w:suff w:val="space"/>
      <w:lvlText w:val="%1.%2.%3"/>
      <w:lvlJc w:val="left"/>
      <w:pPr>
        <w:ind w:left="1795" w:hanging="776"/>
      </w:pPr>
      <w:rPr>
        <w:rFonts w:hint="default" w:ascii="黑体" w:hAnsi="黑体" w:eastAsia="黑体" w:cs="黑体"/>
        <w:b/>
        <w:bCs/>
        <w:spacing w:val="-2"/>
        <w:w w:val="99"/>
        <w:sz w:val="28"/>
        <w:szCs w:val="28"/>
        <w:lang w:val="zh-CN" w:eastAsia="zh-CN" w:bidi="zh-CN"/>
      </w:rPr>
    </w:lvl>
    <w:lvl w:ilvl="3" w:tentative="0">
      <w:start w:val="1"/>
      <w:numFmt w:val="decimal"/>
      <w:suff w:val="space"/>
      <w:lvlText w:val="%1.%2.%3.%4"/>
      <w:lvlJc w:val="left"/>
      <w:pPr>
        <w:ind w:left="2640" w:hanging="1059"/>
      </w:pPr>
      <w:rPr>
        <w:rFonts w:hint="default" w:ascii="黑体" w:hAnsi="黑体" w:eastAsia="黑体" w:cs="黑体"/>
        <w:b/>
        <w:bCs/>
        <w:spacing w:val="-2"/>
        <w:w w:val="99"/>
        <w:sz w:val="24"/>
        <w:szCs w:val="24"/>
        <w:lang w:val="zh-CN" w:eastAsia="zh-CN" w:bidi="zh-CN"/>
      </w:rPr>
    </w:lvl>
    <w:lvl w:ilvl="4" w:tentative="0">
      <w:start w:val="0"/>
      <w:numFmt w:val="bullet"/>
      <w:lvlText w:val="•"/>
      <w:lvlJc w:val="left"/>
      <w:pPr>
        <w:ind w:left="4552" w:hanging="1059"/>
      </w:pPr>
      <w:rPr>
        <w:rFonts w:hint="default"/>
        <w:lang w:val="zh-CN" w:eastAsia="zh-CN" w:bidi="zh-CN"/>
      </w:rPr>
    </w:lvl>
    <w:lvl w:ilvl="5" w:tentative="0">
      <w:start w:val="0"/>
      <w:numFmt w:val="bullet"/>
      <w:lvlText w:val="•"/>
      <w:lvlJc w:val="left"/>
      <w:pPr>
        <w:ind w:left="5508" w:hanging="1059"/>
      </w:pPr>
      <w:rPr>
        <w:rFonts w:hint="default"/>
        <w:lang w:val="zh-CN" w:eastAsia="zh-CN" w:bidi="zh-CN"/>
      </w:rPr>
    </w:lvl>
    <w:lvl w:ilvl="6" w:tentative="0">
      <w:start w:val="0"/>
      <w:numFmt w:val="bullet"/>
      <w:lvlText w:val="•"/>
      <w:lvlJc w:val="left"/>
      <w:pPr>
        <w:ind w:left="6465" w:hanging="1059"/>
      </w:pPr>
      <w:rPr>
        <w:rFonts w:hint="default"/>
        <w:lang w:val="zh-CN" w:eastAsia="zh-CN" w:bidi="zh-CN"/>
      </w:rPr>
    </w:lvl>
    <w:lvl w:ilvl="7" w:tentative="0">
      <w:start w:val="0"/>
      <w:numFmt w:val="bullet"/>
      <w:lvlText w:val="•"/>
      <w:lvlJc w:val="left"/>
      <w:pPr>
        <w:ind w:left="7421" w:hanging="1059"/>
      </w:pPr>
      <w:rPr>
        <w:rFonts w:hint="default"/>
        <w:lang w:val="zh-CN" w:eastAsia="zh-CN" w:bidi="zh-CN"/>
      </w:rPr>
    </w:lvl>
    <w:lvl w:ilvl="8" w:tentative="0">
      <w:start w:val="0"/>
      <w:numFmt w:val="bullet"/>
      <w:lvlText w:val="•"/>
      <w:lvlJc w:val="left"/>
      <w:pPr>
        <w:ind w:left="8377" w:hanging="1059"/>
      </w:pPr>
      <w:rPr>
        <w:rFonts w:hint="default"/>
        <w:lang w:val="zh-CN" w:eastAsia="zh-CN" w:bidi="zh-CN"/>
      </w:rPr>
    </w:lvl>
  </w:abstractNum>
  <w:abstractNum w:abstractNumId="83">
    <w:nsid w:val="4CD1E351"/>
    <w:multiLevelType w:val="multilevel"/>
    <w:tmpl w:val="4CD1E351"/>
    <w:lvl w:ilvl="0" w:tentative="0">
      <w:start w:val="1"/>
      <w:numFmt w:val="decimal"/>
      <w:suff w:val="space"/>
      <w:lvlText w:val="（%1）"/>
      <w:lvlJc w:val="left"/>
      <w:pPr>
        <w:ind w:left="1682" w:hanging="706"/>
      </w:pPr>
      <w:rPr>
        <w:rFonts w:hint="default" w:ascii="仿宋" w:hAnsi="仿宋" w:eastAsia="仿宋" w:cs="仿宋"/>
        <w:spacing w:val="-3"/>
        <w:w w:val="99"/>
        <w:sz w:val="26"/>
        <w:szCs w:val="26"/>
        <w:lang w:val="zh-CN" w:eastAsia="zh-CN" w:bidi="zh-CN"/>
      </w:rPr>
    </w:lvl>
    <w:lvl w:ilvl="1" w:tentative="0">
      <w:start w:val="0"/>
      <w:numFmt w:val="bullet"/>
      <w:lvlText w:val="•"/>
      <w:lvlJc w:val="left"/>
      <w:pPr>
        <w:ind w:left="2541" w:hanging="706"/>
      </w:pPr>
      <w:rPr>
        <w:rFonts w:hint="default"/>
        <w:lang w:val="zh-CN" w:eastAsia="zh-CN" w:bidi="zh-CN"/>
      </w:rPr>
    </w:lvl>
    <w:lvl w:ilvl="2" w:tentative="0">
      <w:start w:val="0"/>
      <w:numFmt w:val="bullet"/>
      <w:lvlText w:val="•"/>
      <w:lvlJc w:val="left"/>
      <w:pPr>
        <w:ind w:left="3402" w:hanging="706"/>
      </w:pPr>
      <w:rPr>
        <w:rFonts w:hint="default"/>
        <w:lang w:val="zh-CN" w:eastAsia="zh-CN" w:bidi="zh-CN"/>
      </w:rPr>
    </w:lvl>
    <w:lvl w:ilvl="3" w:tentative="0">
      <w:start w:val="0"/>
      <w:numFmt w:val="bullet"/>
      <w:lvlText w:val="•"/>
      <w:lvlJc w:val="left"/>
      <w:pPr>
        <w:ind w:left="4263" w:hanging="706"/>
      </w:pPr>
      <w:rPr>
        <w:rFonts w:hint="default"/>
        <w:lang w:val="zh-CN" w:eastAsia="zh-CN" w:bidi="zh-CN"/>
      </w:rPr>
    </w:lvl>
    <w:lvl w:ilvl="4" w:tentative="0">
      <w:start w:val="0"/>
      <w:numFmt w:val="bullet"/>
      <w:lvlText w:val="•"/>
      <w:lvlJc w:val="left"/>
      <w:pPr>
        <w:ind w:left="5124" w:hanging="706"/>
      </w:pPr>
      <w:rPr>
        <w:rFonts w:hint="default"/>
        <w:lang w:val="zh-CN" w:eastAsia="zh-CN" w:bidi="zh-CN"/>
      </w:rPr>
    </w:lvl>
    <w:lvl w:ilvl="5" w:tentative="0">
      <w:start w:val="0"/>
      <w:numFmt w:val="bullet"/>
      <w:lvlText w:val="•"/>
      <w:lvlJc w:val="left"/>
      <w:pPr>
        <w:ind w:left="5985" w:hanging="706"/>
      </w:pPr>
      <w:rPr>
        <w:rFonts w:hint="default"/>
        <w:lang w:val="zh-CN" w:eastAsia="zh-CN" w:bidi="zh-CN"/>
      </w:rPr>
    </w:lvl>
    <w:lvl w:ilvl="6" w:tentative="0">
      <w:start w:val="0"/>
      <w:numFmt w:val="bullet"/>
      <w:lvlText w:val="•"/>
      <w:lvlJc w:val="left"/>
      <w:pPr>
        <w:ind w:left="6846" w:hanging="706"/>
      </w:pPr>
      <w:rPr>
        <w:rFonts w:hint="default"/>
        <w:lang w:val="zh-CN" w:eastAsia="zh-CN" w:bidi="zh-CN"/>
      </w:rPr>
    </w:lvl>
    <w:lvl w:ilvl="7" w:tentative="0">
      <w:start w:val="0"/>
      <w:numFmt w:val="bullet"/>
      <w:lvlText w:val="•"/>
      <w:lvlJc w:val="left"/>
      <w:pPr>
        <w:ind w:left="7707" w:hanging="706"/>
      </w:pPr>
      <w:rPr>
        <w:rFonts w:hint="default"/>
        <w:lang w:val="zh-CN" w:eastAsia="zh-CN" w:bidi="zh-CN"/>
      </w:rPr>
    </w:lvl>
    <w:lvl w:ilvl="8" w:tentative="0">
      <w:start w:val="0"/>
      <w:numFmt w:val="bullet"/>
      <w:lvlText w:val="•"/>
      <w:lvlJc w:val="left"/>
      <w:pPr>
        <w:ind w:left="8568" w:hanging="706"/>
      </w:pPr>
      <w:rPr>
        <w:rFonts w:hint="default"/>
        <w:lang w:val="zh-CN" w:eastAsia="zh-CN" w:bidi="zh-CN"/>
      </w:rPr>
    </w:lvl>
  </w:abstractNum>
  <w:abstractNum w:abstractNumId="84">
    <w:nsid w:val="4E4B1131"/>
    <w:multiLevelType w:val="multilevel"/>
    <w:tmpl w:val="4E4B1131"/>
    <w:lvl w:ilvl="0" w:tentative="0">
      <w:start w:val="15"/>
      <w:numFmt w:val="decimal"/>
      <w:lvlText w:val="%1"/>
      <w:lvlJc w:val="left"/>
      <w:pPr>
        <w:ind w:left="1015" w:hanging="759"/>
      </w:pPr>
      <w:rPr>
        <w:rFonts w:hint="default"/>
        <w:lang w:val="zh-CN" w:eastAsia="zh-CN" w:bidi="zh-CN"/>
      </w:rPr>
    </w:lvl>
    <w:lvl w:ilvl="1" w:tentative="0">
      <w:start w:val="1"/>
      <w:numFmt w:val="decimal"/>
      <w:suff w:val="space"/>
      <w:lvlText w:val="%1.%2"/>
      <w:lvlJc w:val="left"/>
      <w:pPr>
        <w:ind w:left="0" w:firstLine="0"/>
      </w:pPr>
      <w:rPr>
        <w:rFonts w:hint="default" w:ascii="黑体" w:hAnsi="黑体" w:eastAsia="黑体" w:cs="黑体"/>
        <w:b/>
        <w:bCs/>
        <w:spacing w:val="0"/>
        <w:w w:val="99"/>
        <w:sz w:val="30"/>
        <w:szCs w:val="30"/>
        <w:lang w:val="zh-CN" w:eastAsia="zh-CN" w:bidi="zh-CN"/>
      </w:rPr>
    </w:lvl>
    <w:lvl w:ilvl="2" w:tentative="0">
      <w:start w:val="1"/>
      <w:numFmt w:val="decimal"/>
      <w:lvlText w:val="(%3)"/>
      <w:lvlJc w:val="left"/>
      <w:pPr>
        <w:ind w:left="679" w:hanging="408"/>
      </w:pPr>
      <w:rPr>
        <w:rFonts w:hint="default" w:ascii="仿宋" w:hAnsi="仿宋" w:eastAsia="仿宋" w:cs="仿宋"/>
        <w:spacing w:val="-12"/>
        <w:w w:val="99"/>
        <w:sz w:val="26"/>
        <w:szCs w:val="26"/>
        <w:lang w:val="zh-CN" w:eastAsia="zh-CN" w:bidi="zh-CN"/>
      </w:rPr>
    </w:lvl>
    <w:lvl w:ilvl="3" w:tentative="0">
      <w:start w:val="0"/>
      <w:numFmt w:val="bullet"/>
      <w:lvlText w:val="•"/>
      <w:lvlJc w:val="left"/>
      <w:pPr>
        <w:ind w:left="3080" w:hanging="408"/>
      </w:pPr>
      <w:rPr>
        <w:rFonts w:hint="default"/>
        <w:lang w:val="zh-CN" w:eastAsia="zh-CN" w:bidi="zh-CN"/>
      </w:rPr>
    </w:lvl>
    <w:lvl w:ilvl="4" w:tentative="0">
      <w:start w:val="0"/>
      <w:numFmt w:val="bullet"/>
      <w:lvlText w:val="•"/>
      <w:lvlJc w:val="left"/>
      <w:pPr>
        <w:ind w:left="4110" w:hanging="408"/>
      </w:pPr>
      <w:rPr>
        <w:rFonts w:hint="default"/>
        <w:lang w:val="zh-CN" w:eastAsia="zh-CN" w:bidi="zh-CN"/>
      </w:rPr>
    </w:lvl>
    <w:lvl w:ilvl="5" w:tentative="0">
      <w:start w:val="0"/>
      <w:numFmt w:val="bullet"/>
      <w:lvlText w:val="•"/>
      <w:lvlJc w:val="left"/>
      <w:pPr>
        <w:ind w:left="5140" w:hanging="408"/>
      </w:pPr>
      <w:rPr>
        <w:rFonts w:hint="default"/>
        <w:lang w:val="zh-CN" w:eastAsia="zh-CN" w:bidi="zh-CN"/>
      </w:rPr>
    </w:lvl>
    <w:lvl w:ilvl="6" w:tentative="0">
      <w:start w:val="0"/>
      <w:numFmt w:val="bullet"/>
      <w:lvlText w:val="•"/>
      <w:lvlJc w:val="left"/>
      <w:pPr>
        <w:ind w:left="6170" w:hanging="408"/>
      </w:pPr>
      <w:rPr>
        <w:rFonts w:hint="default"/>
        <w:lang w:val="zh-CN" w:eastAsia="zh-CN" w:bidi="zh-CN"/>
      </w:rPr>
    </w:lvl>
    <w:lvl w:ilvl="7" w:tentative="0">
      <w:start w:val="0"/>
      <w:numFmt w:val="bullet"/>
      <w:lvlText w:val="•"/>
      <w:lvlJc w:val="left"/>
      <w:pPr>
        <w:ind w:left="7200" w:hanging="408"/>
      </w:pPr>
      <w:rPr>
        <w:rFonts w:hint="default"/>
        <w:lang w:val="zh-CN" w:eastAsia="zh-CN" w:bidi="zh-CN"/>
      </w:rPr>
    </w:lvl>
    <w:lvl w:ilvl="8" w:tentative="0">
      <w:start w:val="0"/>
      <w:numFmt w:val="bullet"/>
      <w:lvlText w:val="•"/>
      <w:lvlJc w:val="left"/>
      <w:pPr>
        <w:ind w:left="8230" w:hanging="408"/>
      </w:pPr>
      <w:rPr>
        <w:rFonts w:hint="default"/>
        <w:lang w:val="zh-CN" w:eastAsia="zh-CN" w:bidi="zh-CN"/>
      </w:rPr>
    </w:lvl>
  </w:abstractNum>
  <w:abstractNum w:abstractNumId="85">
    <w:nsid w:val="51C4BC33"/>
    <w:multiLevelType w:val="multilevel"/>
    <w:tmpl w:val="51C4BC33"/>
    <w:lvl w:ilvl="0" w:tentative="0">
      <w:start w:val="3"/>
      <w:numFmt w:val="decimal"/>
      <w:suff w:val="space"/>
      <w:lvlText w:val="%1)"/>
      <w:lvlJc w:val="left"/>
      <w:pPr>
        <w:ind w:left="1250" w:hanging="274"/>
      </w:pPr>
      <w:rPr>
        <w:rFonts w:hint="default" w:ascii="仿宋" w:hAnsi="仿宋" w:eastAsia="仿宋" w:cs="仿宋"/>
        <w:spacing w:val="-8"/>
        <w:w w:val="99"/>
        <w:sz w:val="26"/>
        <w:szCs w:val="26"/>
        <w:lang w:val="zh-CN" w:eastAsia="zh-CN" w:bidi="zh-CN"/>
      </w:rPr>
    </w:lvl>
    <w:lvl w:ilvl="1" w:tentative="0">
      <w:start w:val="0"/>
      <w:numFmt w:val="bullet"/>
      <w:lvlText w:val="•"/>
      <w:lvlJc w:val="left"/>
      <w:pPr>
        <w:ind w:left="2163" w:hanging="274"/>
      </w:pPr>
      <w:rPr>
        <w:rFonts w:hint="default"/>
        <w:lang w:val="zh-CN" w:eastAsia="zh-CN" w:bidi="zh-CN"/>
      </w:rPr>
    </w:lvl>
    <w:lvl w:ilvl="2" w:tentative="0">
      <w:start w:val="0"/>
      <w:numFmt w:val="bullet"/>
      <w:lvlText w:val="•"/>
      <w:lvlJc w:val="left"/>
      <w:pPr>
        <w:ind w:left="3066" w:hanging="274"/>
      </w:pPr>
      <w:rPr>
        <w:rFonts w:hint="default"/>
        <w:lang w:val="zh-CN" w:eastAsia="zh-CN" w:bidi="zh-CN"/>
      </w:rPr>
    </w:lvl>
    <w:lvl w:ilvl="3" w:tentative="0">
      <w:start w:val="0"/>
      <w:numFmt w:val="bullet"/>
      <w:lvlText w:val="•"/>
      <w:lvlJc w:val="left"/>
      <w:pPr>
        <w:ind w:left="3969" w:hanging="274"/>
      </w:pPr>
      <w:rPr>
        <w:rFonts w:hint="default"/>
        <w:lang w:val="zh-CN" w:eastAsia="zh-CN" w:bidi="zh-CN"/>
      </w:rPr>
    </w:lvl>
    <w:lvl w:ilvl="4" w:tentative="0">
      <w:start w:val="0"/>
      <w:numFmt w:val="bullet"/>
      <w:lvlText w:val="•"/>
      <w:lvlJc w:val="left"/>
      <w:pPr>
        <w:ind w:left="4872" w:hanging="274"/>
      </w:pPr>
      <w:rPr>
        <w:rFonts w:hint="default"/>
        <w:lang w:val="zh-CN" w:eastAsia="zh-CN" w:bidi="zh-CN"/>
      </w:rPr>
    </w:lvl>
    <w:lvl w:ilvl="5" w:tentative="0">
      <w:start w:val="0"/>
      <w:numFmt w:val="bullet"/>
      <w:lvlText w:val="•"/>
      <w:lvlJc w:val="left"/>
      <w:pPr>
        <w:ind w:left="5775" w:hanging="274"/>
      </w:pPr>
      <w:rPr>
        <w:rFonts w:hint="default"/>
        <w:lang w:val="zh-CN" w:eastAsia="zh-CN" w:bidi="zh-CN"/>
      </w:rPr>
    </w:lvl>
    <w:lvl w:ilvl="6" w:tentative="0">
      <w:start w:val="0"/>
      <w:numFmt w:val="bullet"/>
      <w:lvlText w:val="•"/>
      <w:lvlJc w:val="left"/>
      <w:pPr>
        <w:ind w:left="6678" w:hanging="274"/>
      </w:pPr>
      <w:rPr>
        <w:rFonts w:hint="default"/>
        <w:lang w:val="zh-CN" w:eastAsia="zh-CN" w:bidi="zh-CN"/>
      </w:rPr>
    </w:lvl>
    <w:lvl w:ilvl="7" w:tentative="0">
      <w:start w:val="0"/>
      <w:numFmt w:val="bullet"/>
      <w:lvlText w:val="•"/>
      <w:lvlJc w:val="left"/>
      <w:pPr>
        <w:ind w:left="7581" w:hanging="274"/>
      </w:pPr>
      <w:rPr>
        <w:rFonts w:hint="default"/>
        <w:lang w:val="zh-CN" w:eastAsia="zh-CN" w:bidi="zh-CN"/>
      </w:rPr>
    </w:lvl>
    <w:lvl w:ilvl="8" w:tentative="0">
      <w:start w:val="0"/>
      <w:numFmt w:val="bullet"/>
      <w:lvlText w:val="•"/>
      <w:lvlJc w:val="left"/>
      <w:pPr>
        <w:ind w:left="8484" w:hanging="274"/>
      </w:pPr>
      <w:rPr>
        <w:rFonts w:hint="default"/>
        <w:lang w:val="zh-CN" w:eastAsia="zh-CN" w:bidi="zh-CN"/>
      </w:rPr>
    </w:lvl>
  </w:abstractNum>
  <w:abstractNum w:abstractNumId="86">
    <w:nsid w:val="54701CA1"/>
    <w:multiLevelType w:val="multilevel"/>
    <w:tmpl w:val="54701CA1"/>
    <w:lvl w:ilvl="0" w:tentative="0">
      <w:start w:val="1"/>
      <w:numFmt w:val="decimal"/>
      <w:suff w:val="space"/>
      <w:lvlText w:val="（%1）"/>
      <w:lvlJc w:val="left"/>
      <w:pPr>
        <w:ind w:left="420" w:hanging="682"/>
      </w:pPr>
      <w:rPr>
        <w:rFonts w:hint="default" w:ascii="仿宋" w:hAnsi="仿宋" w:eastAsia="仿宋" w:cs="仿宋"/>
        <w:spacing w:val="-12"/>
        <w:w w:val="99"/>
        <w:sz w:val="26"/>
        <w:szCs w:val="26"/>
        <w:lang w:val="zh-CN" w:eastAsia="zh-CN" w:bidi="zh-CN"/>
      </w:rPr>
    </w:lvl>
    <w:lvl w:ilvl="1" w:tentative="0">
      <w:start w:val="0"/>
      <w:numFmt w:val="bullet"/>
      <w:lvlText w:val="•"/>
      <w:lvlJc w:val="left"/>
      <w:pPr>
        <w:ind w:left="1407" w:hanging="682"/>
      </w:pPr>
      <w:rPr>
        <w:rFonts w:hint="default"/>
        <w:lang w:val="zh-CN" w:eastAsia="zh-CN" w:bidi="zh-CN"/>
      </w:rPr>
    </w:lvl>
    <w:lvl w:ilvl="2" w:tentative="0">
      <w:start w:val="0"/>
      <w:numFmt w:val="bullet"/>
      <w:lvlText w:val="•"/>
      <w:lvlJc w:val="left"/>
      <w:pPr>
        <w:ind w:left="2394" w:hanging="682"/>
      </w:pPr>
      <w:rPr>
        <w:rFonts w:hint="default"/>
        <w:lang w:val="zh-CN" w:eastAsia="zh-CN" w:bidi="zh-CN"/>
      </w:rPr>
    </w:lvl>
    <w:lvl w:ilvl="3" w:tentative="0">
      <w:start w:val="0"/>
      <w:numFmt w:val="bullet"/>
      <w:lvlText w:val="•"/>
      <w:lvlJc w:val="left"/>
      <w:pPr>
        <w:ind w:left="3381" w:hanging="682"/>
      </w:pPr>
      <w:rPr>
        <w:rFonts w:hint="default"/>
        <w:lang w:val="zh-CN" w:eastAsia="zh-CN" w:bidi="zh-CN"/>
      </w:rPr>
    </w:lvl>
    <w:lvl w:ilvl="4" w:tentative="0">
      <w:start w:val="0"/>
      <w:numFmt w:val="bullet"/>
      <w:lvlText w:val="•"/>
      <w:lvlJc w:val="left"/>
      <w:pPr>
        <w:ind w:left="4368" w:hanging="682"/>
      </w:pPr>
      <w:rPr>
        <w:rFonts w:hint="default"/>
        <w:lang w:val="zh-CN" w:eastAsia="zh-CN" w:bidi="zh-CN"/>
      </w:rPr>
    </w:lvl>
    <w:lvl w:ilvl="5" w:tentative="0">
      <w:start w:val="0"/>
      <w:numFmt w:val="bullet"/>
      <w:lvlText w:val="•"/>
      <w:lvlJc w:val="left"/>
      <w:pPr>
        <w:ind w:left="5355" w:hanging="682"/>
      </w:pPr>
      <w:rPr>
        <w:rFonts w:hint="default"/>
        <w:lang w:val="zh-CN" w:eastAsia="zh-CN" w:bidi="zh-CN"/>
      </w:rPr>
    </w:lvl>
    <w:lvl w:ilvl="6" w:tentative="0">
      <w:start w:val="0"/>
      <w:numFmt w:val="bullet"/>
      <w:lvlText w:val="•"/>
      <w:lvlJc w:val="left"/>
      <w:pPr>
        <w:ind w:left="6342" w:hanging="682"/>
      </w:pPr>
      <w:rPr>
        <w:rFonts w:hint="default"/>
        <w:lang w:val="zh-CN" w:eastAsia="zh-CN" w:bidi="zh-CN"/>
      </w:rPr>
    </w:lvl>
    <w:lvl w:ilvl="7" w:tentative="0">
      <w:start w:val="0"/>
      <w:numFmt w:val="bullet"/>
      <w:lvlText w:val="•"/>
      <w:lvlJc w:val="left"/>
      <w:pPr>
        <w:ind w:left="7329" w:hanging="682"/>
      </w:pPr>
      <w:rPr>
        <w:rFonts w:hint="default"/>
        <w:lang w:val="zh-CN" w:eastAsia="zh-CN" w:bidi="zh-CN"/>
      </w:rPr>
    </w:lvl>
    <w:lvl w:ilvl="8" w:tentative="0">
      <w:start w:val="0"/>
      <w:numFmt w:val="bullet"/>
      <w:lvlText w:val="•"/>
      <w:lvlJc w:val="left"/>
      <w:pPr>
        <w:ind w:left="8316" w:hanging="682"/>
      </w:pPr>
      <w:rPr>
        <w:rFonts w:hint="default"/>
        <w:lang w:val="zh-CN" w:eastAsia="zh-CN" w:bidi="zh-CN"/>
      </w:rPr>
    </w:lvl>
  </w:abstractNum>
  <w:abstractNum w:abstractNumId="87">
    <w:nsid w:val="58765686"/>
    <w:multiLevelType w:val="multilevel"/>
    <w:tmpl w:val="58765686"/>
    <w:lvl w:ilvl="0" w:tentative="0">
      <w:start w:val="4"/>
      <w:numFmt w:val="decimal"/>
      <w:suff w:val="space"/>
      <w:lvlText w:val="(%1)"/>
      <w:lvlJc w:val="left"/>
      <w:pPr>
        <w:ind w:left="1999" w:hanging="423"/>
      </w:pPr>
      <w:rPr>
        <w:rFonts w:hint="default" w:ascii="仿宋" w:hAnsi="仿宋" w:eastAsia="仿宋" w:cs="仿宋"/>
        <w:spacing w:val="-3"/>
        <w:w w:val="99"/>
        <w:sz w:val="26"/>
        <w:szCs w:val="26"/>
        <w:lang w:val="zh-CN" w:eastAsia="zh-CN" w:bidi="zh-CN"/>
      </w:rPr>
    </w:lvl>
    <w:lvl w:ilvl="1" w:tentative="0">
      <w:start w:val="0"/>
      <w:numFmt w:val="bullet"/>
      <w:lvlText w:val="•"/>
      <w:lvlJc w:val="left"/>
      <w:pPr>
        <w:ind w:left="2829" w:hanging="423"/>
      </w:pPr>
      <w:rPr>
        <w:rFonts w:hint="default"/>
        <w:lang w:val="zh-CN" w:eastAsia="zh-CN" w:bidi="zh-CN"/>
      </w:rPr>
    </w:lvl>
    <w:lvl w:ilvl="2" w:tentative="0">
      <w:start w:val="0"/>
      <w:numFmt w:val="bullet"/>
      <w:lvlText w:val="•"/>
      <w:lvlJc w:val="left"/>
      <w:pPr>
        <w:ind w:left="3658" w:hanging="423"/>
      </w:pPr>
      <w:rPr>
        <w:rFonts w:hint="default"/>
        <w:lang w:val="zh-CN" w:eastAsia="zh-CN" w:bidi="zh-CN"/>
      </w:rPr>
    </w:lvl>
    <w:lvl w:ilvl="3" w:tentative="0">
      <w:start w:val="0"/>
      <w:numFmt w:val="bullet"/>
      <w:lvlText w:val="•"/>
      <w:lvlJc w:val="left"/>
      <w:pPr>
        <w:ind w:left="4487" w:hanging="423"/>
      </w:pPr>
      <w:rPr>
        <w:rFonts w:hint="default"/>
        <w:lang w:val="zh-CN" w:eastAsia="zh-CN" w:bidi="zh-CN"/>
      </w:rPr>
    </w:lvl>
    <w:lvl w:ilvl="4" w:tentative="0">
      <w:start w:val="0"/>
      <w:numFmt w:val="bullet"/>
      <w:lvlText w:val="•"/>
      <w:lvlJc w:val="left"/>
      <w:pPr>
        <w:ind w:left="5316" w:hanging="423"/>
      </w:pPr>
      <w:rPr>
        <w:rFonts w:hint="default"/>
        <w:lang w:val="zh-CN" w:eastAsia="zh-CN" w:bidi="zh-CN"/>
      </w:rPr>
    </w:lvl>
    <w:lvl w:ilvl="5" w:tentative="0">
      <w:start w:val="0"/>
      <w:numFmt w:val="bullet"/>
      <w:lvlText w:val="•"/>
      <w:lvlJc w:val="left"/>
      <w:pPr>
        <w:ind w:left="6145" w:hanging="423"/>
      </w:pPr>
      <w:rPr>
        <w:rFonts w:hint="default"/>
        <w:lang w:val="zh-CN" w:eastAsia="zh-CN" w:bidi="zh-CN"/>
      </w:rPr>
    </w:lvl>
    <w:lvl w:ilvl="6" w:tentative="0">
      <w:start w:val="0"/>
      <w:numFmt w:val="bullet"/>
      <w:lvlText w:val="•"/>
      <w:lvlJc w:val="left"/>
      <w:pPr>
        <w:ind w:left="6974" w:hanging="423"/>
      </w:pPr>
      <w:rPr>
        <w:rFonts w:hint="default"/>
        <w:lang w:val="zh-CN" w:eastAsia="zh-CN" w:bidi="zh-CN"/>
      </w:rPr>
    </w:lvl>
    <w:lvl w:ilvl="7" w:tentative="0">
      <w:start w:val="0"/>
      <w:numFmt w:val="bullet"/>
      <w:lvlText w:val="•"/>
      <w:lvlJc w:val="left"/>
      <w:pPr>
        <w:ind w:left="7803" w:hanging="423"/>
      </w:pPr>
      <w:rPr>
        <w:rFonts w:hint="default"/>
        <w:lang w:val="zh-CN" w:eastAsia="zh-CN" w:bidi="zh-CN"/>
      </w:rPr>
    </w:lvl>
    <w:lvl w:ilvl="8" w:tentative="0">
      <w:start w:val="0"/>
      <w:numFmt w:val="bullet"/>
      <w:lvlText w:val="•"/>
      <w:lvlJc w:val="left"/>
      <w:pPr>
        <w:ind w:left="8632" w:hanging="423"/>
      </w:pPr>
      <w:rPr>
        <w:rFonts w:hint="default"/>
        <w:lang w:val="zh-CN" w:eastAsia="zh-CN" w:bidi="zh-CN"/>
      </w:rPr>
    </w:lvl>
  </w:abstractNum>
  <w:abstractNum w:abstractNumId="88">
    <w:nsid w:val="59EEFD2A"/>
    <w:multiLevelType w:val="multilevel"/>
    <w:tmpl w:val="59EEFD2A"/>
    <w:lvl w:ilvl="0" w:tentative="0">
      <w:start w:val="1"/>
      <w:numFmt w:val="decimal"/>
      <w:suff w:val="space"/>
      <w:lvlText w:val="（%1）"/>
      <w:lvlJc w:val="left"/>
      <w:pPr>
        <w:ind w:left="1682" w:hanging="706"/>
      </w:pPr>
      <w:rPr>
        <w:rFonts w:hint="default" w:ascii="仿宋" w:hAnsi="仿宋" w:eastAsia="仿宋" w:cs="仿宋"/>
        <w:spacing w:val="-3"/>
        <w:w w:val="99"/>
        <w:sz w:val="26"/>
        <w:szCs w:val="26"/>
        <w:lang w:val="zh-CN" w:eastAsia="zh-CN" w:bidi="zh-CN"/>
      </w:rPr>
    </w:lvl>
    <w:lvl w:ilvl="1" w:tentative="0">
      <w:start w:val="0"/>
      <w:numFmt w:val="bullet"/>
      <w:lvlText w:val="•"/>
      <w:lvlJc w:val="left"/>
      <w:pPr>
        <w:ind w:left="2541" w:hanging="706"/>
      </w:pPr>
      <w:rPr>
        <w:rFonts w:hint="default"/>
        <w:lang w:val="zh-CN" w:eastAsia="zh-CN" w:bidi="zh-CN"/>
      </w:rPr>
    </w:lvl>
    <w:lvl w:ilvl="2" w:tentative="0">
      <w:start w:val="0"/>
      <w:numFmt w:val="bullet"/>
      <w:lvlText w:val="•"/>
      <w:lvlJc w:val="left"/>
      <w:pPr>
        <w:ind w:left="3402" w:hanging="706"/>
      </w:pPr>
      <w:rPr>
        <w:rFonts w:hint="default"/>
        <w:lang w:val="zh-CN" w:eastAsia="zh-CN" w:bidi="zh-CN"/>
      </w:rPr>
    </w:lvl>
    <w:lvl w:ilvl="3" w:tentative="0">
      <w:start w:val="0"/>
      <w:numFmt w:val="bullet"/>
      <w:lvlText w:val="•"/>
      <w:lvlJc w:val="left"/>
      <w:pPr>
        <w:ind w:left="4263" w:hanging="706"/>
      </w:pPr>
      <w:rPr>
        <w:rFonts w:hint="default"/>
        <w:lang w:val="zh-CN" w:eastAsia="zh-CN" w:bidi="zh-CN"/>
      </w:rPr>
    </w:lvl>
    <w:lvl w:ilvl="4" w:tentative="0">
      <w:start w:val="0"/>
      <w:numFmt w:val="bullet"/>
      <w:lvlText w:val="•"/>
      <w:lvlJc w:val="left"/>
      <w:pPr>
        <w:ind w:left="5124" w:hanging="706"/>
      </w:pPr>
      <w:rPr>
        <w:rFonts w:hint="default"/>
        <w:lang w:val="zh-CN" w:eastAsia="zh-CN" w:bidi="zh-CN"/>
      </w:rPr>
    </w:lvl>
    <w:lvl w:ilvl="5" w:tentative="0">
      <w:start w:val="0"/>
      <w:numFmt w:val="bullet"/>
      <w:lvlText w:val="•"/>
      <w:lvlJc w:val="left"/>
      <w:pPr>
        <w:ind w:left="5985" w:hanging="706"/>
      </w:pPr>
      <w:rPr>
        <w:rFonts w:hint="default"/>
        <w:lang w:val="zh-CN" w:eastAsia="zh-CN" w:bidi="zh-CN"/>
      </w:rPr>
    </w:lvl>
    <w:lvl w:ilvl="6" w:tentative="0">
      <w:start w:val="0"/>
      <w:numFmt w:val="bullet"/>
      <w:lvlText w:val="•"/>
      <w:lvlJc w:val="left"/>
      <w:pPr>
        <w:ind w:left="6846" w:hanging="706"/>
      </w:pPr>
      <w:rPr>
        <w:rFonts w:hint="default"/>
        <w:lang w:val="zh-CN" w:eastAsia="zh-CN" w:bidi="zh-CN"/>
      </w:rPr>
    </w:lvl>
    <w:lvl w:ilvl="7" w:tentative="0">
      <w:start w:val="0"/>
      <w:numFmt w:val="bullet"/>
      <w:lvlText w:val="•"/>
      <w:lvlJc w:val="left"/>
      <w:pPr>
        <w:ind w:left="7707" w:hanging="706"/>
      </w:pPr>
      <w:rPr>
        <w:rFonts w:hint="default"/>
        <w:lang w:val="zh-CN" w:eastAsia="zh-CN" w:bidi="zh-CN"/>
      </w:rPr>
    </w:lvl>
    <w:lvl w:ilvl="8" w:tentative="0">
      <w:start w:val="0"/>
      <w:numFmt w:val="bullet"/>
      <w:lvlText w:val="•"/>
      <w:lvlJc w:val="left"/>
      <w:pPr>
        <w:ind w:left="8568" w:hanging="706"/>
      </w:pPr>
      <w:rPr>
        <w:rFonts w:hint="default"/>
        <w:lang w:val="zh-CN" w:eastAsia="zh-CN" w:bidi="zh-CN"/>
      </w:rPr>
    </w:lvl>
  </w:abstractNum>
  <w:abstractNum w:abstractNumId="89">
    <w:nsid w:val="5E29AB5A"/>
    <w:multiLevelType w:val="multilevel"/>
    <w:tmpl w:val="5E29AB5A"/>
    <w:lvl w:ilvl="0" w:tentative="0">
      <w:start w:val="1"/>
      <w:numFmt w:val="decimal"/>
      <w:suff w:val="space"/>
      <w:lvlText w:val="%1）"/>
      <w:lvlJc w:val="left"/>
      <w:pPr>
        <w:ind w:left="420" w:hanging="416"/>
      </w:pPr>
      <w:rPr>
        <w:rFonts w:hint="default" w:ascii="仿宋" w:hAnsi="仿宋" w:eastAsia="仿宋" w:cs="仿宋"/>
        <w:spacing w:val="-10"/>
        <w:w w:val="99"/>
        <w:sz w:val="26"/>
        <w:szCs w:val="26"/>
        <w:lang w:val="zh-CN" w:eastAsia="zh-CN" w:bidi="zh-CN"/>
      </w:rPr>
    </w:lvl>
    <w:lvl w:ilvl="1" w:tentative="0">
      <w:start w:val="0"/>
      <w:numFmt w:val="bullet"/>
      <w:lvlText w:val="•"/>
      <w:lvlJc w:val="left"/>
      <w:pPr>
        <w:ind w:left="1407" w:hanging="416"/>
      </w:pPr>
      <w:rPr>
        <w:rFonts w:hint="default"/>
        <w:lang w:val="zh-CN" w:eastAsia="zh-CN" w:bidi="zh-CN"/>
      </w:rPr>
    </w:lvl>
    <w:lvl w:ilvl="2" w:tentative="0">
      <w:start w:val="0"/>
      <w:numFmt w:val="bullet"/>
      <w:lvlText w:val="•"/>
      <w:lvlJc w:val="left"/>
      <w:pPr>
        <w:ind w:left="2394" w:hanging="416"/>
      </w:pPr>
      <w:rPr>
        <w:rFonts w:hint="default"/>
        <w:lang w:val="zh-CN" w:eastAsia="zh-CN" w:bidi="zh-CN"/>
      </w:rPr>
    </w:lvl>
    <w:lvl w:ilvl="3" w:tentative="0">
      <w:start w:val="0"/>
      <w:numFmt w:val="bullet"/>
      <w:lvlText w:val="•"/>
      <w:lvlJc w:val="left"/>
      <w:pPr>
        <w:ind w:left="3381" w:hanging="416"/>
      </w:pPr>
      <w:rPr>
        <w:rFonts w:hint="default"/>
        <w:lang w:val="zh-CN" w:eastAsia="zh-CN" w:bidi="zh-CN"/>
      </w:rPr>
    </w:lvl>
    <w:lvl w:ilvl="4" w:tentative="0">
      <w:start w:val="0"/>
      <w:numFmt w:val="bullet"/>
      <w:lvlText w:val="•"/>
      <w:lvlJc w:val="left"/>
      <w:pPr>
        <w:ind w:left="4368" w:hanging="416"/>
      </w:pPr>
      <w:rPr>
        <w:rFonts w:hint="default"/>
        <w:lang w:val="zh-CN" w:eastAsia="zh-CN" w:bidi="zh-CN"/>
      </w:rPr>
    </w:lvl>
    <w:lvl w:ilvl="5" w:tentative="0">
      <w:start w:val="0"/>
      <w:numFmt w:val="bullet"/>
      <w:lvlText w:val="•"/>
      <w:lvlJc w:val="left"/>
      <w:pPr>
        <w:ind w:left="5355" w:hanging="416"/>
      </w:pPr>
      <w:rPr>
        <w:rFonts w:hint="default"/>
        <w:lang w:val="zh-CN" w:eastAsia="zh-CN" w:bidi="zh-CN"/>
      </w:rPr>
    </w:lvl>
    <w:lvl w:ilvl="6" w:tentative="0">
      <w:start w:val="0"/>
      <w:numFmt w:val="bullet"/>
      <w:lvlText w:val="•"/>
      <w:lvlJc w:val="left"/>
      <w:pPr>
        <w:ind w:left="6342" w:hanging="416"/>
      </w:pPr>
      <w:rPr>
        <w:rFonts w:hint="default"/>
        <w:lang w:val="zh-CN" w:eastAsia="zh-CN" w:bidi="zh-CN"/>
      </w:rPr>
    </w:lvl>
    <w:lvl w:ilvl="7" w:tentative="0">
      <w:start w:val="0"/>
      <w:numFmt w:val="bullet"/>
      <w:lvlText w:val="•"/>
      <w:lvlJc w:val="left"/>
      <w:pPr>
        <w:ind w:left="7329" w:hanging="416"/>
      </w:pPr>
      <w:rPr>
        <w:rFonts w:hint="default"/>
        <w:lang w:val="zh-CN" w:eastAsia="zh-CN" w:bidi="zh-CN"/>
      </w:rPr>
    </w:lvl>
    <w:lvl w:ilvl="8" w:tentative="0">
      <w:start w:val="0"/>
      <w:numFmt w:val="bullet"/>
      <w:lvlText w:val="•"/>
      <w:lvlJc w:val="left"/>
      <w:pPr>
        <w:ind w:left="8316" w:hanging="416"/>
      </w:pPr>
      <w:rPr>
        <w:rFonts w:hint="default"/>
        <w:lang w:val="zh-CN" w:eastAsia="zh-CN" w:bidi="zh-CN"/>
      </w:rPr>
    </w:lvl>
  </w:abstractNum>
  <w:abstractNum w:abstractNumId="90">
    <w:nsid w:val="5FCE4367"/>
    <w:multiLevelType w:val="multilevel"/>
    <w:tmpl w:val="5FCE4367"/>
    <w:lvl w:ilvl="0" w:tentative="0">
      <w:start w:val="1"/>
      <w:numFmt w:val="decimal"/>
      <w:suff w:val="space"/>
      <w:lvlText w:val="(%1)"/>
      <w:lvlJc w:val="left"/>
      <w:pPr>
        <w:ind w:left="1579" w:hanging="560"/>
      </w:pPr>
      <w:rPr>
        <w:rFonts w:hint="default" w:ascii="仿宋" w:hAnsi="仿宋" w:eastAsia="仿宋" w:cs="仿宋"/>
        <w:spacing w:val="-16"/>
        <w:w w:val="100"/>
        <w:sz w:val="28"/>
        <w:szCs w:val="28"/>
        <w:lang w:val="zh-CN" w:eastAsia="zh-CN" w:bidi="zh-CN"/>
      </w:rPr>
    </w:lvl>
    <w:lvl w:ilvl="1" w:tentative="0">
      <w:start w:val="0"/>
      <w:numFmt w:val="bullet"/>
      <w:lvlText w:val="•"/>
      <w:lvlJc w:val="left"/>
      <w:pPr>
        <w:ind w:left="2451" w:hanging="560"/>
      </w:pPr>
      <w:rPr>
        <w:rFonts w:hint="default"/>
        <w:lang w:val="zh-CN" w:eastAsia="zh-CN" w:bidi="zh-CN"/>
      </w:rPr>
    </w:lvl>
    <w:lvl w:ilvl="2" w:tentative="0">
      <w:start w:val="0"/>
      <w:numFmt w:val="bullet"/>
      <w:lvlText w:val="•"/>
      <w:lvlJc w:val="left"/>
      <w:pPr>
        <w:ind w:left="3322" w:hanging="560"/>
      </w:pPr>
      <w:rPr>
        <w:rFonts w:hint="default"/>
        <w:lang w:val="zh-CN" w:eastAsia="zh-CN" w:bidi="zh-CN"/>
      </w:rPr>
    </w:lvl>
    <w:lvl w:ilvl="3" w:tentative="0">
      <w:start w:val="0"/>
      <w:numFmt w:val="bullet"/>
      <w:lvlText w:val="•"/>
      <w:lvlJc w:val="left"/>
      <w:pPr>
        <w:ind w:left="4193" w:hanging="560"/>
      </w:pPr>
      <w:rPr>
        <w:rFonts w:hint="default"/>
        <w:lang w:val="zh-CN" w:eastAsia="zh-CN" w:bidi="zh-CN"/>
      </w:rPr>
    </w:lvl>
    <w:lvl w:ilvl="4" w:tentative="0">
      <w:start w:val="0"/>
      <w:numFmt w:val="bullet"/>
      <w:lvlText w:val="•"/>
      <w:lvlJc w:val="left"/>
      <w:pPr>
        <w:ind w:left="5064" w:hanging="560"/>
      </w:pPr>
      <w:rPr>
        <w:rFonts w:hint="default"/>
        <w:lang w:val="zh-CN" w:eastAsia="zh-CN" w:bidi="zh-CN"/>
      </w:rPr>
    </w:lvl>
    <w:lvl w:ilvl="5" w:tentative="0">
      <w:start w:val="0"/>
      <w:numFmt w:val="bullet"/>
      <w:lvlText w:val="•"/>
      <w:lvlJc w:val="left"/>
      <w:pPr>
        <w:ind w:left="5935" w:hanging="560"/>
      </w:pPr>
      <w:rPr>
        <w:rFonts w:hint="default"/>
        <w:lang w:val="zh-CN" w:eastAsia="zh-CN" w:bidi="zh-CN"/>
      </w:rPr>
    </w:lvl>
    <w:lvl w:ilvl="6" w:tentative="0">
      <w:start w:val="0"/>
      <w:numFmt w:val="bullet"/>
      <w:lvlText w:val="•"/>
      <w:lvlJc w:val="left"/>
      <w:pPr>
        <w:ind w:left="6806" w:hanging="560"/>
      </w:pPr>
      <w:rPr>
        <w:rFonts w:hint="default"/>
        <w:lang w:val="zh-CN" w:eastAsia="zh-CN" w:bidi="zh-CN"/>
      </w:rPr>
    </w:lvl>
    <w:lvl w:ilvl="7" w:tentative="0">
      <w:start w:val="0"/>
      <w:numFmt w:val="bullet"/>
      <w:lvlText w:val="•"/>
      <w:lvlJc w:val="left"/>
      <w:pPr>
        <w:ind w:left="7677" w:hanging="560"/>
      </w:pPr>
      <w:rPr>
        <w:rFonts w:hint="default"/>
        <w:lang w:val="zh-CN" w:eastAsia="zh-CN" w:bidi="zh-CN"/>
      </w:rPr>
    </w:lvl>
    <w:lvl w:ilvl="8" w:tentative="0">
      <w:start w:val="0"/>
      <w:numFmt w:val="bullet"/>
      <w:lvlText w:val="•"/>
      <w:lvlJc w:val="left"/>
      <w:pPr>
        <w:ind w:left="8548" w:hanging="560"/>
      </w:pPr>
      <w:rPr>
        <w:rFonts w:hint="default"/>
        <w:lang w:val="zh-CN" w:eastAsia="zh-CN" w:bidi="zh-CN"/>
      </w:rPr>
    </w:lvl>
  </w:abstractNum>
  <w:abstractNum w:abstractNumId="91">
    <w:nsid w:val="5FFFB1A7"/>
    <w:multiLevelType w:val="multilevel"/>
    <w:tmpl w:val="5FFFB1A7"/>
    <w:lvl w:ilvl="0" w:tentative="0">
      <w:start w:val="1"/>
      <w:numFmt w:val="decimal"/>
      <w:suff w:val="space"/>
      <w:lvlText w:val="(%1)"/>
      <w:lvlJc w:val="left"/>
      <w:pPr>
        <w:ind w:left="1999" w:hanging="423"/>
      </w:pPr>
      <w:rPr>
        <w:rFonts w:hint="default" w:ascii="仿宋" w:hAnsi="仿宋" w:eastAsia="仿宋" w:cs="仿宋"/>
        <w:spacing w:val="-10"/>
        <w:w w:val="99"/>
        <w:sz w:val="26"/>
        <w:szCs w:val="26"/>
        <w:lang w:val="zh-CN" w:eastAsia="zh-CN" w:bidi="zh-CN"/>
      </w:rPr>
    </w:lvl>
    <w:lvl w:ilvl="1" w:tentative="0">
      <w:start w:val="0"/>
      <w:numFmt w:val="bullet"/>
      <w:lvlText w:val="•"/>
      <w:lvlJc w:val="left"/>
      <w:pPr>
        <w:ind w:left="2829" w:hanging="423"/>
      </w:pPr>
      <w:rPr>
        <w:rFonts w:hint="default"/>
        <w:lang w:val="zh-CN" w:eastAsia="zh-CN" w:bidi="zh-CN"/>
      </w:rPr>
    </w:lvl>
    <w:lvl w:ilvl="2" w:tentative="0">
      <w:start w:val="0"/>
      <w:numFmt w:val="bullet"/>
      <w:lvlText w:val="•"/>
      <w:lvlJc w:val="left"/>
      <w:pPr>
        <w:ind w:left="3658" w:hanging="423"/>
      </w:pPr>
      <w:rPr>
        <w:rFonts w:hint="default"/>
        <w:lang w:val="zh-CN" w:eastAsia="zh-CN" w:bidi="zh-CN"/>
      </w:rPr>
    </w:lvl>
    <w:lvl w:ilvl="3" w:tentative="0">
      <w:start w:val="0"/>
      <w:numFmt w:val="bullet"/>
      <w:lvlText w:val="•"/>
      <w:lvlJc w:val="left"/>
      <w:pPr>
        <w:ind w:left="4487" w:hanging="423"/>
      </w:pPr>
      <w:rPr>
        <w:rFonts w:hint="default"/>
        <w:lang w:val="zh-CN" w:eastAsia="zh-CN" w:bidi="zh-CN"/>
      </w:rPr>
    </w:lvl>
    <w:lvl w:ilvl="4" w:tentative="0">
      <w:start w:val="0"/>
      <w:numFmt w:val="bullet"/>
      <w:lvlText w:val="•"/>
      <w:lvlJc w:val="left"/>
      <w:pPr>
        <w:ind w:left="5316" w:hanging="423"/>
      </w:pPr>
      <w:rPr>
        <w:rFonts w:hint="default"/>
        <w:lang w:val="zh-CN" w:eastAsia="zh-CN" w:bidi="zh-CN"/>
      </w:rPr>
    </w:lvl>
    <w:lvl w:ilvl="5" w:tentative="0">
      <w:start w:val="0"/>
      <w:numFmt w:val="bullet"/>
      <w:lvlText w:val="•"/>
      <w:lvlJc w:val="left"/>
      <w:pPr>
        <w:ind w:left="6145" w:hanging="423"/>
      </w:pPr>
      <w:rPr>
        <w:rFonts w:hint="default"/>
        <w:lang w:val="zh-CN" w:eastAsia="zh-CN" w:bidi="zh-CN"/>
      </w:rPr>
    </w:lvl>
    <w:lvl w:ilvl="6" w:tentative="0">
      <w:start w:val="0"/>
      <w:numFmt w:val="bullet"/>
      <w:lvlText w:val="•"/>
      <w:lvlJc w:val="left"/>
      <w:pPr>
        <w:ind w:left="6974" w:hanging="423"/>
      </w:pPr>
      <w:rPr>
        <w:rFonts w:hint="default"/>
        <w:lang w:val="zh-CN" w:eastAsia="zh-CN" w:bidi="zh-CN"/>
      </w:rPr>
    </w:lvl>
    <w:lvl w:ilvl="7" w:tentative="0">
      <w:start w:val="0"/>
      <w:numFmt w:val="bullet"/>
      <w:lvlText w:val="•"/>
      <w:lvlJc w:val="left"/>
      <w:pPr>
        <w:ind w:left="7803" w:hanging="423"/>
      </w:pPr>
      <w:rPr>
        <w:rFonts w:hint="default"/>
        <w:lang w:val="zh-CN" w:eastAsia="zh-CN" w:bidi="zh-CN"/>
      </w:rPr>
    </w:lvl>
    <w:lvl w:ilvl="8" w:tentative="0">
      <w:start w:val="0"/>
      <w:numFmt w:val="bullet"/>
      <w:lvlText w:val="•"/>
      <w:lvlJc w:val="left"/>
      <w:pPr>
        <w:ind w:left="8632" w:hanging="423"/>
      </w:pPr>
      <w:rPr>
        <w:rFonts w:hint="default"/>
        <w:lang w:val="zh-CN" w:eastAsia="zh-CN" w:bidi="zh-CN"/>
      </w:rPr>
    </w:lvl>
  </w:abstractNum>
  <w:abstractNum w:abstractNumId="92">
    <w:nsid w:val="65CD0074"/>
    <w:multiLevelType w:val="multilevel"/>
    <w:tmpl w:val="65CD0074"/>
    <w:lvl w:ilvl="0" w:tentative="0">
      <w:start w:val="1"/>
      <w:numFmt w:val="decimal"/>
      <w:suff w:val="space"/>
      <w:lvlText w:val="(%1)"/>
      <w:lvlJc w:val="left"/>
      <w:pPr>
        <w:ind w:left="420" w:hanging="399"/>
      </w:pPr>
      <w:rPr>
        <w:rFonts w:hint="default" w:ascii="仿宋" w:hAnsi="仿宋" w:eastAsia="仿宋" w:cs="仿宋"/>
        <w:spacing w:val="-17"/>
        <w:w w:val="99"/>
        <w:sz w:val="26"/>
        <w:szCs w:val="26"/>
        <w:lang w:val="zh-CN" w:eastAsia="zh-CN" w:bidi="zh-CN"/>
      </w:rPr>
    </w:lvl>
    <w:lvl w:ilvl="1" w:tentative="0">
      <w:start w:val="0"/>
      <w:numFmt w:val="bullet"/>
      <w:lvlText w:val="•"/>
      <w:lvlJc w:val="left"/>
      <w:pPr>
        <w:ind w:left="1407" w:hanging="399"/>
      </w:pPr>
      <w:rPr>
        <w:rFonts w:hint="default"/>
        <w:lang w:val="zh-CN" w:eastAsia="zh-CN" w:bidi="zh-CN"/>
      </w:rPr>
    </w:lvl>
    <w:lvl w:ilvl="2" w:tentative="0">
      <w:start w:val="0"/>
      <w:numFmt w:val="bullet"/>
      <w:lvlText w:val="•"/>
      <w:lvlJc w:val="left"/>
      <w:pPr>
        <w:ind w:left="2394" w:hanging="399"/>
      </w:pPr>
      <w:rPr>
        <w:rFonts w:hint="default"/>
        <w:lang w:val="zh-CN" w:eastAsia="zh-CN" w:bidi="zh-CN"/>
      </w:rPr>
    </w:lvl>
    <w:lvl w:ilvl="3" w:tentative="0">
      <w:start w:val="0"/>
      <w:numFmt w:val="bullet"/>
      <w:lvlText w:val="•"/>
      <w:lvlJc w:val="left"/>
      <w:pPr>
        <w:ind w:left="3381" w:hanging="399"/>
      </w:pPr>
      <w:rPr>
        <w:rFonts w:hint="default"/>
        <w:lang w:val="zh-CN" w:eastAsia="zh-CN" w:bidi="zh-CN"/>
      </w:rPr>
    </w:lvl>
    <w:lvl w:ilvl="4" w:tentative="0">
      <w:start w:val="0"/>
      <w:numFmt w:val="bullet"/>
      <w:lvlText w:val="•"/>
      <w:lvlJc w:val="left"/>
      <w:pPr>
        <w:ind w:left="4368" w:hanging="399"/>
      </w:pPr>
      <w:rPr>
        <w:rFonts w:hint="default"/>
        <w:lang w:val="zh-CN" w:eastAsia="zh-CN" w:bidi="zh-CN"/>
      </w:rPr>
    </w:lvl>
    <w:lvl w:ilvl="5" w:tentative="0">
      <w:start w:val="0"/>
      <w:numFmt w:val="bullet"/>
      <w:lvlText w:val="•"/>
      <w:lvlJc w:val="left"/>
      <w:pPr>
        <w:ind w:left="5355" w:hanging="399"/>
      </w:pPr>
      <w:rPr>
        <w:rFonts w:hint="default"/>
        <w:lang w:val="zh-CN" w:eastAsia="zh-CN" w:bidi="zh-CN"/>
      </w:rPr>
    </w:lvl>
    <w:lvl w:ilvl="6" w:tentative="0">
      <w:start w:val="0"/>
      <w:numFmt w:val="bullet"/>
      <w:lvlText w:val="•"/>
      <w:lvlJc w:val="left"/>
      <w:pPr>
        <w:ind w:left="6342" w:hanging="399"/>
      </w:pPr>
      <w:rPr>
        <w:rFonts w:hint="default"/>
        <w:lang w:val="zh-CN" w:eastAsia="zh-CN" w:bidi="zh-CN"/>
      </w:rPr>
    </w:lvl>
    <w:lvl w:ilvl="7" w:tentative="0">
      <w:start w:val="0"/>
      <w:numFmt w:val="bullet"/>
      <w:lvlText w:val="•"/>
      <w:lvlJc w:val="left"/>
      <w:pPr>
        <w:ind w:left="7329" w:hanging="399"/>
      </w:pPr>
      <w:rPr>
        <w:rFonts w:hint="default"/>
        <w:lang w:val="zh-CN" w:eastAsia="zh-CN" w:bidi="zh-CN"/>
      </w:rPr>
    </w:lvl>
    <w:lvl w:ilvl="8" w:tentative="0">
      <w:start w:val="0"/>
      <w:numFmt w:val="bullet"/>
      <w:lvlText w:val="•"/>
      <w:lvlJc w:val="left"/>
      <w:pPr>
        <w:ind w:left="8316" w:hanging="399"/>
      </w:pPr>
      <w:rPr>
        <w:rFonts w:hint="default"/>
        <w:lang w:val="zh-CN" w:eastAsia="zh-CN" w:bidi="zh-CN"/>
      </w:rPr>
    </w:lvl>
  </w:abstractNum>
  <w:abstractNum w:abstractNumId="93">
    <w:nsid w:val="74C28B35"/>
    <w:multiLevelType w:val="multilevel"/>
    <w:tmpl w:val="74C28B35"/>
    <w:lvl w:ilvl="0" w:tentative="0">
      <w:start w:val="1"/>
      <w:numFmt w:val="decimal"/>
      <w:suff w:val="space"/>
      <w:lvlText w:val="(%1)"/>
      <w:lvlJc w:val="left"/>
      <w:pPr>
        <w:ind w:left="420" w:hanging="423"/>
      </w:pPr>
      <w:rPr>
        <w:rFonts w:hint="default" w:ascii="仿宋" w:hAnsi="仿宋" w:eastAsia="仿宋" w:cs="仿宋"/>
        <w:spacing w:val="-3"/>
        <w:w w:val="99"/>
        <w:sz w:val="26"/>
        <w:szCs w:val="26"/>
        <w:lang w:val="zh-CN" w:eastAsia="zh-CN" w:bidi="zh-CN"/>
      </w:rPr>
    </w:lvl>
    <w:lvl w:ilvl="1" w:tentative="0">
      <w:start w:val="0"/>
      <w:numFmt w:val="bullet"/>
      <w:lvlText w:val="•"/>
      <w:lvlJc w:val="left"/>
      <w:pPr>
        <w:ind w:left="1407" w:hanging="423"/>
      </w:pPr>
      <w:rPr>
        <w:rFonts w:hint="default"/>
        <w:lang w:val="zh-CN" w:eastAsia="zh-CN" w:bidi="zh-CN"/>
      </w:rPr>
    </w:lvl>
    <w:lvl w:ilvl="2" w:tentative="0">
      <w:start w:val="0"/>
      <w:numFmt w:val="bullet"/>
      <w:lvlText w:val="•"/>
      <w:lvlJc w:val="left"/>
      <w:pPr>
        <w:ind w:left="2394" w:hanging="423"/>
      </w:pPr>
      <w:rPr>
        <w:rFonts w:hint="default"/>
        <w:lang w:val="zh-CN" w:eastAsia="zh-CN" w:bidi="zh-CN"/>
      </w:rPr>
    </w:lvl>
    <w:lvl w:ilvl="3" w:tentative="0">
      <w:start w:val="0"/>
      <w:numFmt w:val="bullet"/>
      <w:lvlText w:val="•"/>
      <w:lvlJc w:val="left"/>
      <w:pPr>
        <w:ind w:left="3381" w:hanging="423"/>
      </w:pPr>
      <w:rPr>
        <w:rFonts w:hint="default"/>
        <w:lang w:val="zh-CN" w:eastAsia="zh-CN" w:bidi="zh-CN"/>
      </w:rPr>
    </w:lvl>
    <w:lvl w:ilvl="4" w:tentative="0">
      <w:start w:val="0"/>
      <w:numFmt w:val="bullet"/>
      <w:lvlText w:val="•"/>
      <w:lvlJc w:val="left"/>
      <w:pPr>
        <w:ind w:left="4368" w:hanging="423"/>
      </w:pPr>
      <w:rPr>
        <w:rFonts w:hint="default"/>
        <w:lang w:val="zh-CN" w:eastAsia="zh-CN" w:bidi="zh-CN"/>
      </w:rPr>
    </w:lvl>
    <w:lvl w:ilvl="5" w:tentative="0">
      <w:start w:val="0"/>
      <w:numFmt w:val="bullet"/>
      <w:lvlText w:val="•"/>
      <w:lvlJc w:val="left"/>
      <w:pPr>
        <w:ind w:left="5355" w:hanging="423"/>
      </w:pPr>
      <w:rPr>
        <w:rFonts w:hint="default"/>
        <w:lang w:val="zh-CN" w:eastAsia="zh-CN" w:bidi="zh-CN"/>
      </w:rPr>
    </w:lvl>
    <w:lvl w:ilvl="6" w:tentative="0">
      <w:start w:val="0"/>
      <w:numFmt w:val="bullet"/>
      <w:lvlText w:val="•"/>
      <w:lvlJc w:val="left"/>
      <w:pPr>
        <w:ind w:left="6342" w:hanging="423"/>
      </w:pPr>
      <w:rPr>
        <w:rFonts w:hint="default"/>
        <w:lang w:val="zh-CN" w:eastAsia="zh-CN" w:bidi="zh-CN"/>
      </w:rPr>
    </w:lvl>
    <w:lvl w:ilvl="7" w:tentative="0">
      <w:start w:val="0"/>
      <w:numFmt w:val="bullet"/>
      <w:lvlText w:val="•"/>
      <w:lvlJc w:val="left"/>
      <w:pPr>
        <w:ind w:left="7329" w:hanging="423"/>
      </w:pPr>
      <w:rPr>
        <w:rFonts w:hint="default"/>
        <w:lang w:val="zh-CN" w:eastAsia="zh-CN" w:bidi="zh-CN"/>
      </w:rPr>
    </w:lvl>
    <w:lvl w:ilvl="8" w:tentative="0">
      <w:start w:val="0"/>
      <w:numFmt w:val="bullet"/>
      <w:lvlText w:val="•"/>
      <w:lvlJc w:val="left"/>
      <w:pPr>
        <w:ind w:left="8316" w:hanging="423"/>
      </w:pPr>
      <w:rPr>
        <w:rFonts w:hint="default"/>
        <w:lang w:val="zh-CN" w:eastAsia="zh-CN" w:bidi="zh-CN"/>
      </w:rPr>
    </w:lvl>
  </w:abstractNum>
  <w:abstractNum w:abstractNumId="94">
    <w:nsid w:val="756A3441"/>
    <w:multiLevelType w:val="multilevel"/>
    <w:tmpl w:val="756A3441"/>
    <w:lvl w:ilvl="0" w:tentative="0">
      <w:start w:val="1"/>
      <w:numFmt w:val="decimal"/>
      <w:suff w:val="space"/>
      <w:lvlText w:val="（%1）"/>
      <w:lvlJc w:val="left"/>
      <w:pPr>
        <w:ind w:left="1020" w:hanging="671"/>
      </w:pPr>
      <w:rPr>
        <w:rFonts w:hint="default"/>
        <w:spacing w:val="-17"/>
        <w:w w:val="100"/>
        <w:lang w:val="zh-CN" w:eastAsia="zh-CN" w:bidi="zh-CN"/>
      </w:rPr>
    </w:lvl>
    <w:lvl w:ilvl="1" w:tentative="0">
      <w:start w:val="0"/>
      <w:numFmt w:val="bullet"/>
      <w:lvlText w:val="•"/>
      <w:lvlJc w:val="left"/>
      <w:pPr>
        <w:ind w:left="1947" w:hanging="671"/>
      </w:pPr>
      <w:rPr>
        <w:rFonts w:hint="default"/>
        <w:lang w:val="zh-CN" w:eastAsia="zh-CN" w:bidi="zh-CN"/>
      </w:rPr>
    </w:lvl>
    <w:lvl w:ilvl="2" w:tentative="0">
      <w:start w:val="0"/>
      <w:numFmt w:val="bullet"/>
      <w:lvlText w:val="•"/>
      <w:lvlJc w:val="left"/>
      <w:pPr>
        <w:ind w:left="2874" w:hanging="671"/>
      </w:pPr>
      <w:rPr>
        <w:rFonts w:hint="default"/>
        <w:lang w:val="zh-CN" w:eastAsia="zh-CN" w:bidi="zh-CN"/>
      </w:rPr>
    </w:lvl>
    <w:lvl w:ilvl="3" w:tentative="0">
      <w:start w:val="0"/>
      <w:numFmt w:val="bullet"/>
      <w:lvlText w:val="•"/>
      <w:lvlJc w:val="left"/>
      <w:pPr>
        <w:ind w:left="3801" w:hanging="671"/>
      </w:pPr>
      <w:rPr>
        <w:rFonts w:hint="default"/>
        <w:lang w:val="zh-CN" w:eastAsia="zh-CN" w:bidi="zh-CN"/>
      </w:rPr>
    </w:lvl>
    <w:lvl w:ilvl="4" w:tentative="0">
      <w:start w:val="0"/>
      <w:numFmt w:val="bullet"/>
      <w:lvlText w:val="•"/>
      <w:lvlJc w:val="left"/>
      <w:pPr>
        <w:ind w:left="4728" w:hanging="671"/>
      </w:pPr>
      <w:rPr>
        <w:rFonts w:hint="default"/>
        <w:lang w:val="zh-CN" w:eastAsia="zh-CN" w:bidi="zh-CN"/>
      </w:rPr>
    </w:lvl>
    <w:lvl w:ilvl="5" w:tentative="0">
      <w:start w:val="0"/>
      <w:numFmt w:val="bullet"/>
      <w:lvlText w:val="•"/>
      <w:lvlJc w:val="left"/>
      <w:pPr>
        <w:ind w:left="5655" w:hanging="671"/>
      </w:pPr>
      <w:rPr>
        <w:rFonts w:hint="default"/>
        <w:lang w:val="zh-CN" w:eastAsia="zh-CN" w:bidi="zh-CN"/>
      </w:rPr>
    </w:lvl>
    <w:lvl w:ilvl="6" w:tentative="0">
      <w:start w:val="0"/>
      <w:numFmt w:val="bullet"/>
      <w:lvlText w:val="•"/>
      <w:lvlJc w:val="left"/>
      <w:pPr>
        <w:ind w:left="6582" w:hanging="671"/>
      </w:pPr>
      <w:rPr>
        <w:rFonts w:hint="default"/>
        <w:lang w:val="zh-CN" w:eastAsia="zh-CN" w:bidi="zh-CN"/>
      </w:rPr>
    </w:lvl>
    <w:lvl w:ilvl="7" w:tentative="0">
      <w:start w:val="0"/>
      <w:numFmt w:val="bullet"/>
      <w:lvlText w:val="•"/>
      <w:lvlJc w:val="left"/>
      <w:pPr>
        <w:ind w:left="7509" w:hanging="671"/>
      </w:pPr>
      <w:rPr>
        <w:rFonts w:hint="default"/>
        <w:lang w:val="zh-CN" w:eastAsia="zh-CN" w:bidi="zh-CN"/>
      </w:rPr>
    </w:lvl>
    <w:lvl w:ilvl="8" w:tentative="0">
      <w:start w:val="0"/>
      <w:numFmt w:val="bullet"/>
      <w:lvlText w:val="•"/>
      <w:lvlJc w:val="left"/>
      <w:pPr>
        <w:ind w:left="8436" w:hanging="671"/>
      </w:pPr>
      <w:rPr>
        <w:rFonts w:hint="default"/>
        <w:lang w:val="zh-CN" w:eastAsia="zh-CN" w:bidi="zh-CN"/>
      </w:rPr>
    </w:lvl>
  </w:abstractNum>
  <w:abstractNum w:abstractNumId="95">
    <w:nsid w:val="77633216"/>
    <w:multiLevelType w:val="multilevel"/>
    <w:tmpl w:val="77633216"/>
    <w:lvl w:ilvl="0" w:tentative="0">
      <w:start w:val="1"/>
      <w:numFmt w:val="decimal"/>
      <w:suff w:val="space"/>
      <w:lvlText w:val="%1)"/>
      <w:lvlJc w:val="left"/>
      <w:pPr>
        <w:ind w:left="1262" w:hanging="286"/>
      </w:pPr>
      <w:rPr>
        <w:rFonts w:hint="default" w:ascii="仿宋" w:hAnsi="仿宋" w:eastAsia="仿宋" w:cs="仿宋"/>
        <w:w w:val="99"/>
        <w:sz w:val="26"/>
        <w:szCs w:val="26"/>
        <w:lang w:val="zh-CN" w:eastAsia="zh-CN" w:bidi="zh-CN"/>
      </w:rPr>
    </w:lvl>
    <w:lvl w:ilvl="1" w:tentative="0">
      <w:start w:val="0"/>
      <w:numFmt w:val="bullet"/>
      <w:lvlText w:val="•"/>
      <w:lvlJc w:val="left"/>
      <w:pPr>
        <w:ind w:left="2163" w:hanging="286"/>
      </w:pPr>
      <w:rPr>
        <w:rFonts w:hint="default"/>
        <w:lang w:val="zh-CN" w:eastAsia="zh-CN" w:bidi="zh-CN"/>
      </w:rPr>
    </w:lvl>
    <w:lvl w:ilvl="2" w:tentative="0">
      <w:start w:val="0"/>
      <w:numFmt w:val="bullet"/>
      <w:lvlText w:val="•"/>
      <w:lvlJc w:val="left"/>
      <w:pPr>
        <w:ind w:left="3066" w:hanging="286"/>
      </w:pPr>
      <w:rPr>
        <w:rFonts w:hint="default"/>
        <w:lang w:val="zh-CN" w:eastAsia="zh-CN" w:bidi="zh-CN"/>
      </w:rPr>
    </w:lvl>
    <w:lvl w:ilvl="3" w:tentative="0">
      <w:start w:val="0"/>
      <w:numFmt w:val="bullet"/>
      <w:lvlText w:val="•"/>
      <w:lvlJc w:val="left"/>
      <w:pPr>
        <w:ind w:left="3969" w:hanging="286"/>
      </w:pPr>
      <w:rPr>
        <w:rFonts w:hint="default"/>
        <w:lang w:val="zh-CN" w:eastAsia="zh-CN" w:bidi="zh-CN"/>
      </w:rPr>
    </w:lvl>
    <w:lvl w:ilvl="4" w:tentative="0">
      <w:start w:val="0"/>
      <w:numFmt w:val="bullet"/>
      <w:lvlText w:val="•"/>
      <w:lvlJc w:val="left"/>
      <w:pPr>
        <w:ind w:left="4872" w:hanging="286"/>
      </w:pPr>
      <w:rPr>
        <w:rFonts w:hint="default"/>
        <w:lang w:val="zh-CN" w:eastAsia="zh-CN" w:bidi="zh-CN"/>
      </w:rPr>
    </w:lvl>
    <w:lvl w:ilvl="5" w:tentative="0">
      <w:start w:val="0"/>
      <w:numFmt w:val="bullet"/>
      <w:lvlText w:val="•"/>
      <w:lvlJc w:val="left"/>
      <w:pPr>
        <w:ind w:left="5775" w:hanging="286"/>
      </w:pPr>
      <w:rPr>
        <w:rFonts w:hint="default"/>
        <w:lang w:val="zh-CN" w:eastAsia="zh-CN" w:bidi="zh-CN"/>
      </w:rPr>
    </w:lvl>
    <w:lvl w:ilvl="6" w:tentative="0">
      <w:start w:val="0"/>
      <w:numFmt w:val="bullet"/>
      <w:lvlText w:val="•"/>
      <w:lvlJc w:val="left"/>
      <w:pPr>
        <w:ind w:left="6678" w:hanging="286"/>
      </w:pPr>
      <w:rPr>
        <w:rFonts w:hint="default"/>
        <w:lang w:val="zh-CN" w:eastAsia="zh-CN" w:bidi="zh-CN"/>
      </w:rPr>
    </w:lvl>
    <w:lvl w:ilvl="7" w:tentative="0">
      <w:start w:val="0"/>
      <w:numFmt w:val="bullet"/>
      <w:lvlText w:val="•"/>
      <w:lvlJc w:val="left"/>
      <w:pPr>
        <w:ind w:left="7581" w:hanging="286"/>
      </w:pPr>
      <w:rPr>
        <w:rFonts w:hint="default"/>
        <w:lang w:val="zh-CN" w:eastAsia="zh-CN" w:bidi="zh-CN"/>
      </w:rPr>
    </w:lvl>
    <w:lvl w:ilvl="8" w:tentative="0">
      <w:start w:val="0"/>
      <w:numFmt w:val="bullet"/>
      <w:lvlText w:val="•"/>
      <w:lvlJc w:val="left"/>
      <w:pPr>
        <w:ind w:left="8484" w:hanging="286"/>
      </w:pPr>
      <w:rPr>
        <w:rFonts w:hint="default"/>
        <w:lang w:val="zh-CN" w:eastAsia="zh-CN" w:bidi="zh-CN"/>
      </w:rPr>
    </w:lvl>
  </w:abstractNum>
  <w:abstractNum w:abstractNumId="96">
    <w:nsid w:val="77ECEA79"/>
    <w:multiLevelType w:val="multilevel"/>
    <w:tmpl w:val="77ECEA79"/>
    <w:lvl w:ilvl="0" w:tentative="0">
      <w:start w:val="3"/>
      <w:numFmt w:val="decimal"/>
      <w:lvlText w:val="%1"/>
      <w:lvlJc w:val="left"/>
      <w:pPr>
        <w:ind w:left="1548" w:hanging="528"/>
      </w:pPr>
      <w:rPr>
        <w:rFonts w:hint="default"/>
        <w:lang w:val="zh-CN" w:eastAsia="zh-CN" w:bidi="zh-CN"/>
      </w:rPr>
    </w:lvl>
    <w:lvl w:ilvl="1" w:tentative="0">
      <w:start w:val="3"/>
      <w:numFmt w:val="decimal"/>
      <w:suff w:val="space"/>
      <w:lvlText w:val="%1.%2"/>
      <w:lvlJc w:val="left"/>
      <w:pPr>
        <w:ind w:left="1548" w:hanging="528"/>
      </w:pPr>
      <w:rPr>
        <w:rFonts w:hint="default" w:ascii="黑体" w:hAnsi="黑体" w:eastAsia="黑体" w:cs="黑体"/>
        <w:b/>
        <w:bCs/>
        <w:spacing w:val="0"/>
        <w:w w:val="99"/>
        <w:sz w:val="30"/>
        <w:szCs w:val="30"/>
        <w:lang w:val="zh-CN" w:eastAsia="zh-CN" w:bidi="zh-CN"/>
      </w:rPr>
    </w:lvl>
    <w:lvl w:ilvl="2" w:tentative="0">
      <w:start w:val="1"/>
      <w:numFmt w:val="decimal"/>
      <w:suff w:val="space"/>
      <w:lvlText w:val="%1.%2.%3"/>
      <w:lvlJc w:val="left"/>
      <w:pPr>
        <w:ind w:left="1020" w:hanging="670"/>
      </w:pPr>
      <w:rPr>
        <w:rFonts w:hint="default" w:ascii="黑体" w:hAnsi="黑体" w:eastAsia="黑体" w:cs="黑体"/>
        <w:b/>
        <w:bCs/>
        <w:spacing w:val="-12"/>
        <w:w w:val="96"/>
        <w:sz w:val="28"/>
        <w:szCs w:val="28"/>
        <w:lang w:val="zh-CN" w:eastAsia="zh-CN" w:bidi="zh-CN"/>
      </w:rPr>
    </w:lvl>
    <w:lvl w:ilvl="3" w:tentative="0">
      <w:start w:val="1"/>
      <w:numFmt w:val="decimal"/>
      <w:suff w:val="space"/>
      <w:lvlText w:val="(%4)"/>
      <w:lvlJc w:val="left"/>
      <w:pPr>
        <w:ind w:left="1964" w:hanging="423"/>
      </w:pPr>
      <w:rPr>
        <w:rFonts w:hint="default" w:ascii="仿宋" w:hAnsi="仿宋" w:eastAsia="仿宋" w:cs="仿宋"/>
        <w:spacing w:val="-8"/>
        <w:w w:val="99"/>
        <w:sz w:val="26"/>
        <w:szCs w:val="26"/>
        <w:lang w:val="zh-CN" w:eastAsia="zh-CN" w:bidi="zh-CN"/>
      </w:rPr>
    </w:lvl>
    <w:lvl w:ilvl="4" w:tentative="0">
      <w:start w:val="0"/>
      <w:numFmt w:val="bullet"/>
      <w:lvlText w:val="•"/>
      <w:lvlJc w:val="left"/>
      <w:pPr>
        <w:ind w:left="3184" w:hanging="423"/>
      </w:pPr>
      <w:rPr>
        <w:rFonts w:hint="default"/>
        <w:lang w:val="zh-CN" w:eastAsia="zh-CN" w:bidi="zh-CN"/>
      </w:rPr>
    </w:lvl>
    <w:lvl w:ilvl="5" w:tentative="0">
      <w:start w:val="0"/>
      <w:numFmt w:val="bullet"/>
      <w:lvlText w:val="•"/>
      <w:lvlJc w:val="left"/>
      <w:pPr>
        <w:ind w:left="4368" w:hanging="423"/>
      </w:pPr>
      <w:rPr>
        <w:rFonts w:hint="default"/>
        <w:lang w:val="zh-CN" w:eastAsia="zh-CN" w:bidi="zh-CN"/>
      </w:rPr>
    </w:lvl>
    <w:lvl w:ilvl="6" w:tentative="0">
      <w:start w:val="0"/>
      <w:numFmt w:val="bullet"/>
      <w:lvlText w:val="•"/>
      <w:lvlJc w:val="left"/>
      <w:pPr>
        <w:ind w:left="5552" w:hanging="423"/>
      </w:pPr>
      <w:rPr>
        <w:rFonts w:hint="default"/>
        <w:lang w:val="zh-CN" w:eastAsia="zh-CN" w:bidi="zh-CN"/>
      </w:rPr>
    </w:lvl>
    <w:lvl w:ilvl="7" w:tentative="0">
      <w:start w:val="0"/>
      <w:numFmt w:val="bullet"/>
      <w:lvlText w:val="•"/>
      <w:lvlJc w:val="left"/>
      <w:pPr>
        <w:ind w:left="6737" w:hanging="423"/>
      </w:pPr>
      <w:rPr>
        <w:rFonts w:hint="default"/>
        <w:lang w:val="zh-CN" w:eastAsia="zh-CN" w:bidi="zh-CN"/>
      </w:rPr>
    </w:lvl>
    <w:lvl w:ilvl="8" w:tentative="0">
      <w:start w:val="0"/>
      <w:numFmt w:val="bullet"/>
      <w:lvlText w:val="•"/>
      <w:lvlJc w:val="left"/>
      <w:pPr>
        <w:ind w:left="7921" w:hanging="423"/>
      </w:pPr>
      <w:rPr>
        <w:rFonts w:hint="default"/>
        <w:lang w:val="zh-CN" w:eastAsia="zh-CN" w:bidi="zh-CN"/>
      </w:rPr>
    </w:lvl>
  </w:abstractNum>
  <w:abstractNum w:abstractNumId="97">
    <w:nsid w:val="787C0FDA"/>
    <w:multiLevelType w:val="multilevel"/>
    <w:tmpl w:val="787C0FDA"/>
    <w:lvl w:ilvl="0" w:tentative="0">
      <w:start w:val="8"/>
      <w:numFmt w:val="decimal"/>
      <w:lvlText w:val="%1"/>
      <w:lvlJc w:val="left"/>
      <w:pPr>
        <w:ind w:left="1548" w:hanging="528"/>
      </w:pPr>
      <w:rPr>
        <w:rFonts w:hint="default"/>
        <w:lang w:val="zh-CN" w:eastAsia="zh-CN" w:bidi="zh-CN"/>
      </w:rPr>
    </w:lvl>
    <w:lvl w:ilvl="1" w:tentative="0">
      <w:start w:val="1"/>
      <w:numFmt w:val="decimal"/>
      <w:lvlText w:val="%1.%2"/>
      <w:lvlJc w:val="left"/>
      <w:pPr>
        <w:ind w:left="968" w:hanging="528"/>
      </w:pPr>
      <w:rPr>
        <w:rFonts w:hint="default" w:ascii="黑体" w:hAnsi="黑体" w:eastAsia="黑体" w:cs="黑体"/>
        <w:b/>
        <w:bCs/>
        <w:spacing w:val="0"/>
        <w:w w:val="99"/>
        <w:sz w:val="30"/>
        <w:szCs w:val="30"/>
        <w:lang w:val="zh-CN" w:eastAsia="zh-CN" w:bidi="zh-CN"/>
      </w:rPr>
    </w:lvl>
    <w:lvl w:ilvl="2" w:tentative="0">
      <w:start w:val="1"/>
      <w:numFmt w:val="decimal"/>
      <w:suff w:val="space"/>
      <w:lvlText w:val="（%3）"/>
      <w:lvlJc w:val="left"/>
      <w:pPr>
        <w:ind w:left="2284" w:hanging="704"/>
      </w:pPr>
      <w:rPr>
        <w:rFonts w:hint="default"/>
        <w:b w:val="0"/>
        <w:bCs w:val="0"/>
        <w:spacing w:val="0"/>
        <w:w w:val="96"/>
        <w:lang w:val="zh-CN" w:eastAsia="zh-CN" w:bidi="zh-CN"/>
      </w:rPr>
    </w:lvl>
    <w:lvl w:ilvl="3" w:tentative="0">
      <w:start w:val="0"/>
      <w:numFmt w:val="bullet"/>
      <w:lvlText w:val="•"/>
      <w:lvlJc w:val="left"/>
      <w:pPr>
        <w:ind w:left="4060" w:hanging="704"/>
      </w:pPr>
      <w:rPr>
        <w:rFonts w:hint="default"/>
        <w:lang w:val="zh-CN" w:eastAsia="zh-CN" w:bidi="zh-CN"/>
      </w:rPr>
    </w:lvl>
    <w:lvl w:ilvl="4" w:tentative="0">
      <w:start w:val="0"/>
      <w:numFmt w:val="bullet"/>
      <w:lvlText w:val="•"/>
      <w:lvlJc w:val="left"/>
      <w:pPr>
        <w:ind w:left="4950" w:hanging="704"/>
      </w:pPr>
      <w:rPr>
        <w:rFonts w:hint="default"/>
        <w:lang w:val="zh-CN" w:eastAsia="zh-CN" w:bidi="zh-CN"/>
      </w:rPr>
    </w:lvl>
    <w:lvl w:ilvl="5" w:tentative="0">
      <w:start w:val="0"/>
      <w:numFmt w:val="bullet"/>
      <w:lvlText w:val="•"/>
      <w:lvlJc w:val="left"/>
      <w:pPr>
        <w:ind w:left="5840" w:hanging="704"/>
      </w:pPr>
      <w:rPr>
        <w:rFonts w:hint="default"/>
        <w:lang w:val="zh-CN" w:eastAsia="zh-CN" w:bidi="zh-CN"/>
      </w:rPr>
    </w:lvl>
    <w:lvl w:ilvl="6" w:tentative="0">
      <w:start w:val="0"/>
      <w:numFmt w:val="bullet"/>
      <w:lvlText w:val="•"/>
      <w:lvlJc w:val="left"/>
      <w:pPr>
        <w:ind w:left="6730" w:hanging="704"/>
      </w:pPr>
      <w:rPr>
        <w:rFonts w:hint="default"/>
        <w:lang w:val="zh-CN" w:eastAsia="zh-CN" w:bidi="zh-CN"/>
      </w:rPr>
    </w:lvl>
    <w:lvl w:ilvl="7" w:tentative="0">
      <w:start w:val="0"/>
      <w:numFmt w:val="bullet"/>
      <w:lvlText w:val="•"/>
      <w:lvlJc w:val="left"/>
      <w:pPr>
        <w:ind w:left="7620" w:hanging="704"/>
      </w:pPr>
      <w:rPr>
        <w:rFonts w:hint="default"/>
        <w:lang w:val="zh-CN" w:eastAsia="zh-CN" w:bidi="zh-CN"/>
      </w:rPr>
    </w:lvl>
    <w:lvl w:ilvl="8" w:tentative="0">
      <w:start w:val="0"/>
      <w:numFmt w:val="bullet"/>
      <w:lvlText w:val="•"/>
      <w:lvlJc w:val="left"/>
      <w:pPr>
        <w:ind w:left="8510" w:hanging="704"/>
      </w:pPr>
      <w:rPr>
        <w:rFonts w:hint="default"/>
        <w:lang w:val="zh-CN" w:eastAsia="zh-CN" w:bidi="zh-CN"/>
      </w:rPr>
    </w:lvl>
  </w:abstractNum>
  <w:abstractNum w:abstractNumId="98">
    <w:nsid w:val="7BB23ACA"/>
    <w:multiLevelType w:val="multilevel"/>
    <w:tmpl w:val="7BB23ACA"/>
    <w:lvl w:ilvl="0" w:tentative="0">
      <w:start w:val="14"/>
      <w:numFmt w:val="decimal"/>
      <w:lvlText w:val="%1"/>
      <w:lvlJc w:val="left"/>
      <w:pPr>
        <w:ind w:left="1015" w:hanging="759"/>
      </w:pPr>
      <w:rPr>
        <w:rFonts w:hint="default"/>
        <w:lang w:val="zh-CN" w:eastAsia="zh-CN" w:bidi="zh-CN"/>
      </w:rPr>
    </w:lvl>
    <w:lvl w:ilvl="1" w:tentative="0">
      <w:start w:val="1"/>
      <w:numFmt w:val="decimal"/>
      <w:suff w:val="space"/>
      <w:lvlText w:val="%1.%2"/>
      <w:lvlJc w:val="left"/>
      <w:pPr>
        <w:ind w:left="0" w:firstLine="0"/>
      </w:pPr>
      <w:rPr>
        <w:rFonts w:hint="default" w:ascii="黑体" w:hAnsi="黑体" w:eastAsia="黑体" w:cs="黑体"/>
        <w:b/>
        <w:bCs/>
        <w:spacing w:val="0"/>
        <w:w w:val="99"/>
        <w:sz w:val="30"/>
        <w:szCs w:val="30"/>
        <w:lang w:val="zh-CN" w:eastAsia="zh-CN" w:bidi="zh-CN"/>
      </w:rPr>
    </w:lvl>
    <w:lvl w:ilvl="2" w:tentative="0">
      <w:start w:val="1"/>
      <w:numFmt w:val="decimal"/>
      <w:suff w:val="space"/>
      <w:lvlText w:val="（%3）"/>
      <w:lvlJc w:val="left"/>
      <w:pPr>
        <w:ind w:left="1242" w:hanging="420"/>
      </w:pPr>
      <w:rPr>
        <w:rFonts w:hint="default" w:ascii="仿宋" w:hAnsi="仿宋" w:eastAsia="仿宋" w:cs="仿宋"/>
        <w:spacing w:val="-3"/>
        <w:w w:val="99"/>
        <w:sz w:val="26"/>
        <w:szCs w:val="26"/>
        <w:lang w:val="zh-CN" w:eastAsia="zh-CN" w:bidi="zh-CN"/>
      </w:rPr>
    </w:lvl>
    <w:lvl w:ilvl="3" w:tentative="0">
      <w:start w:val="0"/>
      <w:numFmt w:val="bullet"/>
      <w:lvlText w:val="•"/>
      <w:lvlJc w:val="left"/>
      <w:pPr>
        <w:ind w:left="3795" w:hanging="699"/>
      </w:pPr>
      <w:rPr>
        <w:rFonts w:hint="default"/>
        <w:lang w:val="zh-CN" w:eastAsia="zh-CN" w:bidi="zh-CN"/>
      </w:rPr>
    </w:lvl>
    <w:lvl w:ilvl="4" w:tentative="0">
      <w:start w:val="0"/>
      <w:numFmt w:val="bullet"/>
      <w:lvlText w:val="•"/>
      <w:lvlJc w:val="left"/>
      <w:pPr>
        <w:ind w:left="4723" w:hanging="699"/>
      </w:pPr>
      <w:rPr>
        <w:rFonts w:hint="default"/>
        <w:lang w:val="zh-CN" w:eastAsia="zh-CN" w:bidi="zh-CN"/>
      </w:rPr>
    </w:lvl>
    <w:lvl w:ilvl="5" w:tentative="0">
      <w:start w:val="0"/>
      <w:numFmt w:val="bullet"/>
      <w:lvlText w:val="•"/>
      <w:lvlJc w:val="left"/>
      <w:pPr>
        <w:ind w:left="5651" w:hanging="699"/>
      </w:pPr>
      <w:rPr>
        <w:rFonts w:hint="default"/>
        <w:lang w:val="zh-CN" w:eastAsia="zh-CN" w:bidi="zh-CN"/>
      </w:rPr>
    </w:lvl>
    <w:lvl w:ilvl="6" w:tentative="0">
      <w:start w:val="0"/>
      <w:numFmt w:val="bullet"/>
      <w:lvlText w:val="•"/>
      <w:lvlJc w:val="left"/>
      <w:pPr>
        <w:ind w:left="6578" w:hanging="699"/>
      </w:pPr>
      <w:rPr>
        <w:rFonts w:hint="default"/>
        <w:lang w:val="zh-CN" w:eastAsia="zh-CN" w:bidi="zh-CN"/>
      </w:rPr>
    </w:lvl>
    <w:lvl w:ilvl="7" w:tentative="0">
      <w:start w:val="0"/>
      <w:numFmt w:val="bullet"/>
      <w:lvlText w:val="•"/>
      <w:lvlJc w:val="left"/>
      <w:pPr>
        <w:ind w:left="7506" w:hanging="699"/>
      </w:pPr>
      <w:rPr>
        <w:rFonts w:hint="default"/>
        <w:lang w:val="zh-CN" w:eastAsia="zh-CN" w:bidi="zh-CN"/>
      </w:rPr>
    </w:lvl>
    <w:lvl w:ilvl="8" w:tentative="0">
      <w:start w:val="0"/>
      <w:numFmt w:val="bullet"/>
      <w:lvlText w:val="•"/>
      <w:lvlJc w:val="left"/>
      <w:pPr>
        <w:ind w:left="8434" w:hanging="699"/>
      </w:pPr>
      <w:rPr>
        <w:rFonts w:hint="default"/>
        <w:lang w:val="zh-CN" w:eastAsia="zh-CN" w:bidi="zh-CN"/>
      </w:rPr>
    </w:lvl>
  </w:abstractNum>
  <w:abstractNum w:abstractNumId="99">
    <w:nsid w:val="7CB95DD6"/>
    <w:multiLevelType w:val="multilevel"/>
    <w:tmpl w:val="7CB95DD6"/>
    <w:lvl w:ilvl="0" w:tentative="0">
      <w:start w:val="11"/>
      <w:numFmt w:val="decimal"/>
      <w:lvlText w:val="%1"/>
      <w:lvlJc w:val="left"/>
      <w:pPr>
        <w:ind w:left="1699" w:hanging="680"/>
      </w:pPr>
      <w:rPr>
        <w:rFonts w:hint="default"/>
        <w:lang w:val="zh-CN" w:eastAsia="zh-CN" w:bidi="zh-CN"/>
      </w:rPr>
    </w:lvl>
    <w:lvl w:ilvl="1" w:tentative="0">
      <w:start w:val="1"/>
      <w:numFmt w:val="decimal"/>
      <w:suff w:val="space"/>
      <w:lvlText w:val="%1.%2"/>
      <w:lvlJc w:val="left"/>
      <w:pPr>
        <w:ind w:left="0" w:firstLine="0"/>
      </w:pPr>
      <w:rPr>
        <w:rFonts w:hint="default" w:ascii="黑体" w:hAnsi="黑体" w:eastAsia="黑体" w:cs="黑体"/>
        <w:b/>
        <w:bCs/>
        <w:spacing w:val="-2"/>
        <w:w w:val="99"/>
        <w:sz w:val="30"/>
        <w:szCs w:val="30"/>
        <w:lang w:val="zh-CN" w:eastAsia="zh-CN" w:bidi="zh-CN"/>
      </w:rPr>
    </w:lvl>
    <w:lvl w:ilvl="2" w:tentative="0">
      <w:start w:val="1"/>
      <w:numFmt w:val="decimal"/>
      <w:suff w:val="space"/>
      <w:lvlText w:val="（%3）"/>
      <w:lvlJc w:val="left"/>
      <w:pPr>
        <w:ind w:left="1020" w:hanging="669"/>
      </w:pPr>
      <w:rPr>
        <w:rFonts w:hint="default" w:ascii="仿宋" w:hAnsi="仿宋" w:eastAsia="仿宋" w:cs="仿宋"/>
        <w:spacing w:val="-5"/>
        <w:w w:val="99"/>
        <w:sz w:val="26"/>
        <w:szCs w:val="26"/>
        <w:lang w:val="zh-CN" w:eastAsia="zh-CN" w:bidi="zh-CN"/>
      </w:rPr>
    </w:lvl>
    <w:lvl w:ilvl="3" w:tentative="0">
      <w:start w:val="0"/>
      <w:numFmt w:val="bullet"/>
      <w:lvlText w:val="•"/>
      <w:lvlJc w:val="left"/>
      <w:pPr>
        <w:ind w:left="3608" w:hanging="694"/>
      </w:pPr>
      <w:rPr>
        <w:rFonts w:hint="default"/>
        <w:lang w:val="zh-CN" w:eastAsia="zh-CN" w:bidi="zh-CN"/>
      </w:rPr>
    </w:lvl>
    <w:lvl w:ilvl="4" w:tentative="0">
      <w:start w:val="0"/>
      <w:numFmt w:val="bullet"/>
      <w:lvlText w:val="•"/>
      <w:lvlJc w:val="left"/>
      <w:pPr>
        <w:ind w:left="4563" w:hanging="694"/>
      </w:pPr>
      <w:rPr>
        <w:rFonts w:hint="default"/>
        <w:lang w:val="zh-CN" w:eastAsia="zh-CN" w:bidi="zh-CN"/>
      </w:rPr>
    </w:lvl>
    <w:lvl w:ilvl="5" w:tentative="0">
      <w:start w:val="0"/>
      <w:numFmt w:val="bullet"/>
      <w:lvlText w:val="•"/>
      <w:lvlJc w:val="left"/>
      <w:pPr>
        <w:ind w:left="5517" w:hanging="694"/>
      </w:pPr>
      <w:rPr>
        <w:rFonts w:hint="default"/>
        <w:lang w:val="zh-CN" w:eastAsia="zh-CN" w:bidi="zh-CN"/>
      </w:rPr>
    </w:lvl>
    <w:lvl w:ilvl="6" w:tentative="0">
      <w:start w:val="0"/>
      <w:numFmt w:val="bullet"/>
      <w:lvlText w:val="•"/>
      <w:lvlJc w:val="left"/>
      <w:pPr>
        <w:ind w:left="6472" w:hanging="694"/>
      </w:pPr>
      <w:rPr>
        <w:rFonts w:hint="default"/>
        <w:lang w:val="zh-CN" w:eastAsia="zh-CN" w:bidi="zh-CN"/>
      </w:rPr>
    </w:lvl>
    <w:lvl w:ilvl="7" w:tentative="0">
      <w:start w:val="0"/>
      <w:numFmt w:val="bullet"/>
      <w:lvlText w:val="•"/>
      <w:lvlJc w:val="left"/>
      <w:pPr>
        <w:ind w:left="7426" w:hanging="694"/>
      </w:pPr>
      <w:rPr>
        <w:rFonts w:hint="default"/>
        <w:lang w:val="zh-CN" w:eastAsia="zh-CN" w:bidi="zh-CN"/>
      </w:rPr>
    </w:lvl>
    <w:lvl w:ilvl="8" w:tentative="0">
      <w:start w:val="0"/>
      <w:numFmt w:val="bullet"/>
      <w:lvlText w:val="•"/>
      <w:lvlJc w:val="left"/>
      <w:pPr>
        <w:ind w:left="8381" w:hanging="694"/>
      </w:pPr>
      <w:rPr>
        <w:rFonts w:hint="default"/>
        <w:lang w:val="zh-CN" w:eastAsia="zh-CN" w:bidi="zh-CN"/>
      </w:rPr>
    </w:lvl>
  </w:abstractNum>
  <w:abstractNum w:abstractNumId="100">
    <w:nsid w:val="7DEC2089"/>
    <w:multiLevelType w:val="multilevel"/>
    <w:tmpl w:val="7DEC2089"/>
    <w:lvl w:ilvl="0" w:tentative="0">
      <w:start w:val="1"/>
      <w:numFmt w:val="decimal"/>
      <w:suff w:val="space"/>
      <w:lvlText w:val="%1)"/>
      <w:lvlJc w:val="left"/>
      <w:pPr>
        <w:ind w:left="1020" w:hanging="274"/>
      </w:pPr>
      <w:rPr>
        <w:rFonts w:hint="default" w:ascii="仿宋" w:hAnsi="仿宋" w:eastAsia="仿宋" w:cs="仿宋"/>
        <w:spacing w:val="-10"/>
        <w:w w:val="99"/>
        <w:sz w:val="26"/>
        <w:szCs w:val="26"/>
        <w:lang w:val="zh-CN" w:eastAsia="zh-CN" w:bidi="zh-CN"/>
      </w:rPr>
    </w:lvl>
    <w:lvl w:ilvl="1" w:tentative="0">
      <w:start w:val="0"/>
      <w:numFmt w:val="bullet"/>
      <w:lvlText w:val="•"/>
      <w:lvlJc w:val="left"/>
      <w:pPr>
        <w:ind w:left="1947" w:hanging="274"/>
      </w:pPr>
      <w:rPr>
        <w:rFonts w:hint="default"/>
        <w:lang w:val="zh-CN" w:eastAsia="zh-CN" w:bidi="zh-CN"/>
      </w:rPr>
    </w:lvl>
    <w:lvl w:ilvl="2" w:tentative="0">
      <w:start w:val="0"/>
      <w:numFmt w:val="bullet"/>
      <w:lvlText w:val="•"/>
      <w:lvlJc w:val="left"/>
      <w:pPr>
        <w:ind w:left="2874" w:hanging="274"/>
      </w:pPr>
      <w:rPr>
        <w:rFonts w:hint="default"/>
        <w:lang w:val="zh-CN" w:eastAsia="zh-CN" w:bidi="zh-CN"/>
      </w:rPr>
    </w:lvl>
    <w:lvl w:ilvl="3" w:tentative="0">
      <w:start w:val="0"/>
      <w:numFmt w:val="bullet"/>
      <w:lvlText w:val="•"/>
      <w:lvlJc w:val="left"/>
      <w:pPr>
        <w:ind w:left="3801" w:hanging="274"/>
      </w:pPr>
      <w:rPr>
        <w:rFonts w:hint="default"/>
        <w:lang w:val="zh-CN" w:eastAsia="zh-CN" w:bidi="zh-CN"/>
      </w:rPr>
    </w:lvl>
    <w:lvl w:ilvl="4" w:tentative="0">
      <w:start w:val="0"/>
      <w:numFmt w:val="bullet"/>
      <w:lvlText w:val="•"/>
      <w:lvlJc w:val="left"/>
      <w:pPr>
        <w:ind w:left="4728" w:hanging="274"/>
      </w:pPr>
      <w:rPr>
        <w:rFonts w:hint="default"/>
        <w:lang w:val="zh-CN" w:eastAsia="zh-CN" w:bidi="zh-CN"/>
      </w:rPr>
    </w:lvl>
    <w:lvl w:ilvl="5" w:tentative="0">
      <w:start w:val="0"/>
      <w:numFmt w:val="bullet"/>
      <w:lvlText w:val="•"/>
      <w:lvlJc w:val="left"/>
      <w:pPr>
        <w:ind w:left="5655" w:hanging="274"/>
      </w:pPr>
      <w:rPr>
        <w:rFonts w:hint="default"/>
        <w:lang w:val="zh-CN" w:eastAsia="zh-CN" w:bidi="zh-CN"/>
      </w:rPr>
    </w:lvl>
    <w:lvl w:ilvl="6" w:tentative="0">
      <w:start w:val="0"/>
      <w:numFmt w:val="bullet"/>
      <w:lvlText w:val="•"/>
      <w:lvlJc w:val="left"/>
      <w:pPr>
        <w:ind w:left="6582" w:hanging="274"/>
      </w:pPr>
      <w:rPr>
        <w:rFonts w:hint="default"/>
        <w:lang w:val="zh-CN" w:eastAsia="zh-CN" w:bidi="zh-CN"/>
      </w:rPr>
    </w:lvl>
    <w:lvl w:ilvl="7" w:tentative="0">
      <w:start w:val="0"/>
      <w:numFmt w:val="bullet"/>
      <w:lvlText w:val="•"/>
      <w:lvlJc w:val="left"/>
      <w:pPr>
        <w:ind w:left="7509" w:hanging="274"/>
      </w:pPr>
      <w:rPr>
        <w:rFonts w:hint="default"/>
        <w:lang w:val="zh-CN" w:eastAsia="zh-CN" w:bidi="zh-CN"/>
      </w:rPr>
    </w:lvl>
    <w:lvl w:ilvl="8" w:tentative="0">
      <w:start w:val="0"/>
      <w:numFmt w:val="bullet"/>
      <w:lvlText w:val="•"/>
      <w:lvlJc w:val="left"/>
      <w:pPr>
        <w:ind w:left="8436" w:hanging="274"/>
      </w:pPr>
      <w:rPr>
        <w:rFonts w:hint="default"/>
        <w:lang w:val="zh-CN" w:eastAsia="zh-CN" w:bidi="zh-CN"/>
      </w:rPr>
    </w:lvl>
  </w:abstractNum>
  <w:num w:numId="1">
    <w:abstractNumId w:val="37"/>
  </w:num>
  <w:num w:numId="2">
    <w:abstractNumId w:val="43"/>
  </w:num>
  <w:num w:numId="3">
    <w:abstractNumId w:val="17"/>
  </w:num>
  <w:num w:numId="4">
    <w:abstractNumId w:val="38"/>
  </w:num>
  <w:num w:numId="5">
    <w:abstractNumId w:val="79"/>
  </w:num>
  <w:num w:numId="6">
    <w:abstractNumId w:val="81"/>
  </w:num>
  <w:num w:numId="7">
    <w:abstractNumId w:val="35"/>
  </w:num>
  <w:num w:numId="8">
    <w:abstractNumId w:val="96"/>
  </w:num>
  <w:num w:numId="9">
    <w:abstractNumId w:val="27"/>
  </w:num>
  <w:num w:numId="10">
    <w:abstractNumId w:val="51"/>
  </w:num>
  <w:num w:numId="11">
    <w:abstractNumId w:val="9"/>
  </w:num>
  <w:num w:numId="12">
    <w:abstractNumId w:val="74"/>
  </w:num>
  <w:num w:numId="13">
    <w:abstractNumId w:val="3"/>
  </w:num>
  <w:num w:numId="14">
    <w:abstractNumId w:val="87"/>
  </w:num>
  <w:num w:numId="15">
    <w:abstractNumId w:val="100"/>
  </w:num>
  <w:num w:numId="16">
    <w:abstractNumId w:val="1"/>
  </w:num>
  <w:num w:numId="17">
    <w:abstractNumId w:val="66"/>
  </w:num>
  <w:num w:numId="18">
    <w:abstractNumId w:val="36"/>
  </w:num>
  <w:num w:numId="19">
    <w:abstractNumId w:val="72"/>
  </w:num>
  <w:num w:numId="20">
    <w:abstractNumId w:val="18"/>
  </w:num>
  <w:num w:numId="21">
    <w:abstractNumId w:val="23"/>
  </w:num>
  <w:num w:numId="22">
    <w:abstractNumId w:val="22"/>
  </w:num>
  <w:num w:numId="23">
    <w:abstractNumId w:val="89"/>
  </w:num>
  <w:num w:numId="24">
    <w:abstractNumId w:val="57"/>
  </w:num>
  <w:num w:numId="25">
    <w:abstractNumId w:val="91"/>
  </w:num>
  <w:num w:numId="26">
    <w:abstractNumId w:val="93"/>
  </w:num>
  <w:num w:numId="27">
    <w:abstractNumId w:val="82"/>
  </w:num>
  <w:num w:numId="28">
    <w:abstractNumId w:val="59"/>
  </w:num>
  <w:num w:numId="29">
    <w:abstractNumId w:val="60"/>
  </w:num>
  <w:num w:numId="30">
    <w:abstractNumId w:val="65"/>
  </w:num>
  <w:num w:numId="31">
    <w:abstractNumId w:val="20"/>
  </w:num>
  <w:num w:numId="32">
    <w:abstractNumId w:val="76"/>
  </w:num>
  <w:num w:numId="33">
    <w:abstractNumId w:val="49"/>
  </w:num>
  <w:num w:numId="34">
    <w:abstractNumId w:val="29"/>
  </w:num>
  <w:num w:numId="35">
    <w:abstractNumId w:val="53"/>
  </w:num>
  <w:num w:numId="36">
    <w:abstractNumId w:val="19"/>
  </w:num>
  <w:num w:numId="37">
    <w:abstractNumId w:val="75"/>
  </w:num>
  <w:num w:numId="38">
    <w:abstractNumId w:val="15"/>
  </w:num>
  <w:num w:numId="39">
    <w:abstractNumId w:val="71"/>
  </w:num>
  <w:num w:numId="40">
    <w:abstractNumId w:val="46"/>
  </w:num>
  <w:num w:numId="41">
    <w:abstractNumId w:val="56"/>
  </w:num>
  <w:num w:numId="42">
    <w:abstractNumId w:val="39"/>
  </w:num>
  <w:num w:numId="43">
    <w:abstractNumId w:val="14"/>
  </w:num>
  <w:num w:numId="44">
    <w:abstractNumId w:val="95"/>
  </w:num>
  <w:num w:numId="45">
    <w:abstractNumId w:val="45"/>
  </w:num>
  <w:num w:numId="46">
    <w:abstractNumId w:val="34"/>
  </w:num>
  <w:num w:numId="47">
    <w:abstractNumId w:val="92"/>
  </w:num>
  <w:num w:numId="48">
    <w:abstractNumId w:val="50"/>
  </w:num>
  <w:num w:numId="49">
    <w:abstractNumId w:val="52"/>
  </w:num>
  <w:num w:numId="50">
    <w:abstractNumId w:val="21"/>
  </w:num>
  <w:num w:numId="51">
    <w:abstractNumId w:val="78"/>
  </w:num>
  <w:num w:numId="52">
    <w:abstractNumId w:val="40"/>
  </w:num>
  <w:num w:numId="53">
    <w:abstractNumId w:val="11"/>
  </w:num>
  <w:num w:numId="54">
    <w:abstractNumId w:val="88"/>
  </w:num>
  <w:num w:numId="55">
    <w:abstractNumId w:val="25"/>
  </w:num>
  <w:num w:numId="56">
    <w:abstractNumId w:val="10"/>
  </w:num>
  <w:num w:numId="57">
    <w:abstractNumId w:val="12"/>
  </w:num>
  <w:num w:numId="58">
    <w:abstractNumId w:val="5"/>
  </w:num>
  <w:num w:numId="59">
    <w:abstractNumId w:val="7"/>
  </w:num>
  <w:num w:numId="60">
    <w:abstractNumId w:val="58"/>
  </w:num>
  <w:num w:numId="61">
    <w:abstractNumId w:val="26"/>
  </w:num>
  <w:num w:numId="62">
    <w:abstractNumId w:val="55"/>
  </w:num>
  <w:num w:numId="63">
    <w:abstractNumId w:val="32"/>
  </w:num>
  <w:num w:numId="64">
    <w:abstractNumId w:val="0"/>
  </w:num>
  <w:num w:numId="65">
    <w:abstractNumId w:val="62"/>
  </w:num>
  <w:num w:numId="66">
    <w:abstractNumId w:val="44"/>
  </w:num>
  <w:num w:numId="67">
    <w:abstractNumId w:val="83"/>
  </w:num>
  <w:num w:numId="68">
    <w:abstractNumId w:val="24"/>
  </w:num>
  <w:num w:numId="69">
    <w:abstractNumId w:val="97"/>
  </w:num>
  <w:num w:numId="70">
    <w:abstractNumId w:val="80"/>
  </w:num>
  <w:num w:numId="71">
    <w:abstractNumId w:val="16"/>
  </w:num>
  <w:num w:numId="72">
    <w:abstractNumId w:val="2"/>
  </w:num>
  <w:num w:numId="73">
    <w:abstractNumId w:val="6"/>
  </w:num>
  <w:num w:numId="74">
    <w:abstractNumId w:val="48"/>
  </w:num>
  <w:num w:numId="75">
    <w:abstractNumId w:val="13"/>
  </w:num>
  <w:num w:numId="76">
    <w:abstractNumId w:val="28"/>
  </w:num>
  <w:num w:numId="77">
    <w:abstractNumId w:val="30"/>
  </w:num>
  <w:num w:numId="78">
    <w:abstractNumId w:val="42"/>
  </w:num>
  <w:num w:numId="79">
    <w:abstractNumId w:val="90"/>
  </w:num>
  <w:num w:numId="80">
    <w:abstractNumId w:val="41"/>
  </w:num>
  <w:num w:numId="81">
    <w:abstractNumId w:val="99"/>
  </w:num>
  <w:num w:numId="82">
    <w:abstractNumId w:val="47"/>
  </w:num>
  <w:num w:numId="83">
    <w:abstractNumId w:val="86"/>
  </w:num>
  <w:num w:numId="84">
    <w:abstractNumId w:val="61"/>
  </w:num>
  <w:num w:numId="85">
    <w:abstractNumId w:val="94"/>
  </w:num>
  <w:num w:numId="86">
    <w:abstractNumId w:val="54"/>
  </w:num>
  <w:num w:numId="87">
    <w:abstractNumId w:val="70"/>
  </w:num>
  <w:num w:numId="88">
    <w:abstractNumId w:val="85"/>
  </w:num>
  <w:num w:numId="89">
    <w:abstractNumId w:val="8"/>
  </w:num>
  <w:num w:numId="90">
    <w:abstractNumId w:val="68"/>
  </w:num>
  <w:num w:numId="91">
    <w:abstractNumId w:val="98"/>
  </w:num>
  <w:num w:numId="92">
    <w:abstractNumId w:val="69"/>
  </w:num>
  <w:num w:numId="93">
    <w:abstractNumId w:val="67"/>
  </w:num>
  <w:num w:numId="94">
    <w:abstractNumId w:val="77"/>
  </w:num>
  <w:num w:numId="95">
    <w:abstractNumId w:val="84"/>
  </w:num>
  <w:num w:numId="96">
    <w:abstractNumId w:val="37"/>
    <w:lvlOverride w:ilvl="0">
      <w:startOverride w:val="12"/>
    </w:lvlOverride>
    <w:lvlOverride w:ilvl="1">
      <w:startOverride w:val="1"/>
    </w:lvlOverride>
    <w:lvlOverride w:ilvl="2">
      <w:startOverride w:val="1"/>
    </w:lvlOverride>
  </w:num>
  <w:num w:numId="97">
    <w:abstractNumId w:val="73"/>
  </w:num>
  <w:num w:numId="98">
    <w:abstractNumId w:val="31"/>
  </w:num>
  <w:num w:numId="99">
    <w:abstractNumId w:val="64"/>
  </w:num>
  <w:num w:numId="100">
    <w:abstractNumId w:val="4"/>
  </w:num>
  <w:num w:numId="101">
    <w:abstractNumId w:val="33"/>
  </w:num>
  <w:num w:numId="102">
    <w:abstractNumId w:val="6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220"/>
  <w:drawingGridHorizontalSpacing w:val="110"/>
  <w:displayHorizontalDrawingGridEvery w:val="1"/>
  <w:displayVerticalDrawingGridEvery w:val="1"/>
  <w:noPunctuationKerning w:val="1"/>
  <w:characterSpacingControl w:val="doNotCompress"/>
  <w:compat>
    <w:ulTrailSpace/>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jNmMmNkNjk2YTc1M2QyYTI0ZDVlNzkzMTM5MTJlNDEifQ=="/>
    <w:docVar w:name="KSO_WPS_MARK_KEY" w:val="6b92889c-feeb-4e31-9dd2-749042d6d1b3"/>
  </w:docVars>
  <w:rsids>
    <w:rsidRoot w:val="00157EC1"/>
    <w:rsid w:val="00004445"/>
    <w:rsid w:val="00015304"/>
    <w:rsid w:val="000179CF"/>
    <w:rsid w:val="00053FFE"/>
    <w:rsid w:val="00075F09"/>
    <w:rsid w:val="00077415"/>
    <w:rsid w:val="00094E37"/>
    <w:rsid w:val="00096F59"/>
    <w:rsid w:val="000E6C5B"/>
    <w:rsid w:val="000F6109"/>
    <w:rsid w:val="000F6F47"/>
    <w:rsid w:val="00121E22"/>
    <w:rsid w:val="00122612"/>
    <w:rsid w:val="00127099"/>
    <w:rsid w:val="00132140"/>
    <w:rsid w:val="00140391"/>
    <w:rsid w:val="00157EC1"/>
    <w:rsid w:val="00174F97"/>
    <w:rsid w:val="00186546"/>
    <w:rsid w:val="0019630B"/>
    <w:rsid w:val="001A54B1"/>
    <w:rsid w:val="001B1F0D"/>
    <w:rsid w:val="001D1ADB"/>
    <w:rsid w:val="001D4621"/>
    <w:rsid w:val="001E2731"/>
    <w:rsid w:val="001F6E35"/>
    <w:rsid w:val="00202A7A"/>
    <w:rsid w:val="002179D9"/>
    <w:rsid w:val="0029727A"/>
    <w:rsid w:val="002B00EF"/>
    <w:rsid w:val="002C578C"/>
    <w:rsid w:val="002D1307"/>
    <w:rsid w:val="002E3C22"/>
    <w:rsid w:val="002F3B7D"/>
    <w:rsid w:val="00302BD0"/>
    <w:rsid w:val="00305BE3"/>
    <w:rsid w:val="0031692B"/>
    <w:rsid w:val="00351634"/>
    <w:rsid w:val="0035478F"/>
    <w:rsid w:val="00356E27"/>
    <w:rsid w:val="00374606"/>
    <w:rsid w:val="003775A5"/>
    <w:rsid w:val="003A0211"/>
    <w:rsid w:val="003A15BE"/>
    <w:rsid w:val="003C11FF"/>
    <w:rsid w:val="003C326A"/>
    <w:rsid w:val="003E0810"/>
    <w:rsid w:val="003F1D72"/>
    <w:rsid w:val="00411512"/>
    <w:rsid w:val="00424321"/>
    <w:rsid w:val="00440B7A"/>
    <w:rsid w:val="00482784"/>
    <w:rsid w:val="00487647"/>
    <w:rsid w:val="00494090"/>
    <w:rsid w:val="004A005F"/>
    <w:rsid w:val="004A18FA"/>
    <w:rsid w:val="004A2535"/>
    <w:rsid w:val="004A7D7A"/>
    <w:rsid w:val="004B38DB"/>
    <w:rsid w:val="004C52BF"/>
    <w:rsid w:val="004D5219"/>
    <w:rsid w:val="004E11A4"/>
    <w:rsid w:val="004E51C4"/>
    <w:rsid w:val="00501658"/>
    <w:rsid w:val="00514737"/>
    <w:rsid w:val="005174FB"/>
    <w:rsid w:val="005374AC"/>
    <w:rsid w:val="00557AC0"/>
    <w:rsid w:val="005651A9"/>
    <w:rsid w:val="00597736"/>
    <w:rsid w:val="005B3B41"/>
    <w:rsid w:val="005D04C2"/>
    <w:rsid w:val="00600EF0"/>
    <w:rsid w:val="00607D0B"/>
    <w:rsid w:val="00615B1B"/>
    <w:rsid w:val="006164C9"/>
    <w:rsid w:val="0061694F"/>
    <w:rsid w:val="00644B91"/>
    <w:rsid w:val="0068030D"/>
    <w:rsid w:val="00680B0C"/>
    <w:rsid w:val="0069224C"/>
    <w:rsid w:val="00693A58"/>
    <w:rsid w:val="006A1589"/>
    <w:rsid w:val="006B2FE9"/>
    <w:rsid w:val="006B3CD0"/>
    <w:rsid w:val="006B49B4"/>
    <w:rsid w:val="006B6D56"/>
    <w:rsid w:val="006D6B5E"/>
    <w:rsid w:val="00723DA6"/>
    <w:rsid w:val="0073794F"/>
    <w:rsid w:val="00743D6C"/>
    <w:rsid w:val="00750E7E"/>
    <w:rsid w:val="00761834"/>
    <w:rsid w:val="00775A60"/>
    <w:rsid w:val="00776B0E"/>
    <w:rsid w:val="00787CCD"/>
    <w:rsid w:val="007C7DAC"/>
    <w:rsid w:val="007D211B"/>
    <w:rsid w:val="007F707E"/>
    <w:rsid w:val="00831729"/>
    <w:rsid w:val="00840507"/>
    <w:rsid w:val="00844B26"/>
    <w:rsid w:val="00863495"/>
    <w:rsid w:val="00897749"/>
    <w:rsid w:val="008A49D8"/>
    <w:rsid w:val="008C77D8"/>
    <w:rsid w:val="008E76E7"/>
    <w:rsid w:val="0091305C"/>
    <w:rsid w:val="00913731"/>
    <w:rsid w:val="009220B1"/>
    <w:rsid w:val="00923CE1"/>
    <w:rsid w:val="00930778"/>
    <w:rsid w:val="00937593"/>
    <w:rsid w:val="009513B1"/>
    <w:rsid w:val="00986AC0"/>
    <w:rsid w:val="009937FB"/>
    <w:rsid w:val="009A43E7"/>
    <w:rsid w:val="009A63D9"/>
    <w:rsid w:val="009A6D28"/>
    <w:rsid w:val="009B45FC"/>
    <w:rsid w:val="009D2595"/>
    <w:rsid w:val="009E251B"/>
    <w:rsid w:val="009F751A"/>
    <w:rsid w:val="00A239B2"/>
    <w:rsid w:val="00A4262C"/>
    <w:rsid w:val="00A53F1B"/>
    <w:rsid w:val="00A70F80"/>
    <w:rsid w:val="00A86C85"/>
    <w:rsid w:val="00A90F56"/>
    <w:rsid w:val="00AA0D18"/>
    <w:rsid w:val="00AA3F73"/>
    <w:rsid w:val="00AA5418"/>
    <w:rsid w:val="00AB3C83"/>
    <w:rsid w:val="00AD37FF"/>
    <w:rsid w:val="00AE7A15"/>
    <w:rsid w:val="00AF4122"/>
    <w:rsid w:val="00B00181"/>
    <w:rsid w:val="00B02A00"/>
    <w:rsid w:val="00B1710D"/>
    <w:rsid w:val="00B30B5A"/>
    <w:rsid w:val="00B3612C"/>
    <w:rsid w:val="00B375A5"/>
    <w:rsid w:val="00B60349"/>
    <w:rsid w:val="00B60EA6"/>
    <w:rsid w:val="00B751F5"/>
    <w:rsid w:val="00B80981"/>
    <w:rsid w:val="00B837B2"/>
    <w:rsid w:val="00B8515E"/>
    <w:rsid w:val="00BA3CEE"/>
    <w:rsid w:val="00BC15E0"/>
    <w:rsid w:val="00BC352A"/>
    <w:rsid w:val="00BC63F0"/>
    <w:rsid w:val="00BD3A03"/>
    <w:rsid w:val="00BE1E76"/>
    <w:rsid w:val="00C16761"/>
    <w:rsid w:val="00C226F6"/>
    <w:rsid w:val="00C3742F"/>
    <w:rsid w:val="00C40ED1"/>
    <w:rsid w:val="00C624AE"/>
    <w:rsid w:val="00C671DC"/>
    <w:rsid w:val="00C7645C"/>
    <w:rsid w:val="00C90DDC"/>
    <w:rsid w:val="00C9324A"/>
    <w:rsid w:val="00CA72C6"/>
    <w:rsid w:val="00CB4A3E"/>
    <w:rsid w:val="00CB7117"/>
    <w:rsid w:val="00D02265"/>
    <w:rsid w:val="00D27D1C"/>
    <w:rsid w:val="00D31775"/>
    <w:rsid w:val="00D32E50"/>
    <w:rsid w:val="00D4125C"/>
    <w:rsid w:val="00D54242"/>
    <w:rsid w:val="00D615F9"/>
    <w:rsid w:val="00D82E9D"/>
    <w:rsid w:val="00D91C43"/>
    <w:rsid w:val="00DD2542"/>
    <w:rsid w:val="00DD64E1"/>
    <w:rsid w:val="00DE4CC4"/>
    <w:rsid w:val="00E07556"/>
    <w:rsid w:val="00E43EB6"/>
    <w:rsid w:val="00E63E1F"/>
    <w:rsid w:val="00E70E67"/>
    <w:rsid w:val="00E83DF9"/>
    <w:rsid w:val="00E8573B"/>
    <w:rsid w:val="00E87858"/>
    <w:rsid w:val="00EC0D15"/>
    <w:rsid w:val="00EC51D9"/>
    <w:rsid w:val="00EF2191"/>
    <w:rsid w:val="00F03912"/>
    <w:rsid w:val="00F0587E"/>
    <w:rsid w:val="00F11188"/>
    <w:rsid w:val="00F119E1"/>
    <w:rsid w:val="00F14921"/>
    <w:rsid w:val="00F17A3A"/>
    <w:rsid w:val="00F32C5F"/>
    <w:rsid w:val="00F4515C"/>
    <w:rsid w:val="00F63EEB"/>
    <w:rsid w:val="00F73D29"/>
    <w:rsid w:val="00F93370"/>
    <w:rsid w:val="00FC11F2"/>
    <w:rsid w:val="00FD3B9F"/>
    <w:rsid w:val="00FD5700"/>
    <w:rsid w:val="00FE0829"/>
    <w:rsid w:val="00FF2976"/>
    <w:rsid w:val="01194F97"/>
    <w:rsid w:val="018E53BB"/>
    <w:rsid w:val="022278B2"/>
    <w:rsid w:val="022B16EB"/>
    <w:rsid w:val="02B0310F"/>
    <w:rsid w:val="037C7A7C"/>
    <w:rsid w:val="038B088A"/>
    <w:rsid w:val="03C055D4"/>
    <w:rsid w:val="04161E1C"/>
    <w:rsid w:val="04B52C5F"/>
    <w:rsid w:val="05121E5F"/>
    <w:rsid w:val="055B06B8"/>
    <w:rsid w:val="057136BC"/>
    <w:rsid w:val="058D7738"/>
    <w:rsid w:val="05D45367"/>
    <w:rsid w:val="069C3B74"/>
    <w:rsid w:val="07183050"/>
    <w:rsid w:val="07334C1E"/>
    <w:rsid w:val="074B3114"/>
    <w:rsid w:val="09FB55B8"/>
    <w:rsid w:val="0BEA112C"/>
    <w:rsid w:val="0CB378D4"/>
    <w:rsid w:val="0DA54303"/>
    <w:rsid w:val="0E4F1A2E"/>
    <w:rsid w:val="0EA578A0"/>
    <w:rsid w:val="0F3A3843"/>
    <w:rsid w:val="0F977B31"/>
    <w:rsid w:val="0FB13ED8"/>
    <w:rsid w:val="10A46F73"/>
    <w:rsid w:val="114A144E"/>
    <w:rsid w:val="11A472E1"/>
    <w:rsid w:val="11D53280"/>
    <w:rsid w:val="129C6CE4"/>
    <w:rsid w:val="133D4FC5"/>
    <w:rsid w:val="139F5206"/>
    <w:rsid w:val="14AF44E2"/>
    <w:rsid w:val="156127C7"/>
    <w:rsid w:val="1672275E"/>
    <w:rsid w:val="178C521A"/>
    <w:rsid w:val="182B4D0E"/>
    <w:rsid w:val="18A44BBC"/>
    <w:rsid w:val="19127D2F"/>
    <w:rsid w:val="192F5C69"/>
    <w:rsid w:val="1AA33B50"/>
    <w:rsid w:val="1AC77717"/>
    <w:rsid w:val="1AE54EBF"/>
    <w:rsid w:val="1B02279B"/>
    <w:rsid w:val="1B526D37"/>
    <w:rsid w:val="1B7A177B"/>
    <w:rsid w:val="1BC014AF"/>
    <w:rsid w:val="1C044359"/>
    <w:rsid w:val="1C4234CE"/>
    <w:rsid w:val="1DE326AB"/>
    <w:rsid w:val="1DF76B25"/>
    <w:rsid w:val="1E002145"/>
    <w:rsid w:val="1F9A55BB"/>
    <w:rsid w:val="1FD2028B"/>
    <w:rsid w:val="20043C15"/>
    <w:rsid w:val="20BE03F2"/>
    <w:rsid w:val="22084131"/>
    <w:rsid w:val="22683E85"/>
    <w:rsid w:val="229525B6"/>
    <w:rsid w:val="22E368A3"/>
    <w:rsid w:val="23211E9B"/>
    <w:rsid w:val="24D80E54"/>
    <w:rsid w:val="25D06C78"/>
    <w:rsid w:val="262670C1"/>
    <w:rsid w:val="2631666E"/>
    <w:rsid w:val="26FC2767"/>
    <w:rsid w:val="27CE5C44"/>
    <w:rsid w:val="296615BF"/>
    <w:rsid w:val="2A027E45"/>
    <w:rsid w:val="2A333198"/>
    <w:rsid w:val="2C5A26BD"/>
    <w:rsid w:val="2C97646A"/>
    <w:rsid w:val="2CD76D5E"/>
    <w:rsid w:val="2D3A3A3B"/>
    <w:rsid w:val="2DDF7A43"/>
    <w:rsid w:val="2E502681"/>
    <w:rsid w:val="2E941A96"/>
    <w:rsid w:val="2F442A73"/>
    <w:rsid w:val="2F703343"/>
    <w:rsid w:val="30DC4F4C"/>
    <w:rsid w:val="31266B93"/>
    <w:rsid w:val="3138349B"/>
    <w:rsid w:val="31C9463D"/>
    <w:rsid w:val="327A442A"/>
    <w:rsid w:val="32964A1F"/>
    <w:rsid w:val="33CA76A6"/>
    <w:rsid w:val="33FA44EC"/>
    <w:rsid w:val="3486669B"/>
    <w:rsid w:val="34DE02F0"/>
    <w:rsid w:val="3628478F"/>
    <w:rsid w:val="36C2209E"/>
    <w:rsid w:val="36EE7787"/>
    <w:rsid w:val="371234AD"/>
    <w:rsid w:val="37832CE2"/>
    <w:rsid w:val="3789517A"/>
    <w:rsid w:val="37B536CE"/>
    <w:rsid w:val="38275884"/>
    <w:rsid w:val="38630D70"/>
    <w:rsid w:val="389F13AC"/>
    <w:rsid w:val="39261726"/>
    <w:rsid w:val="39A501E0"/>
    <w:rsid w:val="39F16C3D"/>
    <w:rsid w:val="3A2D2056"/>
    <w:rsid w:val="3AE17477"/>
    <w:rsid w:val="3BA1225B"/>
    <w:rsid w:val="3BCE0E30"/>
    <w:rsid w:val="3C9012E0"/>
    <w:rsid w:val="3E271283"/>
    <w:rsid w:val="3EA71291"/>
    <w:rsid w:val="3F327526"/>
    <w:rsid w:val="3F614E31"/>
    <w:rsid w:val="40994A40"/>
    <w:rsid w:val="40C854ED"/>
    <w:rsid w:val="419B52F9"/>
    <w:rsid w:val="41CE2FC4"/>
    <w:rsid w:val="4202058A"/>
    <w:rsid w:val="42295B17"/>
    <w:rsid w:val="43135248"/>
    <w:rsid w:val="436F72AC"/>
    <w:rsid w:val="45072EB9"/>
    <w:rsid w:val="4553444E"/>
    <w:rsid w:val="469D0882"/>
    <w:rsid w:val="472B0C64"/>
    <w:rsid w:val="47E80223"/>
    <w:rsid w:val="48207D1E"/>
    <w:rsid w:val="48EF1154"/>
    <w:rsid w:val="49217438"/>
    <w:rsid w:val="49D46133"/>
    <w:rsid w:val="49D7455F"/>
    <w:rsid w:val="4AC84827"/>
    <w:rsid w:val="4B415633"/>
    <w:rsid w:val="4CEC2A23"/>
    <w:rsid w:val="4D613114"/>
    <w:rsid w:val="4F2B69DA"/>
    <w:rsid w:val="4F4977F9"/>
    <w:rsid w:val="4F604B42"/>
    <w:rsid w:val="50CC26C0"/>
    <w:rsid w:val="50DD08CE"/>
    <w:rsid w:val="51BC0756"/>
    <w:rsid w:val="55860208"/>
    <w:rsid w:val="5596306C"/>
    <w:rsid w:val="55EB6C18"/>
    <w:rsid w:val="56BE71D9"/>
    <w:rsid w:val="56C63EE1"/>
    <w:rsid w:val="57AB3143"/>
    <w:rsid w:val="58E3481A"/>
    <w:rsid w:val="59F42FBC"/>
    <w:rsid w:val="5A4F7C8D"/>
    <w:rsid w:val="5BD25E48"/>
    <w:rsid w:val="5BD86F61"/>
    <w:rsid w:val="5C05719D"/>
    <w:rsid w:val="5D4E60FF"/>
    <w:rsid w:val="5EBC72E9"/>
    <w:rsid w:val="60036089"/>
    <w:rsid w:val="60844F92"/>
    <w:rsid w:val="611A2DA3"/>
    <w:rsid w:val="611F2AB8"/>
    <w:rsid w:val="61CE11AA"/>
    <w:rsid w:val="61E433B1"/>
    <w:rsid w:val="621302EB"/>
    <w:rsid w:val="626970D8"/>
    <w:rsid w:val="63176EE4"/>
    <w:rsid w:val="632F219A"/>
    <w:rsid w:val="63BE6932"/>
    <w:rsid w:val="64B90B25"/>
    <w:rsid w:val="653D52B2"/>
    <w:rsid w:val="664148D7"/>
    <w:rsid w:val="66863951"/>
    <w:rsid w:val="67805019"/>
    <w:rsid w:val="67C63C85"/>
    <w:rsid w:val="684848B1"/>
    <w:rsid w:val="68B46056"/>
    <w:rsid w:val="68BA4E6C"/>
    <w:rsid w:val="69512060"/>
    <w:rsid w:val="6A352F84"/>
    <w:rsid w:val="6A731776"/>
    <w:rsid w:val="6A964C6C"/>
    <w:rsid w:val="6C7252F9"/>
    <w:rsid w:val="6C917592"/>
    <w:rsid w:val="6D3A0D23"/>
    <w:rsid w:val="6F912DCA"/>
    <w:rsid w:val="729A259F"/>
    <w:rsid w:val="73156F44"/>
    <w:rsid w:val="73341E73"/>
    <w:rsid w:val="737777D3"/>
    <w:rsid w:val="73B2330F"/>
    <w:rsid w:val="743B49BE"/>
    <w:rsid w:val="74956A8E"/>
    <w:rsid w:val="75511114"/>
    <w:rsid w:val="7574392D"/>
    <w:rsid w:val="75B40FEB"/>
    <w:rsid w:val="75C83CC5"/>
    <w:rsid w:val="76425DBA"/>
    <w:rsid w:val="778A469C"/>
    <w:rsid w:val="78691888"/>
    <w:rsid w:val="793D367B"/>
    <w:rsid w:val="79533C02"/>
    <w:rsid w:val="79890AF3"/>
    <w:rsid w:val="79A768D5"/>
    <w:rsid w:val="7B203254"/>
    <w:rsid w:val="7B877E1A"/>
    <w:rsid w:val="7C266509"/>
    <w:rsid w:val="7C305C49"/>
    <w:rsid w:val="7C59026E"/>
    <w:rsid w:val="7C9032B2"/>
    <w:rsid w:val="7CD97F39"/>
    <w:rsid w:val="7D4E1740"/>
    <w:rsid w:val="7D5B7897"/>
    <w:rsid w:val="7D7E4262"/>
    <w:rsid w:val="7E3D1398"/>
    <w:rsid w:val="7EA23D68"/>
    <w:rsid w:val="7EEC735F"/>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nhideWhenUsed="0" w:uiPriority="0" w:semiHidden="0" w:name="Normal Indent"/>
    <w:lsdException w:qFormat="1" w:uiPriority="99" w:semiHidden="0" w:name="footnote text"/>
    <w:lsdException w:qFormat="1" w:uiPriority="99"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99"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3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1"/>
    <w:pPr>
      <w:widowControl w:val="0"/>
      <w:autoSpaceDE w:val="0"/>
      <w:autoSpaceDN w:val="0"/>
    </w:pPr>
    <w:rPr>
      <w:rFonts w:ascii="仿宋" w:hAnsi="仿宋" w:eastAsia="仿宋" w:cs="仿宋"/>
      <w:sz w:val="22"/>
      <w:szCs w:val="22"/>
      <w:lang w:val="zh-CN" w:eastAsia="zh-CN" w:bidi="zh-CN"/>
    </w:rPr>
  </w:style>
  <w:style w:type="paragraph" w:styleId="2">
    <w:name w:val="heading 1"/>
    <w:basedOn w:val="1"/>
    <w:next w:val="1"/>
    <w:link w:val="51"/>
    <w:autoRedefine/>
    <w:qFormat/>
    <w:uiPriority w:val="1"/>
    <w:pPr>
      <w:spacing w:before="34"/>
      <w:ind w:left="1219"/>
      <w:outlineLvl w:val="0"/>
    </w:pPr>
    <w:rPr>
      <w:rFonts w:ascii="黑体" w:hAnsi="黑体" w:eastAsia="黑体" w:cs="黑体"/>
      <w:b/>
      <w:bCs/>
      <w:sz w:val="32"/>
      <w:szCs w:val="32"/>
    </w:rPr>
  </w:style>
  <w:style w:type="paragraph" w:styleId="3">
    <w:name w:val="heading 2"/>
    <w:basedOn w:val="1"/>
    <w:next w:val="1"/>
    <w:autoRedefine/>
    <w:qFormat/>
    <w:uiPriority w:val="1"/>
    <w:pPr>
      <w:adjustRightInd w:val="0"/>
      <w:snapToGrid w:val="0"/>
      <w:outlineLvl w:val="1"/>
    </w:pPr>
    <w:rPr>
      <w:rFonts w:ascii="黑体" w:hAnsi="黑体" w:eastAsia="黑体" w:cs="黑体"/>
      <w:b/>
      <w:bCs/>
      <w:sz w:val="30"/>
      <w:szCs w:val="30"/>
    </w:rPr>
  </w:style>
  <w:style w:type="paragraph" w:styleId="4">
    <w:name w:val="heading 3"/>
    <w:basedOn w:val="1"/>
    <w:next w:val="1"/>
    <w:autoRedefine/>
    <w:qFormat/>
    <w:uiPriority w:val="1"/>
    <w:pPr>
      <w:ind w:left="1440" w:hanging="841"/>
      <w:outlineLvl w:val="2"/>
    </w:pPr>
    <w:rPr>
      <w:rFonts w:ascii="黑体" w:hAnsi="黑体" w:eastAsia="黑体" w:cs="黑体"/>
      <w:b/>
      <w:bCs/>
      <w:sz w:val="28"/>
      <w:szCs w:val="28"/>
    </w:rPr>
  </w:style>
  <w:style w:type="paragraph" w:styleId="5">
    <w:name w:val="heading 4"/>
    <w:basedOn w:val="1"/>
    <w:next w:val="1"/>
    <w:link w:val="47"/>
    <w:autoRedefine/>
    <w:semiHidden/>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9">
    <w:name w:val="Default Paragraph Font"/>
    <w:autoRedefine/>
    <w:semiHidden/>
    <w:unhideWhenUsed/>
    <w:qFormat/>
    <w:uiPriority w:val="1"/>
  </w:style>
  <w:style w:type="table" w:default="1" w:styleId="27">
    <w:name w:val="Normal Table"/>
    <w:autoRedefine/>
    <w:semiHidden/>
    <w:unhideWhenUsed/>
    <w:qFormat/>
    <w:uiPriority w:val="99"/>
    <w:tblPr>
      <w:tblCellMar>
        <w:top w:w="0" w:type="dxa"/>
        <w:left w:w="108" w:type="dxa"/>
        <w:bottom w:w="0" w:type="dxa"/>
        <w:right w:w="108" w:type="dxa"/>
      </w:tblCellMar>
    </w:tblPr>
  </w:style>
  <w:style w:type="paragraph" w:styleId="6">
    <w:name w:val="toc 7"/>
    <w:basedOn w:val="1"/>
    <w:next w:val="1"/>
    <w:autoRedefine/>
    <w:unhideWhenUsed/>
    <w:qFormat/>
    <w:uiPriority w:val="39"/>
    <w:pPr>
      <w:autoSpaceDE/>
      <w:autoSpaceDN/>
      <w:ind w:left="2520" w:leftChars="1200"/>
      <w:jc w:val="both"/>
    </w:pPr>
    <w:rPr>
      <w:rFonts w:asciiTheme="minorHAnsi" w:hAnsiTheme="minorHAnsi" w:eastAsiaTheme="minorEastAsia" w:cstheme="minorBidi"/>
      <w:kern w:val="2"/>
      <w:sz w:val="21"/>
      <w:lang w:val="en-US" w:bidi="ar-SA"/>
    </w:rPr>
  </w:style>
  <w:style w:type="paragraph" w:styleId="7">
    <w:name w:val="caption"/>
    <w:basedOn w:val="1"/>
    <w:next w:val="1"/>
    <w:autoRedefine/>
    <w:unhideWhenUsed/>
    <w:qFormat/>
    <w:uiPriority w:val="0"/>
    <w:rPr>
      <w:rFonts w:eastAsia="黑体" w:asciiTheme="majorHAnsi" w:hAnsiTheme="majorHAnsi" w:cstheme="majorBidi"/>
      <w:sz w:val="20"/>
      <w:szCs w:val="20"/>
    </w:rPr>
  </w:style>
  <w:style w:type="paragraph" w:styleId="8">
    <w:name w:val="annotation text"/>
    <w:basedOn w:val="1"/>
    <w:next w:val="9"/>
    <w:autoRedefine/>
    <w:semiHidden/>
    <w:unhideWhenUsed/>
    <w:qFormat/>
    <w:uiPriority w:val="99"/>
  </w:style>
  <w:style w:type="paragraph" w:styleId="9">
    <w:name w:val="Plain Text"/>
    <w:basedOn w:val="1"/>
    <w:autoRedefine/>
    <w:semiHidden/>
    <w:unhideWhenUsed/>
    <w:qFormat/>
    <w:uiPriority w:val="99"/>
    <w:pPr>
      <w:ind w:firstLine="880" w:firstLineChars="200"/>
    </w:pPr>
    <w:rPr>
      <w:rFonts w:hint="eastAsia" w:ascii="宋体" w:hAnsi="Courier New"/>
      <w:szCs w:val="21"/>
    </w:rPr>
  </w:style>
  <w:style w:type="paragraph" w:styleId="10">
    <w:name w:val="Body Text"/>
    <w:basedOn w:val="1"/>
    <w:next w:val="11"/>
    <w:autoRedefine/>
    <w:qFormat/>
    <w:uiPriority w:val="1"/>
    <w:rPr>
      <w:sz w:val="28"/>
      <w:szCs w:val="28"/>
    </w:rPr>
  </w:style>
  <w:style w:type="paragraph" w:customStyle="1" w:styleId="11">
    <w:name w:val="引用1"/>
    <w:next w:val="1"/>
    <w:autoRedefine/>
    <w:qFormat/>
    <w:uiPriority w:val="0"/>
    <w:pPr>
      <w:wordWrap w:val="0"/>
      <w:spacing w:before="200" w:after="160"/>
      <w:ind w:left="864" w:right="864"/>
      <w:jc w:val="center"/>
    </w:pPr>
    <w:rPr>
      <w:rFonts w:ascii="Times New Roman" w:hAnsi="Times New Roman" w:eastAsia="宋体" w:cs="Times New Roman"/>
      <w:i/>
      <w:sz w:val="21"/>
      <w:lang w:val="en-US" w:eastAsia="zh-CN" w:bidi="ar-SA"/>
    </w:rPr>
  </w:style>
  <w:style w:type="paragraph" w:styleId="12">
    <w:name w:val="Body Text Indent"/>
    <w:basedOn w:val="1"/>
    <w:next w:val="1"/>
    <w:autoRedefine/>
    <w:qFormat/>
    <w:uiPriority w:val="0"/>
    <w:pPr>
      <w:tabs>
        <w:tab w:val="left" w:pos="1530"/>
      </w:tabs>
      <w:ind w:firstLine="707" w:firstLineChars="221"/>
    </w:pPr>
    <w:rPr>
      <w:kern w:val="2"/>
      <w:sz w:val="32"/>
      <w:szCs w:val="20"/>
    </w:rPr>
  </w:style>
  <w:style w:type="paragraph" w:styleId="13">
    <w:name w:val="toc 5"/>
    <w:basedOn w:val="1"/>
    <w:next w:val="1"/>
    <w:autoRedefine/>
    <w:unhideWhenUsed/>
    <w:qFormat/>
    <w:uiPriority w:val="39"/>
    <w:pPr>
      <w:autoSpaceDE/>
      <w:autoSpaceDN/>
      <w:ind w:left="1680" w:leftChars="800"/>
      <w:jc w:val="both"/>
    </w:pPr>
    <w:rPr>
      <w:rFonts w:asciiTheme="minorHAnsi" w:hAnsiTheme="minorHAnsi" w:eastAsiaTheme="minorEastAsia" w:cstheme="minorBidi"/>
      <w:kern w:val="2"/>
      <w:sz w:val="21"/>
      <w:lang w:val="en-US" w:bidi="ar-SA"/>
    </w:rPr>
  </w:style>
  <w:style w:type="paragraph" w:styleId="14">
    <w:name w:val="toc 3"/>
    <w:basedOn w:val="1"/>
    <w:next w:val="1"/>
    <w:autoRedefine/>
    <w:qFormat/>
    <w:uiPriority w:val="39"/>
    <w:pPr>
      <w:ind w:left="840" w:leftChars="400"/>
    </w:pPr>
  </w:style>
  <w:style w:type="paragraph" w:styleId="15">
    <w:name w:val="toc 8"/>
    <w:basedOn w:val="1"/>
    <w:next w:val="1"/>
    <w:autoRedefine/>
    <w:unhideWhenUsed/>
    <w:qFormat/>
    <w:uiPriority w:val="39"/>
    <w:pPr>
      <w:autoSpaceDE/>
      <w:autoSpaceDN/>
      <w:ind w:left="2940" w:leftChars="1400"/>
      <w:jc w:val="both"/>
    </w:pPr>
    <w:rPr>
      <w:rFonts w:asciiTheme="minorHAnsi" w:hAnsiTheme="minorHAnsi" w:eastAsiaTheme="minorEastAsia" w:cstheme="minorBidi"/>
      <w:kern w:val="2"/>
      <w:sz w:val="21"/>
      <w:lang w:val="en-US" w:bidi="ar-SA"/>
    </w:rPr>
  </w:style>
  <w:style w:type="paragraph" w:styleId="16">
    <w:name w:val="Balloon Text"/>
    <w:basedOn w:val="1"/>
    <w:link w:val="37"/>
    <w:autoRedefine/>
    <w:qFormat/>
    <w:uiPriority w:val="0"/>
    <w:rPr>
      <w:sz w:val="18"/>
      <w:szCs w:val="18"/>
    </w:rPr>
  </w:style>
  <w:style w:type="paragraph" w:styleId="17">
    <w:name w:val="footer"/>
    <w:basedOn w:val="1"/>
    <w:autoRedefine/>
    <w:qFormat/>
    <w:uiPriority w:val="0"/>
    <w:pPr>
      <w:tabs>
        <w:tab w:val="center" w:pos="4153"/>
        <w:tab w:val="right" w:pos="8306"/>
      </w:tabs>
      <w:snapToGrid w:val="0"/>
    </w:pPr>
    <w:rPr>
      <w:sz w:val="18"/>
    </w:rPr>
  </w:style>
  <w:style w:type="paragraph" w:styleId="18">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jc w:val="both"/>
    </w:pPr>
    <w:rPr>
      <w:sz w:val="18"/>
    </w:rPr>
  </w:style>
  <w:style w:type="paragraph" w:styleId="19">
    <w:name w:val="toc 1"/>
    <w:basedOn w:val="1"/>
    <w:next w:val="1"/>
    <w:autoRedefine/>
    <w:qFormat/>
    <w:uiPriority w:val="39"/>
    <w:pPr>
      <w:spacing w:before="45"/>
      <w:ind w:left="1216" w:right="1568" w:hanging="1217"/>
      <w:jc w:val="right"/>
    </w:pPr>
    <w:rPr>
      <w:rFonts w:ascii="黑体" w:hAnsi="黑体" w:eastAsia="黑体" w:cs="黑体"/>
      <w:b/>
      <w:bCs/>
      <w:sz w:val="21"/>
      <w:szCs w:val="21"/>
    </w:rPr>
  </w:style>
  <w:style w:type="paragraph" w:styleId="20">
    <w:name w:val="toc 4"/>
    <w:basedOn w:val="1"/>
    <w:next w:val="1"/>
    <w:autoRedefine/>
    <w:unhideWhenUsed/>
    <w:qFormat/>
    <w:uiPriority w:val="39"/>
    <w:pPr>
      <w:autoSpaceDE/>
      <w:autoSpaceDN/>
      <w:ind w:left="1260" w:leftChars="600"/>
      <w:jc w:val="both"/>
    </w:pPr>
    <w:rPr>
      <w:rFonts w:asciiTheme="minorHAnsi" w:hAnsiTheme="minorHAnsi" w:eastAsiaTheme="minorEastAsia" w:cstheme="minorBidi"/>
      <w:kern w:val="2"/>
      <w:sz w:val="21"/>
      <w:lang w:val="en-US" w:bidi="ar-SA"/>
    </w:rPr>
  </w:style>
  <w:style w:type="paragraph" w:styleId="21">
    <w:name w:val="footnote text"/>
    <w:basedOn w:val="1"/>
    <w:autoRedefine/>
    <w:unhideWhenUsed/>
    <w:qFormat/>
    <w:uiPriority w:val="99"/>
    <w:pPr>
      <w:snapToGrid w:val="0"/>
    </w:pPr>
    <w:rPr>
      <w:sz w:val="18"/>
      <w:szCs w:val="18"/>
    </w:rPr>
  </w:style>
  <w:style w:type="paragraph" w:styleId="22">
    <w:name w:val="toc 6"/>
    <w:basedOn w:val="1"/>
    <w:next w:val="1"/>
    <w:autoRedefine/>
    <w:unhideWhenUsed/>
    <w:qFormat/>
    <w:uiPriority w:val="39"/>
    <w:pPr>
      <w:autoSpaceDE/>
      <w:autoSpaceDN/>
      <w:ind w:left="2100" w:leftChars="1000"/>
      <w:jc w:val="both"/>
    </w:pPr>
    <w:rPr>
      <w:rFonts w:asciiTheme="minorHAnsi" w:hAnsiTheme="minorHAnsi" w:eastAsiaTheme="minorEastAsia" w:cstheme="minorBidi"/>
      <w:kern w:val="2"/>
      <w:sz w:val="21"/>
      <w:lang w:val="en-US" w:bidi="ar-SA"/>
    </w:rPr>
  </w:style>
  <w:style w:type="paragraph" w:styleId="23">
    <w:name w:val="toc 2"/>
    <w:basedOn w:val="1"/>
    <w:next w:val="1"/>
    <w:autoRedefine/>
    <w:qFormat/>
    <w:uiPriority w:val="39"/>
    <w:pPr>
      <w:spacing w:before="45"/>
      <w:ind w:left="1216" w:right="1570" w:hanging="1217"/>
    </w:pPr>
    <w:rPr>
      <w:rFonts w:ascii="黑体" w:hAnsi="黑体" w:eastAsia="黑体" w:cs="黑体"/>
      <w:bCs/>
    </w:rPr>
  </w:style>
  <w:style w:type="paragraph" w:styleId="24">
    <w:name w:val="toc 9"/>
    <w:basedOn w:val="1"/>
    <w:next w:val="1"/>
    <w:autoRedefine/>
    <w:unhideWhenUsed/>
    <w:qFormat/>
    <w:uiPriority w:val="39"/>
    <w:pPr>
      <w:autoSpaceDE/>
      <w:autoSpaceDN/>
      <w:ind w:left="3360" w:leftChars="1600"/>
      <w:jc w:val="both"/>
    </w:pPr>
    <w:rPr>
      <w:rFonts w:asciiTheme="minorHAnsi" w:hAnsiTheme="minorHAnsi" w:eastAsiaTheme="minorEastAsia" w:cstheme="minorBidi"/>
      <w:kern w:val="2"/>
      <w:sz w:val="21"/>
      <w:lang w:val="en-US" w:bidi="ar-SA"/>
    </w:rPr>
  </w:style>
  <w:style w:type="paragraph" w:styleId="25">
    <w:name w:val="Body Text First Indent"/>
    <w:basedOn w:val="10"/>
    <w:next w:val="1"/>
    <w:autoRedefine/>
    <w:unhideWhenUsed/>
    <w:qFormat/>
    <w:uiPriority w:val="0"/>
    <w:pPr>
      <w:ind w:firstLine="420" w:firstLineChars="100"/>
    </w:pPr>
  </w:style>
  <w:style w:type="paragraph" w:styleId="26">
    <w:name w:val="Body Text First Indent 2"/>
    <w:basedOn w:val="12"/>
    <w:next w:val="25"/>
    <w:autoRedefine/>
    <w:qFormat/>
    <w:uiPriority w:val="0"/>
    <w:pPr>
      <w:widowControl/>
      <w:spacing w:after="120"/>
      <w:ind w:left="420" w:firstLine="210" w:firstLineChars="0"/>
    </w:pPr>
    <w:rPr>
      <w:rFonts w:eastAsia="仿宋_GB2312"/>
      <w:kern w:val="0"/>
      <w:sz w:val="20"/>
    </w:rPr>
  </w:style>
  <w:style w:type="table" w:styleId="28">
    <w:name w:val="Table Grid"/>
    <w:basedOn w:val="27"/>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Hyperlink"/>
    <w:basedOn w:val="29"/>
    <w:autoRedefine/>
    <w:unhideWhenUsed/>
    <w:qFormat/>
    <w:uiPriority w:val="99"/>
    <w:rPr>
      <w:color w:val="0000FF" w:themeColor="hyperlink"/>
      <w:u w:val="single"/>
      <w14:textFill>
        <w14:solidFill>
          <w14:schemeClr w14:val="hlink"/>
        </w14:solidFill>
      </w14:textFill>
    </w:rPr>
  </w:style>
  <w:style w:type="table" w:customStyle="1" w:styleId="31">
    <w:name w:val="Table Normal"/>
    <w:autoRedefine/>
    <w:semiHidden/>
    <w:unhideWhenUsed/>
    <w:qFormat/>
    <w:uiPriority w:val="2"/>
    <w:tblPr>
      <w:tblCellMar>
        <w:top w:w="0" w:type="dxa"/>
        <w:left w:w="0" w:type="dxa"/>
        <w:bottom w:w="0" w:type="dxa"/>
        <w:right w:w="0" w:type="dxa"/>
      </w:tblCellMar>
    </w:tblPr>
  </w:style>
  <w:style w:type="paragraph" w:styleId="32">
    <w:name w:val="List Paragraph"/>
    <w:basedOn w:val="1"/>
    <w:next w:val="1"/>
    <w:autoRedefine/>
    <w:qFormat/>
    <w:uiPriority w:val="1"/>
    <w:pPr>
      <w:numPr>
        <w:ilvl w:val="2"/>
        <w:numId w:val="1"/>
      </w:numPr>
    </w:pPr>
  </w:style>
  <w:style w:type="paragraph" w:customStyle="1" w:styleId="33">
    <w:name w:val="Table Paragraph"/>
    <w:basedOn w:val="1"/>
    <w:autoRedefine/>
    <w:qFormat/>
    <w:uiPriority w:val="1"/>
  </w:style>
  <w:style w:type="paragraph" w:customStyle="1" w:styleId="34">
    <w:name w:val="WPSOffice手动目录 1"/>
    <w:autoRedefine/>
    <w:qFormat/>
    <w:uiPriority w:val="0"/>
    <w:rPr>
      <w:rFonts w:asciiTheme="minorHAnsi" w:hAnsiTheme="minorHAnsi" w:eastAsiaTheme="minorHAnsi" w:cstheme="minorBidi"/>
      <w:lang w:val="en-US" w:eastAsia="zh-CN" w:bidi="ar-SA"/>
    </w:rPr>
  </w:style>
  <w:style w:type="paragraph" w:customStyle="1" w:styleId="35">
    <w:name w:val="WPSOffice手动目录 2"/>
    <w:autoRedefine/>
    <w:qFormat/>
    <w:uiPriority w:val="0"/>
    <w:pPr>
      <w:ind w:left="200" w:leftChars="200"/>
    </w:pPr>
    <w:rPr>
      <w:rFonts w:asciiTheme="minorHAnsi" w:hAnsiTheme="minorHAnsi" w:eastAsiaTheme="minorHAnsi" w:cstheme="minorBidi"/>
      <w:lang w:val="en-US" w:eastAsia="zh-CN" w:bidi="ar-SA"/>
    </w:rPr>
  </w:style>
  <w:style w:type="paragraph" w:customStyle="1" w:styleId="36">
    <w:name w:val="WPSOffice手动目录 3"/>
    <w:autoRedefine/>
    <w:qFormat/>
    <w:uiPriority w:val="0"/>
    <w:pPr>
      <w:ind w:left="400" w:leftChars="400"/>
    </w:pPr>
    <w:rPr>
      <w:rFonts w:asciiTheme="minorHAnsi" w:hAnsiTheme="minorHAnsi" w:eastAsiaTheme="minorHAnsi" w:cstheme="minorBidi"/>
      <w:lang w:val="en-US" w:eastAsia="zh-CN" w:bidi="ar-SA"/>
    </w:rPr>
  </w:style>
  <w:style w:type="character" w:customStyle="1" w:styleId="37">
    <w:name w:val="批注框文本 字符"/>
    <w:basedOn w:val="29"/>
    <w:link w:val="16"/>
    <w:autoRedefine/>
    <w:qFormat/>
    <w:uiPriority w:val="0"/>
    <w:rPr>
      <w:rFonts w:ascii="仿宋" w:hAnsi="仿宋" w:eastAsia="仿宋" w:cs="仿宋"/>
      <w:sz w:val="18"/>
      <w:szCs w:val="18"/>
      <w:lang w:val="zh-CN" w:bidi="zh-CN"/>
    </w:rPr>
  </w:style>
  <w:style w:type="paragraph" w:customStyle="1" w:styleId="38">
    <w:name w:val="Body text|1"/>
    <w:basedOn w:val="1"/>
    <w:autoRedefine/>
    <w:qFormat/>
    <w:uiPriority w:val="0"/>
    <w:pPr>
      <w:spacing w:line="336" w:lineRule="auto"/>
      <w:ind w:firstLine="400"/>
    </w:pPr>
    <w:rPr>
      <w:rFonts w:ascii="宋体" w:hAnsi="宋体" w:cs="宋体"/>
    </w:rPr>
  </w:style>
  <w:style w:type="paragraph" w:customStyle="1" w:styleId="39">
    <w:name w:val="Other|1"/>
    <w:basedOn w:val="1"/>
    <w:autoRedefine/>
    <w:qFormat/>
    <w:uiPriority w:val="0"/>
    <w:pPr>
      <w:spacing w:line="336" w:lineRule="auto"/>
      <w:ind w:firstLine="400"/>
    </w:pPr>
    <w:rPr>
      <w:rFonts w:ascii="宋体" w:hAnsi="宋体" w:cs="宋体"/>
    </w:rPr>
  </w:style>
  <w:style w:type="character" w:customStyle="1" w:styleId="40">
    <w:name w:val="未处理的提及1"/>
    <w:basedOn w:val="29"/>
    <w:autoRedefine/>
    <w:semiHidden/>
    <w:unhideWhenUsed/>
    <w:qFormat/>
    <w:uiPriority w:val="99"/>
    <w:rPr>
      <w:color w:val="605E5C"/>
      <w:shd w:val="clear" w:color="auto" w:fill="E1DFDD"/>
    </w:rPr>
  </w:style>
  <w:style w:type="character" w:customStyle="1" w:styleId="41">
    <w:name w:val="font01"/>
    <w:basedOn w:val="29"/>
    <w:autoRedefine/>
    <w:qFormat/>
    <w:uiPriority w:val="0"/>
    <w:rPr>
      <w:rFonts w:hint="default" w:ascii="Times New Roman" w:hAnsi="Times New Roman" w:cs="Times New Roman"/>
      <w:b/>
      <w:bCs/>
      <w:color w:val="000000"/>
      <w:sz w:val="21"/>
      <w:szCs w:val="21"/>
      <w:u w:val="none"/>
    </w:rPr>
  </w:style>
  <w:style w:type="character" w:customStyle="1" w:styleId="42">
    <w:name w:val="font41"/>
    <w:basedOn w:val="29"/>
    <w:autoRedefine/>
    <w:qFormat/>
    <w:uiPriority w:val="0"/>
    <w:rPr>
      <w:rFonts w:hint="eastAsia" w:ascii="宋体" w:hAnsi="宋体" w:eastAsia="宋体" w:cs="宋体"/>
      <w:b/>
      <w:bCs/>
      <w:color w:val="000000"/>
      <w:sz w:val="21"/>
      <w:szCs w:val="21"/>
      <w:u w:val="none"/>
    </w:rPr>
  </w:style>
  <w:style w:type="character" w:customStyle="1" w:styleId="43">
    <w:name w:val="font31"/>
    <w:basedOn w:val="29"/>
    <w:autoRedefine/>
    <w:qFormat/>
    <w:uiPriority w:val="0"/>
    <w:rPr>
      <w:rFonts w:hint="eastAsia" w:ascii="仿宋" w:hAnsi="仿宋" w:eastAsia="仿宋" w:cs="仿宋"/>
      <w:b/>
      <w:bCs/>
      <w:color w:val="000000"/>
      <w:sz w:val="21"/>
      <w:szCs w:val="21"/>
      <w:u w:val="none"/>
    </w:rPr>
  </w:style>
  <w:style w:type="character" w:customStyle="1" w:styleId="44">
    <w:name w:val="font21"/>
    <w:basedOn w:val="29"/>
    <w:autoRedefine/>
    <w:qFormat/>
    <w:uiPriority w:val="0"/>
    <w:rPr>
      <w:rFonts w:hint="default" w:ascii="Times New Roman" w:hAnsi="Times New Roman" w:cs="Times New Roman"/>
      <w:color w:val="000000"/>
      <w:sz w:val="20"/>
      <w:szCs w:val="20"/>
      <w:u w:val="none"/>
    </w:rPr>
  </w:style>
  <w:style w:type="character" w:customStyle="1" w:styleId="45">
    <w:name w:val="font11"/>
    <w:basedOn w:val="29"/>
    <w:autoRedefine/>
    <w:qFormat/>
    <w:uiPriority w:val="0"/>
    <w:rPr>
      <w:rFonts w:hint="eastAsia" w:ascii="宋体" w:hAnsi="宋体" w:eastAsia="宋体" w:cs="宋体"/>
      <w:color w:val="000000"/>
      <w:sz w:val="20"/>
      <w:szCs w:val="20"/>
      <w:u w:val="none"/>
    </w:rPr>
  </w:style>
  <w:style w:type="character" w:customStyle="1" w:styleId="46">
    <w:name w:val="未处理的提及2"/>
    <w:basedOn w:val="29"/>
    <w:autoRedefine/>
    <w:semiHidden/>
    <w:unhideWhenUsed/>
    <w:qFormat/>
    <w:uiPriority w:val="99"/>
    <w:rPr>
      <w:color w:val="605E5C"/>
      <w:shd w:val="clear" w:color="auto" w:fill="E1DFDD"/>
    </w:rPr>
  </w:style>
  <w:style w:type="character" w:customStyle="1" w:styleId="47">
    <w:name w:val="标题 4 字符"/>
    <w:basedOn w:val="29"/>
    <w:link w:val="5"/>
    <w:autoRedefine/>
    <w:semiHidden/>
    <w:qFormat/>
    <w:uiPriority w:val="0"/>
    <w:rPr>
      <w:rFonts w:asciiTheme="majorHAnsi" w:hAnsiTheme="majorHAnsi" w:eastAsiaTheme="majorEastAsia" w:cstheme="majorBidi"/>
      <w:b/>
      <w:bCs/>
      <w:sz w:val="28"/>
      <w:szCs w:val="28"/>
      <w:lang w:val="zh-CN" w:bidi="zh-CN"/>
    </w:rPr>
  </w:style>
  <w:style w:type="paragraph" w:customStyle="1" w:styleId="48">
    <w:name w:val="正文样式"/>
    <w:link w:val="49"/>
    <w:autoRedefine/>
    <w:unhideWhenUsed/>
    <w:qFormat/>
    <w:uiPriority w:val="0"/>
    <w:pPr>
      <w:widowControl w:val="0"/>
      <w:adjustRightInd w:val="0"/>
      <w:spacing w:line="360" w:lineRule="auto"/>
      <w:ind w:firstLine="200" w:firstLineChars="200"/>
      <w:jc w:val="both"/>
    </w:pPr>
    <w:rPr>
      <w:rFonts w:ascii="Times New Roman" w:hAnsi="Times New Roman" w:eastAsia="宋体" w:cs="Times New Roman"/>
      <w:bCs/>
      <w:snapToGrid w:val="0"/>
      <w:sz w:val="24"/>
      <w:szCs w:val="44"/>
      <w:lang w:val="en-US" w:eastAsia="zh-CN" w:bidi="ar-SA"/>
    </w:rPr>
  </w:style>
  <w:style w:type="character" w:customStyle="1" w:styleId="49">
    <w:name w:val="正文样式 Char"/>
    <w:link w:val="48"/>
    <w:autoRedefine/>
    <w:qFormat/>
    <w:uiPriority w:val="0"/>
    <w:rPr>
      <w:bCs/>
      <w:snapToGrid w:val="0"/>
      <w:sz w:val="24"/>
      <w:szCs w:val="44"/>
    </w:rPr>
  </w:style>
  <w:style w:type="character" w:customStyle="1" w:styleId="50">
    <w:name w:val="未处理的提及3"/>
    <w:basedOn w:val="29"/>
    <w:autoRedefine/>
    <w:semiHidden/>
    <w:unhideWhenUsed/>
    <w:qFormat/>
    <w:uiPriority w:val="99"/>
    <w:rPr>
      <w:color w:val="605E5C"/>
      <w:shd w:val="clear" w:color="auto" w:fill="E1DFDD"/>
    </w:rPr>
  </w:style>
  <w:style w:type="character" w:customStyle="1" w:styleId="51">
    <w:name w:val="标题 1 字符"/>
    <w:basedOn w:val="29"/>
    <w:link w:val="2"/>
    <w:autoRedefine/>
    <w:qFormat/>
    <w:uiPriority w:val="1"/>
    <w:rPr>
      <w:rFonts w:ascii="黑体" w:hAnsi="黑体" w:eastAsia="黑体" w:cs="黑体"/>
      <w:b/>
      <w:bCs/>
      <w:sz w:val="32"/>
      <w:szCs w:val="32"/>
      <w:lang w:val="zh-CN" w:bidi="zh-CN"/>
    </w:rPr>
  </w:style>
  <w:style w:type="character" w:customStyle="1" w:styleId="52">
    <w:name w:val="font51"/>
    <w:basedOn w:val="29"/>
    <w:autoRedefine/>
    <w:qFormat/>
    <w:uiPriority w:val="0"/>
    <w:rPr>
      <w:rFonts w:hint="eastAsia" w:ascii="宋体" w:hAnsi="宋体" w:eastAsia="宋体" w:cs="宋体"/>
      <w:color w:val="000000"/>
      <w:sz w:val="20"/>
      <w:szCs w:val="20"/>
      <w:u w:val="none"/>
    </w:rPr>
  </w:style>
  <w:style w:type="character" w:customStyle="1" w:styleId="53">
    <w:name w:val="font81"/>
    <w:basedOn w:val="29"/>
    <w:autoRedefine/>
    <w:qFormat/>
    <w:uiPriority w:val="0"/>
    <w:rPr>
      <w:rFonts w:ascii="Arial" w:hAnsi="Arial" w:cs="Arial"/>
      <w:color w:val="000000"/>
      <w:sz w:val="22"/>
      <w:szCs w:val="22"/>
      <w:u w:val="none"/>
    </w:rPr>
  </w:style>
  <w:style w:type="character" w:customStyle="1" w:styleId="54">
    <w:name w:val="font91"/>
    <w:basedOn w:val="29"/>
    <w:autoRedefine/>
    <w:qFormat/>
    <w:uiPriority w:val="0"/>
    <w:rPr>
      <w:rFonts w:hint="default" w:ascii="Times New Roman" w:hAnsi="Times New Roman" w:cs="Times New Roman"/>
      <w:color w:val="000000"/>
      <w:sz w:val="22"/>
      <w:szCs w:val="22"/>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77.jpeg"/><Relationship Id="rId98" Type="http://schemas.openxmlformats.org/officeDocument/2006/relationships/image" Target="media/image76.jpeg"/><Relationship Id="rId97" Type="http://schemas.openxmlformats.org/officeDocument/2006/relationships/image" Target="media/image75.jpeg"/><Relationship Id="rId96" Type="http://schemas.openxmlformats.org/officeDocument/2006/relationships/image" Target="media/image74.jpeg"/><Relationship Id="rId95" Type="http://schemas.openxmlformats.org/officeDocument/2006/relationships/image" Target="media/image73.jpeg"/><Relationship Id="rId94" Type="http://schemas.openxmlformats.org/officeDocument/2006/relationships/image" Target="media/image72.jpeg"/><Relationship Id="rId93" Type="http://schemas.openxmlformats.org/officeDocument/2006/relationships/image" Target="media/image71.jpeg"/><Relationship Id="rId92" Type="http://schemas.openxmlformats.org/officeDocument/2006/relationships/image" Target="media/image70.jpeg"/><Relationship Id="rId91" Type="http://schemas.openxmlformats.org/officeDocument/2006/relationships/image" Target="media/image69.jpeg"/><Relationship Id="rId90" Type="http://schemas.openxmlformats.org/officeDocument/2006/relationships/image" Target="media/image68.jpeg"/><Relationship Id="rId9" Type="http://schemas.openxmlformats.org/officeDocument/2006/relationships/footer" Target="footer7.xml"/><Relationship Id="rId89" Type="http://schemas.openxmlformats.org/officeDocument/2006/relationships/image" Target="media/image67.jpeg"/><Relationship Id="rId88" Type="http://schemas.openxmlformats.org/officeDocument/2006/relationships/image" Target="media/image66.jpeg"/><Relationship Id="rId87" Type="http://schemas.openxmlformats.org/officeDocument/2006/relationships/image" Target="media/image65.jpeg"/><Relationship Id="rId86" Type="http://schemas.openxmlformats.org/officeDocument/2006/relationships/image" Target="media/image64.jpeg"/><Relationship Id="rId85" Type="http://schemas.openxmlformats.org/officeDocument/2006/relationships/image" Target="media/image63.jpeg"/><Relationship Id="rId84" Type="http://schemas.openxmlformats.org/officeDocument/2006/relationships/image" Target="media/image62.jpeg"/><Relationship Id="rId83" Type="http://schemas.openxmlformats.org/officeDocument/2006/relationships/image" Target="media/image61.jpeg"/><Relationship Id="rId82" Type="http://schemas.openxmlformats.org/officeDocument/2006/relationships/image" Target="media/image60.jpeg"/><Relationship Id="rId81" Type="http://schemas.openxmlformats.org/officeDocument/2006/relationships/image" Target="media/image59.jpeg"/><Relationship Id="rId80" Type="http://schemas.openxmlformats.org/officeDocument/2006/relationships/image" Target="media/image58.jpeg"/><Relationship Id="rId8" Type="http://schemas.openxmlformats.org/officeDocument/2006/relationships/footer" Target="footer6.xml"/><Relationship Id="rId79" Type="http://schemas.openxmlformats.org/officeDocument/2006/relationships/image" Target="media/image57.jpeg"/><Relationship Id="rId78" Type="http://schemas.openxmlformats.org/officeDocument/2006/relationships/image" Target="media/image56.jpeg"/><Relationship Id="rId77" Type="http://schemas.openxmlformats.org/officeDocument/2006/relationships/image" Target="media/image55.jpeg"/><Relationship Id="rId76" Type="http://schemas.openxmlformats.org/officeDocument/2006/relationships/image" Target="media/image54.jpeg"/><Relationship Id="rId75" Type="http://schemas.openxmlformats.org/officeDocument/2006/relationships/image" Target="media/image53.jpeg"/><Relationship Id="rId74" Type="http://schemas.openxmlformats.org/officeDocument/2006/relationships/image" Target="media/image52.jpeg"/><Relationship Id="rId73" Type="http://schemas.openxmlformats.org/officeDocument/2006/relationships/image" Target="media/image51.jpeg"/><Relationship Id="rId72" Type="http://schemas.openxmlformats.org/officeDocument/2006/relationships/image" Target="media/image50.jpeg"/><Relationship Id="rId71" Type="http://schemas.openxmlformats.org/officeDocument/2006/relationships/image" Target="media/image49.jpeg"/><Relationship Id="rId70" Type="http://schemas.openxmlformats.org/officeDocument/2006/relationships/image" Target="media/image48.jpeg"/><Relationship Id="rId7" Type="http://schemas.openxmlformats.org/officeDocument/2006/relationships/footer" Target="footer5.xml"/><Relationship Id="rId69" Type="http://schemas.openxmlformats.org/officeDocument/2006/relationships/image" Target="media/image47.jpeg"/><Relationship Id="rId68" Type="http://schemas.openxmlformats.org/officeDocument/2006/relationships/image" Target="media/image46.jpeg"/><Relationship Id="rId67" Type="http://schemas.openxmlformats.org/officeDocument/2006/relationships/image" Target="media/image45.jpeg"/><Relationship Id="rId66" Type="http://schemas.openxmlformats.org/officeDocument/2006/relationships/image" Target="media/image44.png"/><Relationship Id="rId65" Type="http://schemas.openxmlformats.org/officeDocument/2006/relationships/image" Target="media/image43.png"/><Relationship Id="rId64" Type="http://schemas.openxmlformats.org/officeDocument/2006/relationships/image" Target="media/image42.png"/><Relationship Id="rId63" Type="http://schemas.openxmlformats.org/officeDocument/2006/relationships/image" Target="media/image41.png"/><Relationship Id="rId62" Type="http://schemas.openxmlformats.org/officeDocument/2006/relationships/image" Target="media/image40.png"/><Relationship Id="rId61" Type="http://schemas.openxmlformats.org/officeDocument/2006/relationships/image" Target="media/image39.png"/><Relationship Id="rId60" Type="http://schemas.openxmlformats.org/officeDocument/2006/relationships/image" Target="media/image38.png"/><Relationship Id="rId6" Type="http://schemas.openxmlformats.org/officeDocument/2006/relationships/footer" Target="footer4.xml"/><Relationship Id="rId59" Type="http://schemas.openxmlformats.org/officeDocument/2006/relationships/image" Target="media/image37.png"/><Relationship Id="rId58" Type="http://schemas.openxmlformats.org/officeDocument/2006/relationships/image" Target="media/image36.png"/><Relationship Id="rId57" Type="http://schemas.openxmlformats.org/officeDocument/2006/relationships/image" Target="media/image35.png"/><Relationship Id="rId56" Type="http://schemas.openxmlformats.org/officeDocument/2006/relationships/image" Target="media/image34.png"/><Relationship Id="rId55" Type="http://schemas.openxmlformats.org/officeDocument/2006/relationships/image" Target="media/image33.png"/><Relationship Id="rId54" Type="http://schemas.openxmlformats.org/officeDocument/2006/relationships/image" Target="media/image32.png"/><Relationship Id="rId53" Type="http://schemas.openxmlformats.org/officeDocument/2006/relationships/image" Target="media/image31.png"/><Relationship Id="rId52" Type="http://schemas.openxmlformats.org/officeDocument/2006/relationships/image" Target="media/image30.png"/><Relationship Id="rId51" Type="http://schemas.openxmlformats.org/officeDocument/2006/relationships/image" Target="media/image29.png"/><Relationship Id="rId50" Type="http://schemas.openxmlformats.org/officeDocument/2006/relationships/image" Target="media/image28.png"/><Relationship Id="rId5" Type="http://schemas.openxmlformats.org/officeDocument/2006/relationships/footer" Target="footer3.xml"/><Relationship Id="rId49" Type="http://schemas.openxmlformats.org/officeDocument/2006/relationships/image" Target="media/image27.jpeg"/><Relationship Id="rId48" Type="http://schemas.openxmlformats.org/officeDocument/2006/relationships/image" Target="media/image26.png"/><Relationship Id="rId47" Type="http://schemas.openxmlformats.org/officeDocument/2006/relationships/image" Target="media/image25.png"/><Relationship Id="rId46" Type="http://schemas.openxmlformats.org/officeDocument/2006/relationships/image" Target="media/image24.png"/><Relationship Id="rId45" Type="http://schemas.openxmlformats.org/officeDocument/2006/relationships/image" Target="media/image23.png"/><Relationship Id="rId44" Type="http://schemas.openxmlformats.org/officeDocument/2006/relationships/image" Target="media/image22.png"/><Relationship Id="rId43" Type="http://schemas.openxmlformats.org/officeDocument/2006/relationships/image" Target="media/image21.jpeg"/><Relationship Id="rId42" Type="http://schemas.openxmlformats.org/officeDocument/2006/relationships/image" Target="media/image20.png"/><Relationship Id="rId41" Type="http://schemas.openxmlformats.org/officeDocument/2006/relationships/image" Target="media/image19.jpeg"/><Relationship Id="rId40" Type="http://schemas.openxmlformats.org/officeDocument/2006/relationships/image" Target="media/image18.jpeg"/><Relationship Id="rId4" Type="http://schemas.openxmlformats.org/officeDocument/2006/relationships/footer" Target="footer2.xml"/><Relationship Id="rId39" Type="http://schemas.openxmlformats.org/officeDocument/2006/relationships/image" Target="media/image17.jpeg"/><Relationship Id="rId38" Type="http://schemas.openxmlformats.org/officeDocument/2006/relationships/image" Target="media/image16.jpeg"/><Relationship Id="rId37" Type="http://schemas.openxmlformats.org/officeDocument/2006/relationships/image" Target="media/image15.jpeg"/><Relationship Id="rId36" Type="http://schemas.openxmlformats.org/officeDocument/2006/relationships/image" Target="media/image14.jpeg"/><Relationship Id="rId35" Type="http://schemas.openxmlformats.org/officeDocument/2006/relationships/image" Target="media/image13.jpeg"/><Relationship Id="rId34" Type="http://schemas.openxmlformats.org/officeDocument/2006/relationships/image" Target="media/image12.png"/><Relationship Id="rId33" Type="http://schemas.openxmlformats.org/officeDocument/2006/relationships/image" Target="media/image11.jpeg"/><Relationship Id="rId32" Type="http://schemas.openxmlformats.org/officeDocument/2006/relationships/image" Target="media/image10.jpeg"/><Relationship Id="rId31" Type="http://schemas.openxmlformats.org/officeDocument/2006/relationships/image" Target="media/image9.png"/><Relationship Id="rId30" Type="http://schemas.openxmlformats.org/officeDocument/2006/relationships/image" Target="media/image8.jpeg"/><Relationship Id="rId3" Type="http://schemas.openxmlformats.org/officeDocument/2006/relationships/footer" Target="footer1.xml"/><Relationship Id="rId29" Type="http://schemas.openxmlformats.org/officeDocument/2006/relationships/image" Target="media/image7.jpeg"/><Relationship Id="rId28" Type="http://schemas.openxmlformats.org/officeDocument/2006/relationships/image" Target="media/image6.jpeg"/><Relationship Id="rId27" Type="http://schemas.openxmlformats.org/officeDocument/2006/relationships/image" Target="media/image5.png"/><Relationship Id="rId26" Type="http://schemas.openxmlformats.org/officeDocument/2006/relationships/image" Target="media/image4.jpeg"/><Relationship Id="rId25" Type="http://schemas.openxmlformats.org/officeDocument/2006/relationships/image" Target="media/image3.jpeg"/><Relationship Id="rId24" Type="http://schemas.openxmlformats.org/officeDocument/2006/relationships/image" Target="media/image2.jpeg"/><Relationship Id="rId23" Type="http://schemas.openxmlformats.org/officeDocument/2006/relationships/image" Target="media/image1.png"/><Relationship Id="rId22" Type="http://schemas.openxmlformats.org/officeDocument/2006/relationships/theme" Target="theme/theme1.xml"/><Relationship Id="rId21" Type="http://schemas.openxmlformats.org/officeDocument/2006/relationships/footer" Target="footer18.xml"/><Relationship Id="rId20" Type="http://schemas.openxmlformats.org/officeDocument/2006/relationships/header" Target="header1.xml"/><Relationship Id="rId2" Type="http://schemas.openxmlformats.org/officeDocument/2006/relationships/settings" Target="settings.xml"/><Relationship Id="rId19" Type="http://schemas.openxmlformats.org/officeDocument/2006/relationships/footer" Target="footer17.xml"/><Relationship Id="rId184" Type="http://schemas.openxmlformats.org/officeDocument/2006/relationships/fontTable" Target="fontTable.xml"/><Relationship Id="rId183" Type="http://schemas.openxmlformats.org/officeDocument/2006/relationships/customXml" Target="../customXml/item2.xml"/><Relationship Id="rId182" Type="http://schemas.openxmlformats.org/officeDocument/2006/relationships/numbering" Target="numbering.xml"/><Relationship Id="rId181" Type="http://schemas.openxmlformats.org/officeDocument/2006/relationships/customXml" Target="../customXml/item1.xml"/><Relationship Id="rId180" Type="http://schemas.openxmlformats.org/officeDocument/2006/relationships/image" Target="media/image158.jpeg"/><Relationship Id="rId18" Type="http://schemas.openxmlformats.org/officeDocument/2006/relationships/footer" Target="footer16.xml"/><Relationship Id="rId179" Type="http://schemas.openxmlformats.org/officeDocument/2006/relationships/image" Target="media/image157.jpeg"/><Relationship Id="rId178" Type="http://schemas.openxmlformats.org/officeDocument/2006/relationships/image" Target="media/image156.jpeg"/><Relationship Id="rId177" Type="http://schemas.openxmlformats.org/officeDocument/2006/relationships/image" Target="media/image155.jpeg"/><Relationship Id="rId176" Type="http://schemas.openxmlformats.org/officeDocument/2006/relationships/image" Target="media/image154.jpeg"/><Relationship Id="rId175" Type="http://schemas.openxmlformats.org/officeDocument/2006/relationships/image" Target="media/image153.jpeg"/><Relationship Id="rId174" Type="http://schemas.openxmlformats.org/officeDocument/2006/relationships/image" Target="media/image152.jpeg"/><Relationship Id="rId173" Type="http://schemas.openxmlformats.org/officeDocument/2006/relationships/image" Target="media/image151.jpeg"/><Relationship Id="rId172" Type="http://schemas.openxmlformats.org/officeDocument/2006/relationships/image" Target="media/image150.jpeg"/><Relationship Id="rId171" Type="http://schemas.openxmlformats.org/officeDocument/2006/relationships/image" Target="media/image149.jpeg"/><Relationship Id="rId170" Type="http://schemas.openxmlformats.org/officeDocument/2006/relationships/image" Target="media/image148.jpeg"/><Relationship Id="rId17" Type="http://schemas.openxmlformats.org/officeDocument/2006/relationships/footer" Target="footer15.xml"/><Relationship Id="rId169" Type="http://schemas.openxmlformats.org/officeDocument/2006/relationships/image" Target="media/image147.jpeg"/><Relationship Id="rId168" Type="http://schemas.openxmlformats.org/officeDocument/2006/relationships/image" Target="media/image146.jpeg"/><Relationship Id="rId167" Type="http://schemas.openxmlformats.org/officeDocument/2006/relationships/image" Target="media/image145.jpeg"/><Relationship Id="rId166" Type="http://schemas.openxmlformats.org/officeDocument/2006/relationships/image" Target="media/image144.jpeg"/><Relationship Id="rId165" Type="http://schemas.openxmlformats.org/officeDocument/2006/relationships/image" Target="media/image143.jpeg"/><Relationship Id="rId164" Type="http://schemas.openxmlformats.org/officeDocument/2006/relationships/image" Target="media/image142.jpeg"/><Relationship Id="rId163" Type="http://schemas.openxmlformats.org/officeDocument/2006/relationships/image" Target="media/image141.jpeg"/><Relationship Id="rId162" Type="http://schemas.openxmlformats.org/officeDocument/2006/relationships/image" Target="media/image140.jpeg"/><Relationship Id="rId161" Type="http://schemas.openxmlformats.org/officeDocument/2006/relationships/image" Target="media/image139.jpeg"/><Relationship Id="rId160" Type="http://schemas.openxmlformats.org/officeDocument/2006/relationships/image" Target="media/image138.jpeg"/><Relationship Id="rId16" Type="http://schemas.openxmlformats.org/officeDocument/2006/relationships/footer" Target="footer14.xml"/><Relationship Id="rId159" Type="http://schemas.openxmlformats.org/officeDocument/2006/relationships/image" Target="media/image137.jpeg"/><Relationship Id="rId158" Type="http://schemas.openxmlformats.org/officeDocument/2006/relationships/image" Target="media/image136.jpeg"/><Relationship Id="rId157" Type="http://schemas.openxmlformats.org/officeDocument/2006/relationships/image" Target="media/image135.jpeg"/><Relationship Id="rId156" Type="http://schemas.openxmlformats.org/officeDocument/2006/relationships/image" Target="media/image134.jpeg"/><Relationship Id="rId155" Type="http://schemas.openxmlformats.org/officeDocument/2006/relationships/image" Target="media/image133.jpeg"/><Relationship Id="rId154" Type="http://schemas.openxmlformats.org/officeDocument/2006/relationships/image" Target="media/image132.jpeg"/><Relationship Id="rId153" Type="http://schemas.openxmlformats.org/officeDocument/2006/relationships/image" Target="media/image131.jpeg"/><Relationship Id="rId152" Type="http://schemas.openxmlformats.org/officeDocument/2006/relationships/image" Target="media/image130.jpeg"/><Relationship Id="rId151" Type="http://schemas.openxmlformats.org/officeDocument/2006/relationships/image" Target="media/image129.jpeg"/><Relationship Id="rId150" Type="http://schemas.openxmlformats.org/officeDocument/2006/relationships/image" Target="media/image128.jpeg"/><Relationship Id="rId15" Type="http://schemas.openxmlformats.org/officeDocument/2006/relationships/footer" Target="footer13.xml"/><Relationship Id="rId149" Type="http://schemas.openxmlformats.org/officeDocument/2006/relationships/image" Target="media/image127.jpeg"/><Relationship Id="rId148" Type="http://schemas.openxmlformats.org/officeDocument/2006/relationships/image" Target="media/image126.jpeg"/><Relationship Id="rId147" Type="http://schemas.openxmlformats.org/officeDocument/2006/relationships/image" Target="media/image125.jpeg"/><Relationship Id="rId146" Type="http://schemas.openxmlformats.org/officeDocument/2006/relationships/image" Target="media/image124.jpeg"/><Relationship Id="rId145" Type="http://schemas.openxmlformats.org/officeDocument/2006/relationships/image" Target="media/image123.jpeg"/><Relationship Id="rId144" Type="http://schemas.openxmlformats.org/officeDocument/2006/relationships/image" Target="media/image122.jpeg"/><Relationship Id="rId143" Type="http://schemas.openxmlformats.org/officeDocument/2006/relationships/image" Target="media/image121.jpeg"/><Relationship Id="rId142" Type="http://schemas.openxmlformats.org/officeDocument/2006/relationships/image" Target="media/image120.jpeg"/><Relationship Id="rId141" Type="http://schemas.openxmlformats.org/officeDocument/2006/relationships/image" Target="media/image119.jpeg"/><Relationship Id="rId140" Type="http://schemas.openxmlformats.org/officeDocument/2006/relationships/image" Target="media/image118.jpeg"/><Relationship Id="rId14" Type="http://schemas.openxmlformats.org/officeDocument/2006/relationships/footer" Target="footer12.xml"/><Relationship Id="rId139" Type="http://schemas.openxmlformats.org/officeDocument/2006/relationships/image" Target="media/image117.jpeg"/><Relationship Id="rId138" Type="http://schemas.openxmlformats.org/officeDocument/2006/relationships/image" Target="media/image116.jpeg"/><Relationship Id="rId137" Type="http://schemas.openxmlformats.org/officeDocument/2006/relationships/image" Target="media/image115.jpeg"/><Relationship Id="rId136" Type="http://schemas.openxmlformats.org/officeDocument/2006/relationships/image" Target="media/image114.jpeg"/><Relationship Id="rId135" Type="http://schemas.openxmlformats.org/officeDocument/2006/relationships/image" Target="media/image113.jpeg"/><Relationship Id="rId134" Type="http://schemas.openxmlformats.org/officeDocument/2006/relationships/image" Target="media/image112.jpeg"/><Relationship Id="rId133" Type="http://schemas.openxmlformats.org/officeDocument/2006/relationships/image" Target="media/image111.jpeg"/><Relationship Id="rId132" Type="http://schemas.openxmlformats.org/officeDocument/2006/relationships/image" Target="media/image110.jpeg"/><Relationship Id="rId131" Type="http://schemas.openxmlformats.org/officeDocument/2006/relationships/image" Target="media/image109.jpeg"/><Relationship Id="rId130" Type="http://schemas.openxmlformats.org/officeDocument/2006/relationships/image" Target="media/image108.jpeg"/><Relationship Id="rId13" Type="http://schemas.openxmlformats.org/officeDocument/2006/relationships/footer" Target="footer11.xml"/><Relationship Id="rId129" Type="http://schemas.openxmlformats.org/officeDocument/2006/relationships/image" Target="media/image107.jpeg"/><Relationship Id="rId128" Type="http://schemas.openxmlformats.org/officeDocument/2006/relationships/image" Target="media/image106.jpeg"/><Relationship Id="rId127" Type="http://schemas.openxmlformats.org/officeDocument/2006/relationships/image" Target="media/image105.jpeg"/><Relationship Id="rId126" Type="http://schemas.openxmlformats.org/officeDocument/2006/relationships/image" Target="media/image104.jpeg"/><Relationship Id="rId125" Type="http://schemas.openxmlformats.org/officeDocument/2006/relationships/image" Target="media/image103.jpeg"/><Relationship Id="rId124" Type="http://schemas.openxmlformats.org/officeDocument/2006/relationships/image" Target="media/image102.jpeg"/><Relationship Id="rId123" Type="http://schemas.openxmlformats.org/officeDocument/2006/relationships/image" Target="media/image101.jpeg"/><Relationship Id="rId122" Type="http://schemas.openxmlformats.org/officeDocument/2006/relationships/image" Target="media/image100.jpeg"/><Relationship Id="rId121" Type="http://schemas.openxmlformats.org/officeDocument/2006/relationships/image" Target="media/image99.jpeg"/><Relationship Id="rId120" Type="http://schemas.openxmlformats.org/officeDocument/2006/relationships/image" Target="media/image98.jpeg"/><Relationship Id="rId12" Type="http://schemas.openxmlformats.org/officeDocument/2006/relationships/footer" Target="footer10.xml"/><Relationship Id="rId119" Type="http://schemas.openxmlformats.org/officeDocument/2006/relationships/image" Target="media/image97.jpeg"/><Relationship Id="rId118" Type="http://schemas.openxmlformats.org/officeDocument/2006/relationships/image" Target="media/image96.jpeg"/><Relationship Id="rId117" Type="http://schemas.openxmlformats.org/officeDocument/2006/relationships/image" Target="media/image95.jpeg"/><Relationship Id="rId116" Type="http://schemas.openxmlformats.org/officeDocument/2006/relationships/image" Target="media/image94.jpeg"/><Relationship Id="rId115" Type="http://schemas.openxmlformats.org/officeDocument/2006/relationships/image" Target="media/image93.jpeg"/><Relationship Id="rId114" Type="http://schemas.openxmlformats.org/officeDocument/2006/relationships/image" Target="media/image92.jpeg"/><Relationship Id="rId113" Type="http://schemas.openxmlformats.org/officeDocument/2006/relationships/image" Target="media/image91.jpeg"/><Relationship Id="rId112" Type="http://schemas.openxmlformats.org/officeDocument/2006/relationships/image" Target="media/image90.jpeg"/><Relationship Id="rId111" Type="http://schemas.openxmlformats.org/officeDocument/2006/relationships/image" Target="media/image89.jpeg"/><Relationship Id="rId110" Type="http://schemas.openxmlformats.org/officeDocument/2006/relationships/image" Target="media/image88.jpeg"/><Relationship Id="rId11" Type="http://schemas.openxmlformats.org/officeDocument/2006/relationships/footer" Target="footer9.xml"/><Relationship Id="rId109" Type="http://schemas.openxmlformats.org/officeDocument/2006/relationships/image" Target="media/image87.jpeg"/><Relationship Id="rId108" Type="http://schemas.openxmlformats.org/officeDocument/2006/relationships/image" Target="media/image86.jpeg"/><Relationship Id="rId107" Type="http://schemas.openxmlformats.org/officeDocument/2006/relationships/image" Target="media/image85.jpeg"/><Relationship Id="rId106" Type="http://schemas.openxmlformats.org/officeDocument/2006/relationships/image" Target="media/image84.jpeg"/><Relationship Id="rId105" Type="http://schemas.openxmlformats.org/officeDocument/2006/relationships/image" Target="media/image83.jpeg"/><Relationship Id="rId104" Type="http://schemas.openxmlformats.org/officeDocument/2006/relationships/image" Target="media/image82.jpeg"/><Relationship Id="rId103" Type="http://schemas.openxmlformats.org/officeDocument/2006/relationships/image" Target="media/image81.jpeg"/><Relationship Id="rId102" Type="http://schemas.openxmlformats.org/officeDocument/2006/relationships/image" Target="media/image80.jpeg"/><Relationship Id="rId101" Type="http://schemas.openxmlformats.org/officeDocument/2006/relationships/image" Target="media/image79.jpeg"/><Relationship Id="rId100" Type="http://schemas.openxmlformats.org/officeDocument/2006/relationships/image" Target="media/image78.jpeg"/><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0C7004-08A8-4F25-8776-7DB407140806}">
  <ds:schemaRefs/>
</ds:datastoreItem>
</file>

<file path=docProps/app.xml><?xml version="1.0" encoding="utf-8"?>
<Properties xmlns="http://schemas.openxmlformats.org/officeDocument/2006/extended-properties" xmlns:vt="http://schemas.openxmlformats.org/officeDocument/2006/docPropsVTypes">
  <Template>Normal</Template>
  <Pages>347</Pages>
  <Words>128957</Words>
  <Characters>161199</Characters>
  <Lines>1116</Lines>
  <Paragraphs>314</Paragraphs>
  <TotalTime>0</TotalTime>
  <ScaleCrop>false</ScaleCrop>
  <LinksUpToDate>false</LinksUpToDate>
  <CharactersWithSpaces>163000</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2023-03-22T02:50:00Z</dcterms:created>
  <dc:creator>admin</dc:creator>
  <cp:lastModifiedBy>叶凌飞</cp:lastModifiedBy>
  <cp:lastPrinted>2023-03-23T09:42:00Z</cp:lastPrinted>
  <dcterms:modified xsi:type="dcterms:W3CDTF">2024-03-28T04:01:51Z</dcterms:modified>
  <cp:revision>53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2022-12-26T00:00:00Z</vt:filetime>
  </property>
  <property fmtid="{D5CDD505-2E9C-101B-9397-08002B2CF9AE}" pid="3" name="Creator">
    <vt:lpwstr>WPS 文字</vt:lpwstr>
  </property>
  <property fmtid="{D5CDD505-2E9C-101B-9397-08002B2CF9AE}" pid="4" name="LastSaved">
    <vt:filetime>2023-01-04T00:00:00Z</vt:filetime>
  </property>
  <property fmtid="{D5CDD505-2E9C-101B-9397-08002B2CF9AE}" pid="5" name="KSOProductBuildVer">
    <vt:lpwstr>2052-12.1.0.16388</vt:lpwstr>
  </property>
  <property fmtid="{D5CDD505-2E9C-101B-9397-08002B2CF9AE}" pid="6" name="ICV">
    <vt:lpwstr>3E19E3A739A24BA589F06436B6E9EE12_13</vt:lpwstr>
  </property>
</Properties>
</file>