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宋体" w:hAnsi="宋体"/>
          <w:color w:val="auto"/>
          <w:sz w:val="28"/>
          <w:szCs w:val="28"/>
          <w:highlight w:val="none"/>
          <w:u w:val="single"/>
          <w:lang w:eastAsia="zh-CN"/>
        </w:rPr>
      </w:pPr>
      <w:r>
        <w:rPr>
          <w:rFonts w:hint="eastAsia" w:ascii="宋体" w:hAnsi="宋体"/>
          <w:color w:val="auto"/>
          <w:sz w:val="28"/>
          <w:szCs w:val="28"/>
          <w:highlight w:val="none"/>
          <w:u w:val="single"/>
        </w:rPr>
        <w:t>附件2：资格审查条件附录1至附录</w:t>
      </w:r>
      <w:r>
        <w:rPr>
          <w:rFonts w:hint="eastAsia" w:ascii="宋体" w:hAnsi="宋体"/>
          <w:color w:val="auto"/>
          <w:sz w:val="28"/>
          <w:szCs w:val="28"/>
          <w:highlight w:val="none"/>
          <w:u w:val="single"/>
          <w:lang w:val="en-US" w:eastAsia="zh-CN"/>
        </w:rPr>
        <w:t>4</w:t>
      </w:r>
    </w:p>
    <w:p>
      <w:pPr>
        <w:spacing w:line="360" w:lineRule="auto"/>
        <w:jc w:val="center"/>
        <w:rPr>
          <w:rFonts w:hint="eastAsia" w:ascii="宋体" w:hAnsi="宋体"/>
          <w:b/>
          <w:bCs/>
          <w:color w:val="auto"/>
          <w:sz w:val="28"/>
          <w:szCs w:val="28"/>
          <w:highlight w:val="none"/>
        </w:rPr>
      </w:pPr>
      <w:r>
        <w:rPr>
          <w:rFonts w:hint="eastAsia" w:ascii="宋体" w:hAnsi="宋体"/>
          <w:b/>
          <w:bCs/>
          <w:color w:val="auto"/>
          <w:sz w:val="28"/>
          <w:szCs w:val="28"/>
          <w:highlight w:val="none"/>
        </w:rPr>
        <w:t>附</w:t>
      </w:r>
      <w:bookmarkStart w:id="11" w:name="_GoBack"/>
      <w:bookmarkEnd w:id="11"/>
      <w:r>
        <w:rPr>
          <w:rFonts w:hint="eastAsia" w:ascii="宋体" w:hAnsi="宋体"/>
          <w:b/>
          <w:bCs/>
          <w:color w:val="auto"/>
          <w:sz w:val="28"/>
          <w:szCs w:val="28"/>
          <w:highlight w:val="none"/>
        </w:rPr>
        <w:t>录1  资格审查条件(资质最低要求)</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824" w:type="dxa"/>
            <w:noWrap w:val="0"/>
            <w:vAlign w:val="center"/>
          </w:tcPr>
          <w:p>
            <w:pPr>
              <w:jc w:val="center"/>
              <w:rPr>
                <w:rFonts w:hint="eastAsia" w:ascii="宋体" w:hAnsi="宋体" w:cs="宋体"/>
                <w:b/>
                <w:color w:val="auto"/>
                <w:szCs w:val="21"/>
                <w:highlight w:val="none"/>
              </w:rPr>
            </w:pPr>
            <w:r>
              <w:rPr>
                <w:rFonts w:hint="eastAsia" w:ascii="宋体" w:hAnsi="宋体" w:cs="宋体"/>
                <w:b/>
                <w:bCs/>
                <w:color w:val="auto"/>
                <w:kern w:val="0"/>
                <w:szCs w:val="21"/>
                <w:highlight w:val="none"/>
              </w:rPr>
              <w:t>资质最低要求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jc w:val="center"/>
        </w:trPr>
        <w:tc>
          <w:tcPr>
            <w:tcW w:w="8824" w:type="dxa"/>
            <w:noWrap w:val="0"/>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同时具备在有效期内的下列资质：</w:t>
            </w:r>
          </w:p>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施工资质：</w:t>
            </w:r>
            <w:r>
              <w:rPr>
                <w:rFonts w:hint="eastAsia" w:ascii="宋体" w:hAnsi="宋体" w:cs="宋体"/>
                <w:color w:val="auto"/>
                <w:kern w:val="0"/>
                <w:szCs w:val="21"/>
                <w:highlight w:val="none"/>
                <w:u w:val="single"/>
              </w:rPr>
              <w:t xml:space="preserve">具备公路工程施工总承包  </w:t>
            </w:r>
            <w:r>
              <w:rPr>
                <w:rFonts w:hint="eastAsia" w:ascii="宋体" w:hAnsi="宋体" w:cs="宋体"/>
                <w:color w:val="auto"/>
                <w:kern w:val="0"/>
                <w:szCs w:val="21"/>
                <w:highlight w:val="none"/>
                <w:u w:val="single"/>
                <w:lang w:val="en-US" w:eastAsia="zh-CN"/>
              </w:rPr>
              <w:t>贰</w:t>
            </w:r>
            <w:r>
              <w:rPr>
                <w:rFonts w:hint="eastAsia" w:ascii="宋体" w:hAnsi="宋体" w:cs="宋体"/>
                <w:color w:val="auto"/>
                <w:kern w:val="0"/>
                <w:szCs w:val="21"/>
                <w:highlight w:val="none"/>
                <w:u w:val="single"/>
              </w:rPr>
              <w:t>级</w:t>
            </w:r>
            <w:r>
              <w:rPr>
                <w:rFonts w:hint="eastAsia" w:ascii="宋体" w:hAnsi="宋体" w:cs="宋体"/>
                <w:color w:val="auto"/>
                <w:kern w:val="0"/>
                <w:szCs w:val="21"/>
                <w:highlight w:val="none"/>
                <w:u w:val="single"/>
                <w:lang w:val="en-US" w:eastAsia="zh-CN"/>
              </w:rPr>
              <w:t>或以上</w:t>
            </w:r>
            <w:r>
              <w:rPr>
                <w:rFonts w:hint="eastAsia" w:ascii="宋体" w:hAnsi="宋体" w:cs="宋体"/>
                <w:color w:val="auto"/>
                <w:kern w:val="0"/>
                <w:szCs w:val="21"/>
                <w:highlight w:val="none"/>
                <w:u w:val="single"/>
              </w:rPr>
              <w:t xml:space="preserve"> 资质</w:t>
            </w:r>
            <w:r>
              <w:rPr>
                <w:rFonts w:hint="eastAsia" w:ascii="宋体" w:hAnsi="宋体" w:cs="宋体"/>
                <w:color w:val="auto"/>
                <w:kern w:val="0"/>
                <w:szCs w:val="21"/>
                <w:highlight w:val="none"/>
                <w:u w:val="single"/>
                <w:lang w:eastAsia="zh-CN"/>
              </w:rPr>
              <w:t>，</w:t>
            </w:r>
            <w:r>
              <w:rPr>
                <w:rFonts w:hint="eastAsia" w:ascii="宋体" w:hAnsi="宋体" w:cs="宋体"/>
                <w:color w:val="auto"/>
                <w:kern w:val="0"/>
                <w:szCs w:val="21"/>
                <w:highlight w:val="none"/>
                <w:u w:val="single"/>
                <w:lang w:val="en-US" w:eastAsia="zh-CN"/>
              </w:rPr>
              <w:t>有效的营业执照</w:t>
            </w:r>
            <w:r>
              <w:rPr>
                <w:rFonts w:hint="eastAsia" w:ascii="宋体" w:hAnsi="宋体" w:cs="宋体"/>
                <w:color w:val="auto"/>
                <w:kern w:val="0"/>
                <w:szCs w:val="21"/>
                <w:highlight w:val="none"/>
              </w:rPr>
              <w:t>；</w:t>
            </w:r>
          </w:p>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监理资质：</w:t>
            </w:r>
            <w:r>
              <w:rPr>
                <w:rFonts w:hint="eastAsia" w:ascii="宋体" w:hAnsi="宋体" w:cs="宋体"/>
                <w:color w:val="auto"/>
                <w:kern w:val="0"/>
                <w:szCs w:val="21"/>
                <w:highlight w:val="none"/>
                <w:u w:val="single"/>
              </w:rPr>
              <w:t>工程监理综合资质或公路工程专业</w:t>
            </w:r>
            <w:r>
              <w:rPr>
                <w:rFonts w:hint="eastAsia" w:ascii="宋体" w:hAnsi="宋体" w:cs="宋体"/>
                <w:color w:val="auto"/>
                <w:kern w:val="0"/>
                <w:szCs w:val="21"/>
                <w:highlight w:val="none"/>
                <w:u w:val="single"/>
                <w:lang w:val="en-US" w:eastAsia="zh-CN"/>
              </w:rPr>
              <w:t>甲</w:t>
            </w:r>
            <w:r>
              <w:rPr>
                <w:rFonts w:hint="eastAsia" w:ascii="宋体" w:hAnsi="宋体" w:cs="宋体"/>
                <w:color w:val="auto"/>
                <w:kern w:val="0"/>
                <w:szCs w:val="21"/>
                <w:highlight w:val="none"/>
                <w:u w:val="single"/>
              </w:rPr>
              <w:t>级监理资质</w:t>
            </w:r>
            <w:r>
              <w:rPr>
                <w:rFonts w:hint="eastAsia" w:ascii="宋体" w:hAnsi="宋体" w:cs="宋体"/>
                <w:color w:val="auto"/>
                <w:kern w:val="0"/>
                <w:szCs w:val="21"/>
                <w:highlight w:val="none"/>
                <w:u w:val="single"/>
                <w:lang w:eastAsia="zh-CN"/>
              </w:rPr>
              <w:t>（</w:t>
            </w:r>
            <w:r>
              <w:rPr>
                <w:rFonts w:hint="eastAsia" w:ascii="宋体" w:hAnsi="宋体" w:cs="宋体"/>
                <w:color w:val="auto"/>
                <w:kern w:val="0"/>
                <w:szCs w:val="21"/>
                <w:highlight w:val="none"/>
                <w:u w:val="single"/>
                <w:lang w:val="en-US" w:eastAsia="zh-CN"/>
              </w:rPr>
              <w:t>含公路检测乙级或以上资质</w:t>
            </w:r>
            <w:r>
              <w:rPr>
                <w:rFonts w:hint="eastAsia" w:ascii="宋体" w:hAnsi="宋体" w:cs="宋体"/>
                <w:color w:val="auto"/>
                <w:kern w:val="0"/>
                <w:szCs w:val="21"/>
                <w:highlight w:val="none"/>
                <w:u w:val="single"/>
                <w:lang w:eastAsia="zh-CN"/>
              </w:rPr>
              <w:t>）</w:t>
            </w:r>
            <w:r>
              <w:rPr>
                <w:rFonts w:hint="eastAsia" w:ascii="宋体" w:hAnsi="宋体" w:cs="宋体"/>
                <w:color w:val="auto"/>
                <w:kern w:val="0"/>
                <w:szCs w:val="21"/>
                <w:highlight w:val="none"/>
                <w:u w:val="single"/>
              </w:rPr>
              <w:t>或通过全国投资项目在线审批监管平台备案（备案专业为公路）的工程咨询单位</w:t>
            </w:r>
            <w:r>
              <w:rPr>
                <w:rFonts w:hint="eastAsia" w:ascii="宋体" w:hAnsi="宋体" w:cs="宋体"/>
                <w:color w:val="auto"/>
                <w:kern w:val="0"/>
                <w:szCs w:val="21"/>
                <w:highlight w:val="none"/>
                <w:u w:val="single"/>
                <w:lang w:eastAsia="zh-CN"/>
              </w:rPr>
              <w:t>，</w:t>
            </w:r>
            <w:r>
              <w:rPr>
                <w:rFonts w:hint="eastAsia" w:ascii="宋体" w:hAnsi="宋体" w:cs="宋体"/>
                <w:color w:val="auto"/>
                <w:kern w:val="0"/>
                <w:szCs w:val="21"/>
                <w:highlight w:val="none"/>
                <w:u w:val="single"/>
                <w:lang w:val="en-US" w:eastAsia="zh-CN"/>
              </w:rPr>
              <w:t>有效的营业执照</w:t>
            </w:r>
            <w:r>
              <w:rPr>
                <w:rFonts w:hint="eastAsia" w:ascii="宋体" w:hAnsi="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824" w:type="dxa"/>
            <w:noWrap w:val="0"/>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投标人应具备合法有效的安全生产许可证。</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承担施工任务的联合体成员方具备合法有效的安全生产许可证。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824" w:type="dxa"/>
            <w:noWrap w:val="0"/>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投标人需在交通运输部《</w:t>
            </w:r>
            <w:r>
              <w:rPr>
                <w:rFonts w:hint="eastAsia" w:ascii="宋体" w:hAnsi="宋体" w:cs="宋体"/>
                <w:color w:val="auto"/>
                <w:szCs w:val="21"/>
                <w:highlight w:val="none"/>
                <w:lang w:eastAsia="zh-CN"/>
              </w:rPr>
              <w:t>全国公路建设市场监督管理系统</w:t>
            </w:r>
            <w:r>
              <w:rPr>
                <w:rFonts w:hint="eastAsia" w:ascii="宋体" w:hAnsi="宋体" w:cs="宋体"/>
                <w:color w:val="auto"/>
                <w:szCs w:val="21"/>
                <w:highlight w:val="none"/>
              </w:rPr>
              <w:t>》网站中“公路工程施工资质企业名录”。对于未列入“名录”或投标人名称、资质信息与“名录”查询结果不符的，将不能通过资格审查。</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承担施工任务的联合体成员方需在交通运输部《</w:t>
            </w:r>
            <w:r>
              <w:rPr>
                <w:rFonts w:hint="eastAsia" w:ascii="宋体" w:hAnsi="宋体" w:cs="宋体"/>
                <w:color w:val="auto"/>
                <w:szCs w:val="21"/>
                <w:highlight w:val="none"/>
                <w:lang w:eastAsia="zh-CN"/>
              </w:rPr>
              <w:t>全国公路建设市场监督管理系统</w:t>
            </w:r>
            <w:r>
              <w:rPr>
                <w:rFonts w:hint="eastAsia" w:ascii="宋体" w:hAnsi="宋体" w:cs="宋体"/>
                <w:color w:val="auto"/>
                <w:szCs w:val="21"/>
                <w:highlight w:val="none"/>
              </w:rPr>
              <w:t>》网站中“公路工程施工资质企业名录”（以下简称“名录”）中。对于未列入“名录”或投标人名称、资质信息与“名录”查询结果不符的，将不能通过资格审查。</w:t>
            </w:r>
          </w:p>
        </w:tc>
      </w:tr>
    </w:tbl>
    <w:p>
      <w:pPr>
        <w:spacing w:line="360" w:lineRule="auto"/>
        <w:jc w:val="center"/>
        <w:rPr>
          <w:rFonts w:hint="eastAsia" w:ascii="宋体" w:hAnsi="宋体"/>
          <w:b/>
          <w:bCs/>
          <w:color w:val="auto"/>
          <w:sz w:val="28"/>
          <w:szCs w:val="28"/>
          <w:highlight w:val="none"/>
        </w:rPr>
      </w:pPr>
      <w:r>
        <w:rPr>
          <w:rFonts w:hint="eastAsia" w:ascii="宋体" w:hAnsi="宋体" w:cs="宋体"/>
          <w:color w:val="auto"/>
          <w:sz w:val="18"/>
          <w:szCs w:val="18"/>
          <w:highlight w:val="none"/>
        </w:rPr>
        <w:br w:type="page"/>
      </w:r>
      <w:bookmarkStart w:id="0" w:name="_Toc236215682"/>
      <w:bookmarkStart w:id="1" w:name="_Toc235615867"/>
      <w:bookmarkStart w:id="2" w:name="_Toc235615585"/>
      <w:r>
        <w:rPr>
          <w:rFonts w:hint="eastAsia" w:ascii="宋体" w:hAnsi="宋体"/>
          <w:b/>
          <w:bCs/>
          <w:color w:val="auto"/>
          <w:sz w:val="28"/>
          <w:szCs w:val="28"/>
          <w:highlight w:val="none"/>
        </w:rPr>
        <w:t>附录2  资格审查条件(财务最低要求)</w:t>
      </w:r>
      <w:bookmarkEnd w:id="0"/>
      <w:bookmarkEnd w:id="1"/>
      <w:bookmarkEnd w:id="2"/>
    </w:p>
    <w:p>
      <w:pPr>
        <w:spacing w:line="360" w:lineRule="auto"/>
        <w:rPr>
          <w:rFonts w:hint="eastAsia" w:ascii="宋体" w:hAnsi="宋体" w:cs="宋体"/>
          <w:color w:val="auto"/>
          <w:highlight w:val="none"/>
        </w:rPr>
      </w:pPr>
    </w:p>
    <w:tbl>
      <w:tblPr>
        <w:tblStyle w:val="4"/>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exact"/>
        </w:trPr>
        <w:tc>
          <w:tcPr>
            <w:tcW w:w="8316" w:type="dxa"/>
            <w:noWrap w:val="0"/>
            <w:vAlign w:val="center"/>
          </w:tcPr>
          <w:p>
            <w:pPr>
              <w:jc w:val="center"/>
              <w:rPr>
                <w:rFonts w:hint="eastAsia" w:ascii="宋体" w:hAnsi="宋体" w:cs="宋体"/>
                <w:color w:val="auto"/>
                <w:szCs w:val="21"/>
                <w:highlight w:val="none"/>
              </w:rPr>
            </w:pPr>
            <w:r>
              <w:rPr>
                <w:rFonts w:hint="eastAsia" w:ascii="宋体" w:hAnsi="宋体" w:cs="宋体"/>
                <w:color w:val="auto"/>
                <w:kern w:val="0"/>
                <w:szCs w:val="21"/>
                <w:highlight w:val="none"/>
              </w:rPr>
              <w:t>财务最低要求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7" w:hRule="exact"/>
        </w:trPr>
        <w:tc>
          <w:tcPr>
            <w:tcW w:w="8316" w:type="dxa"/>
            <w:noWrap w:val="0"/>
            <w:vAlign w:val="center"/>
          </w:tcPr>
          <w:p>
            <w:pPr>
              <w:adjustRightInd w:val="0"/>
              <w:snapToGrid w:val="0"/>
              <w:spacing w:line="360" w:lineRule="auto"/>
              <w:ind w:left="63" w:leftChars="30" w:right="63" w:rightChars="30"/>
              <w:jc w:val="left"/>
              <w:rPr>
                <w:rFonts w:hint="eastAsia" w:ascii="宋体" w:hAnsi="宋体" w:cs="宋体"/>
                <w:color w:val="auto"/>
                <w:szCs w:val="21"/>
                <w:highlight w:val="none"/>
              </w:rPr>
            </w:pPr>
            <w:r>
              <w:rPr>
                <w:rFonts w:hint="eastAsia" w:ascii="宋体" w:hAnsi="宋体" w:cs="宋体"/>
                <w:color w:val="auto"/>
                <w:szCs w:val="21"/>
                <w:highlight w:val="none"/>
              </w:rPr>
              <w:t>1.企业净资产（总资产－总负债）不少于</w:t>
            </w:r>
            <w:r>
              <w:rPr>
                <w:rFonts w:hint="eastAsia" w:ascii="宋体" w:hAnsi="宋体" w:cs="宋体"/>
                <w:color w:val="auto"/>
                <w:szCs w:val="21"/>
                <w:highlight w:val="none"/>
                <w:u w:val="single"/>
                <w:lang w:val="en-US" w:eastAsia="zh-CN"/>
              </w:rPr>
              <w:t>1500</w:t>
            </w:r>
            <w:r>
              <w:rPr>
                <w:rFonts w:hint="eastAsia" w:ascii="宋体" w:hAnsi="宋体" w:cs="宋体"/>
                <w:color w:val="auto"/>
                <w:szCs w:val="21"/>
                <w:highlight w:val="none"/>
              </w:rPr>
              <w:t>万元人民币；</w:t>
            </w:r>
          </w:p>
          <w:p>
            <w:pPr>
              <w:adjustRightInd w:val="0"/>
              <w:snapToGrid w:val="0"/>
              <w:spacing w:line="360" w:lineRule="auto"/>
              <w:ind w:left="63" w:leftChars="30" w:right="63" w:rightChars="30"/>
              <w:jc w:val="left"/>
              <w:rPr>
                <w:rFonts w:hint="eastAsia" w:ascii="宋体" w:hAnsi="宋体" w:cs="宋体"/>
                <w:color w:val="auto"/>
                <w:szCs w:val="21"/>
                <w:highlight w:val="none"/>
              </w:rPr>
            </w:pPr>
            <w:r>
              <w:rPr>
                <w:rFonts w:hint="eastAsia" w:ascii="宋体" w:hAnsi="宋体" w:cs="宋体"/>
                <w:color w:val="auto"/>
                <w:szCs w:val="21"/>
                <w:highlight w:val="none"/>
              </w:rPr>
              <w:t>2.营运资金（流动资产－流动负债）不少于</w:t>
            </w:r>
            <w:r>
              <w:rPr>
                <w:rFonts w:hint="eastAsia" w:ascii="宋体" w:hAnsi="宋体" w:cs="宋体"/>
                <w:color w:val="auto"/>
                <w:szCs w:val="21"/>
                <w:highlight w:val="none"/>
                <w:u w:val="single"/>
                <w:lang w:val="en-US" w:eastAsia="zh-CN"/>
              </w:rPr>
              <w:t>1500</w:t>
            </w:r>
            <w:r>
              <w:rPr>
                <w:rFonts w:hint="eastAsia" w:ascii="宋体" w:hAnsi="宋体" w:cs="宋体"/>
                <w:color w:val="auto"/>
                <w:szCs w:val="21"/>
                <w:highlight w:val="none"/>
              </w:rPr>
              <w:t>万元人民币；</w:t>
            </w:r>
          </w:p>
          <w:p>
            <w:pPr>
              <w:adjustRightInd w:val="0"/>
              <w:snapToGrid w:val="0"/>
              <w:spacing w:line="360" w:lineRule="auto"/>
              <w:ind w:left="63" w:leftChars="30" w:right="63" w:rightChars="30"/>
              <w:jc w:val="left"/>
              <w:rPr>
                <w:rFonts w:hint="eastAsia" w:ascii="宋体" w:hAnsi="宋体" w:cs="宋体"/>
                <w:color w:val="auto"/>
                <w:szCs w:val="21"/>
                <w:highlight w:val="none"/>
              </w:rPr>
            </w:pPr>
            <w:r>
              <w:rPr>
                <w:rFonts w:hint="eastAsia" w:ascii="宋体" w:hAnsi="宋体" w:cs="宋体"/>
                <w:color w:val="auto"/>
                <w:szCs w:val="21"/>
                <w:highlight w:val="none"/>
              </w:rPr>
              <w:t>3.近三个年度的平均营业总收入不少于</w:t>
            </w:r>
            <w:r>
              <w:rPr>
                <w:rFonts w:hint="eastAsia" w:ascii="宋体" w:hAnsi="宋体" w:cs="宋体"/>
                <w:color w:val="auto"/>
                <w:szCs w:val="21"/>
                <w:highlight w:val="none"/>
                <w:u w:val="single"/>
                <w:lang w:val="en-US" w:eastAsia="zh-CN"/>
              </w:rPr>
              <w:t>1500</w:t>
            </w:r>
            <w:r>
              <w:rPr>
                <w:rFonts w:hint="eastAsia" w:ascii="宋体" w:hAnsi="宋体" w:cs="宋体"/>
                <w:color w:val="auto"/>
                <w:szCs w:val="21"/>
                <w:highlight w:val="none"/>
              </w:rPr>
              <w:t>万元人民币；</w:t>
            </w:r>
          </w:p>
          <w:p>
            <w:pPr>
              <w:adjustRightInd w:val="0"/>
              <w:snapToGrid w:val="0"/>
              <w:spacing w:line="360" w:lineRule="auto"/>
              <w:ind w:left="63" w:leftChars="30" w:right="63" w:rightChars="30"/>
              <w:jc w:val="left"/>
              <w:rPr>
                <w:rFonts w:hint="eastAsia" w:ascii="宋体" w:hAnsi="宋体" w:cs="宋体"/>
                <w:color w:val="auto"/>
                <w:szCs w:val="21"/>
                <w:highlight w:val="none"/>
              </w:rPr>
            </w:pPr>
            <w:r>
              <w:rPr>
                <w:rFonts w:hint="eastAsia" w:ascii="宋体" w:hAnsi="宋体" w:cs="宋体"/>
                <w:color w:val="auto"/>
                <w:szCs w:val="21"/>
                <w:highlight w:val="none"/>
              </w:rPr>
              <w:t>4.近三个年度至少有</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rPr>
              <w:t>年盈利。</w:t>
            </w:r>
          </w:p>
        </w:tc>
      </w:tr>
    </w:tbl>
    <w:p>
      <w:pPr>
        <w:spacing w:line="300" w:lineRule="auto"/>
        <w:jc w:val="left"/>
        <w:rPr>
          <w:rFonts w:hint="eastAsia" w:ascii="宋体" w:hAnsi="宋体" w:cs="宋体"/>
          <w:bCs/>
          <w:color w:val="auto"/>
          <w:szCs w:val="21"/>
          <w:highlight w:val="none"/>
        </w:rPr>
      </w:pPr>
      <w:bookmarkStart w:id="3" w:name="_Toc236215683"/>
      <w:bookmarkStart w:id="4" w:name="_Toc235615586"/>
      <w:bookmarkStart w:id="5" w:name="_Toc235615868"/>
    </w:p>
    <w:p>
      <w:pPr>
        <w:spacing w:line="300" w:lineRule="auto"/>
        <w:jc w:val="left"/>
        <w:rPr>
          <w:rFonts w:hint="eastAsia" w:ascii="宋体" w:hAnsi="宋体" w:cs="宋体"/>
          <w:color w:val="auto"/>
          <w:szCs w:val="21"/>
          <w:highlight w:val="none"/>
        </w:rPr>
      </w:pPr>
      <w:r>
        <w:rPr>
          <w:rFonts w:hint="eastAsia" w:ascii="宋体" w:hAnsi="宋体" w:cs="宋体"/>
          <w:bCs/>
          <w:color w:val="auto"/>
          <w:szCs w:val="21"/>
          <w:highlight w:val="none"/>
        </w:rPr>
        <w:t>注：1.</w:t>
      </w:r>
      <w:r>
        <w:rPr>
          <w:rFonts w:hint="eastAsia" w:ascii="宋体" w:hAnsi="宋体" w:cs="宋体"/>
          <w:color w:val="auto"/>
          <w:szCs w:val="21"/>
          <w:highlight w:val="none"/>
        </w:rPr>
        <w:t>企业净资产、营运资金是按交通运输部“</w:t>
      </w:r>
      <w:r>
        <w:rPr>
          <w:rFonts w:hint="eastAsia" w:ascii="宋体" w:hAnsi="宋体" w:cs="宋体"/>
          <w:color w:val="auto"/>
          <w:szCs w:val="21"/>
          <w:highlight w:val="none"/>
          <w:lang w:eastAsia="zh-CN"/>
        </w:rPr>
        <w:t>全国公路建设市场监督管理系统</w:t>
      </w:r>
      <w:r>
        <w:rPr>
          <w:rFonts w:hint="eastAsia" w:ascii="宋体" w:hAnsi="宋体" w:cs="宋体"/>
          <w:color w:val="auto"/>
          <w:szCs w:val="21"/>
          <w:highlight w:val="none"/>
        </w:rPr>
        <w:t>”登记的最新年度（近三个年度的最后一年，下同）数据计算得出。</w:t>
      </w:r>
    </w:p>
    <w:p>
      <w:pPr>
        <w:spacing w:line="300" w:lineRule="auto"/>
        <w:jc w:val="left"/>
        <w:rPr>
          <w:rFonts w:hint="eastAsia" w:ascii="宋体" w:hAnsi="宋体" w:cs="宋体"/>
          <w:color w:val="auto"/>
          <w:szCs w:val="21"/>
          <w:highlight w:val="none"/>
        </w:rPr>
      </w:pPr>
      <w:r>
        <w:rPr>
          <w:rFonts w:hint="eastAsia" w:ascii="宋体" w:hAnsi="宋体" w:cs="宋体"/>
          <w:color w:val="auto"/>
          <w:szCs w:val="21"/>
          <w:highlight w:val="none"/>
        </w:rPr>
        <w:t>2.近三个年度财务信息以投标人提供的“</w:t>
      </w:r>
      <w:r>
        <w:rPr>
          <w:rFonts w:hint="eastAsia" w:ascii="宋体" w:hAnsi="宋体" w:cs="宋体"/>
          <w:color w:val="auto"/>
          <w:szCs w:val="21"/>
          <w:highlight w:val="none"/>
          <w:lang w:eastAsia="zh-CN"/>
        </w:rPr>
        <w:t>全国公路建设市场监督管理系统</w:t>
      </w:r>
      <w:r>
        <w:rPr>
          <w:rFonts w:hint="eastAsia" w:ascii="宋体" w:hAnsi="宋体" w:cs="宋体"/>
          <w:color w:val="auto"/>
          <w:szCs w:val="21"/>
          <w:highlight w:val="none"/>
        </w:rPr>
        <w:t>”企业所填的信息截图为准。</w:t>
      </w:r>
    </w:p>
    <w:p>
      <w:pPr>
        <w:spacing w:line="300" w:lineRule="auto"/>
        <w:jc w:val="left"/>
        <w:rPr>
          <w:rFonts w:hint="eastAsia" w:ascii="宋体" w:hAnsi="宋体"/>
          <w:color w:val="auto"/>
          <w:szCs w:val="21"/>
          <w:highlight w:val="none"/>
        </w:rPr>
      </w:pPr>
      <w:r>
        <w:rPr>
          <w:rFonts w:hint="eastAsia" w:ascii="宋体" w:hAnsi="宋体" w:cs="宋体"/>
          <w:color w:val="auto"/>
          <w:szCs w:val="21"/>
          <w:highlight w:val="none"/>
        </w:rPr>
        <w:t>3.</w:t>
      </w:r>
      <w:r>
        <w:rPr>
          <w:rFonts w:hint="eastAsia" w:ascii="宋体" w:hAnsi="宋体"/>
          <w:color w:val="auto"/>
          <w:szCs w:val="21"/>
          <w:highlight w:val="none"/>
        </w:rPr>
        <w:t>以联合体形式投标的，财务最低要求中的第1、2、3、4项其财务能力以</w:t>
      </w:r>
      <w:r>
        <w:rPr>
          <w:rFonts w:hint="eastAsia" w:ascii="宋体" w:hAnsi="宋体" w:cs="宋体"/>
          <w:color w:val="auto"/>
          <w:szCs w:val="21"/>
          <w:highlight w:val="none"/>
        </w:rPr>
        <w:t>联合体牵头人</w:t>
      </w:r>
      <w:r>
        <w:rPr>
          <w:rFonts w:hint="eastAsia" w:ascii="宋体" w:hAnsi="宋体"/>
          <w:color w:val="auto"/>
          <w:szCs w:val="21"/>
          <w:highlight w:val="none"/>
        </w:rPr>
        <w:t>为准。</w:t>
      </w:r>
    </w:p>
    <w:p>
      <w:pPr>
        <w:spacing w:line="300" w:lineRule="auto"/>
        <w:jc w:val="left"/>
        <w:rPr>
          <w:rFonts w:hint="eastAsia" w:ascii="宋体" w:hAnsi="宋体" w:cs="宋体"/>
          <w:color w:val="auto"/>
          <w:szCs w:val="21"/>
          <w:highlight w:val="none"/>
        </w:rPr>
      </w:pPr>
      <w:r>
        <w:rPr>
          <w:rFonts w:hint="eastAsia" w:ascii="宋体" w:hAnsi="宋体"/>
          <w:color w:val="auto"/>
          <w:szCs w:val="21"/>
          <w:highlight w:val="none"/>
        </w:rPr>
        <w:t>4.</w:t>
      </w:r>
      <w:r>
        <w:rPr>
          <w:rFonts w:hint="eastAsia" w:ascii="宋体" w:hAnsi="宋体" w:cs="宋体"/>
          <w:color w:val="auto"/>
          <w:szCs w:val="21"/>
          <w:highlight w:val="none"/>
        </w:rPr>
        <w:t>投标人应根据招标文件第二章“投标人须知”第3.5.2项的要求附相关证明材料。</w:t>
      </w:r>
    </w:p>
    <w:p>
      <w:pPr>
        <w:jc w:val="center"/>
        <w:rPr>
          <w:rFonts w:hint="eastAsia" w:ascii="宋体" w:hAnsi="宋体" w:cs="宋体"/>
          <w:color w:val="auto"/>
          <w:sz w:val="30"/>
          <w:szCs w:val="30"/>
          <w:highlight w:val="none"/>
        </w:rPr>
      </w:pPr>
    </w:p>
    <w:p>
      <w:pPr>
        <w:jc w:val="center"/>
        <w:rPr>
          <w:rFonts w:hint="eastAsia" w:ascii="宋体" w:hAnsi="宋体" w:cs="宋体"/>
          <w:color w:val="auto"/>
          <w:sz w:val="30"/>
          <w:szCs w:val="30"/>
          <w:highlight w:val="none"/>
        </w:rPr>
      </w:pPr>
    </w:p>
    <w:p>
      <w:pPr>
        <w:jc w:val="center"/>
        <w:rPr>
          <w:rFonts w:hint="eastAsia" w:ascii="宋体" w:hAnsi="宋体" w:cs="宋体"/>
          <w:color w:val="auto"/>
          <w:sz w:val="30"/>
          <w:szCs w:val="30"/>
          <w:highlight w:val="none"/>
        </w:rPr>
      </w:pPr>
    </w:p>
    <w:p>
      <w:pPr>
        <w:jc w:val="center"/>
        <w:rPr>
          <w:rFonts w:hint="eastAsia" w:ascii="宋体" w:hAnsi="宋体" w:cs="宋体"/>
          <w:color w:val="auto"/>
          <w:sz w:val="30"/>
          <w:szCs w:val="30"/>
          <w:highlight w:val="none"/>
        </w:rPr>
      </w:pPr>
    </w:p>
    <w:p>
      <w:pPr>
        <w:jc w:val="center"/>
        <w:rPr>
          <w:rFonts w:hint="eastAsia" w:ascii="宋体" w:hAnsi="宋体" w:cs="宋体"/>
          <w:color w:val="auto"/>
          <w:sz w:val="30"/>
          <w:szCs w:val="30"/>
          <w:highlight w:val="none"/>
        </w:rPr>
      </w:pPr>
    </w:p>
    <w:p>
      <w:pPr>
        <w:jc w:val="center"/>
        <w:rPr>
          <w:rFonts w:hint="eastAsia" w:ascii="宋体" w:hAnsi="宋体" w:cs="宋体"/>
          <w:color w:val="auto"/>
          <w:sz w:val="30"/>
          <w:szCs w:val="30"/>
          <w:highlight w:val="none"/>
        </w:rPr>
      </w:pPr>
    </w:p>
    <w:p>
      <w:pPr>
        <w:jc w:val="center"/>
        <w:rPr>
          <w:rFonts w:hint="eastAsia" w:ascii="宋体" w:hAnsi="宋体" w:cs="宋体"/>
          <w:color w:val="auto"/>
          <w:sz w:val="30"/>
          <w:szCs w:val="30"/>
          <w:highlight w:val="none"/>
        </w:rPr>
      </w:pPr>
    </w:p>
    <w:p>
      <w:pPr>
        <w:jc w:val="center"/>
        <w:rPr>
          <w:rFonts w:hint="eastAsia" w:ascii="宋体" w:hAnsi="宋体" w:cs="宋体"/>
          <w:color w:val="auto"/>
          <w:sz w:val="30"/>
          <w:szCs w:val="30"/>
          <w:highlight w:val="none"/>
        </w:rPr>
      </w:pPr>
    </w:p>
    <w:p>
      <w:pPr>
        <w:jc w:val="center"/>
        <w:rPr>
          <w:rFonts w:hint="eastAsia" w:ascii="宋体" w:hAnsi="宋体" w:cs="宋体"/>
          <w:color w:val="auto"/>
          <w:sz w:val="30"/>
          <w:szCs w:val="30"/>
          <w:highlight w:val="none"/>
        </w:rPr>
      </w:pPr>
    </w:p>
    <w:p>
      <w:pPr>
        <w:jc w:val="center"/>
        <w:rPr>
          <w:rFonts w:hint="eastAsia" w:ascii="宋体" w:hAnsi="宋体" w:cs="宋体"/>
          <w:color w:val="auto"/>
          <w:sz w:val="30"/>
          <w:szCs w:val="30"/>
          <w:highlight w:val="none"/>
        </w:rPr>
      </w:pPr>
    </w:p>
    <w:p>
      <w:pPr>
        <w:jc w:val="left"/>
        <w:rPr>
          <w:rFonts w:hint="eastAsia" w:ascii="宋体" w:hAnsi="宋体" w:cs="宋体"/>
          <w:color w:val="auto"/>
          <w:sz w:val="30"/>
          <w:szCs w:val="30"/>
          <w:highlight w:val="none"/>
        </w:rPr>
        <w:sectPr>
          <w:footnotePr>
            <w:numFmt w:val="decimalEnclosedCircleChinese"/>
            <w:numRestart w:val="eachPage"/>
          </w:footnotePr>
          <w:pgSz w:w="11906" w:h="16838"/>
          <w:pgMar w:top="1440" w:right="1800" w:bottom="1440" w:left="1800" w:header="851" w:footer="851" w:gutter="0"/>
          <w:cols w:space="720" w:num="1"/>
          <w:docGrid w:type="lines" w:linePitch="312" w:charSpace="0"/>
        </w:sectPr>
      </w:pPr>
    </w:p>
    <w:p>
      <w:pPr>
        <w:spacing w:line="360" w:lineRule="auto"/>
        <w:jc w:val="center"/>
        <w:rPr>
          <w:rFonts w:hint="eastAsia" w:ascii="宋体" w:hAnsi="宋体"/>
          <w:b/>
          <w:bCs/>
          <w:color w:val="auto"/>
          <w:sz w:val="28"/>
          <w:szCs w:val="28"/>
          <w:highlight w:val="none"/>
        </w:rPr>
      </w:pPr>
      <w:r>
        <w:rPr>
          <w:rFonts w:hint="eastAsia" w:ascii="宋体" w:hAnsi="宋体"/>
          <w:b/>
          <w:bCs/>
          <w:color w:val="auto"/>
          <w:sz w:val="28"/>
          <w:szCs w:val="28"/>
          <w:highlight w:val="none"/>
        </w:rPr>
        <w:t>附录3  资格审查条件(业绩最低要求)</w:t>
      </w:r>
      <w:bookmarkEnd w:id="3"/>
      <w:bookmarkEnd w:id="4"/>
      <w:bookmarkEnd w:id="5"/>
    </w:p>
    <w:p>
      <w:pPr>
        <w:spacing w:line="360" w:lineRule="auto"/>
        <w:rPr>
          <w:rFonts w:hint="eastAsia" w:ascii="宋体" w:hAnsi="宋体" w:cs="宋体"/>
          <w:color w:val="auto"/>
          <w:highlight w:val="none"/>
        </w:rPr>
      </w:pPr>
    </w:p>
    <w:tbl>
      <w:tblPr>
        <w:tblStyle w:val="4"/>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exact"/>
        </w:trPr>
        <w:tc>
          <w:tcPr>
            <w:tcW w:w="8310"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业绩最低要求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5" w:hRule="atLeast"/>
        </w:trPr>
        <w:tc>
          <w:tcPr>
            <w:tcW w:w="8310" w:type="dxa"/>
            <w:noWrap w:val="0"/>
            <w:vAlign w:val="center"/>
          </w:tcPr>
          <w:p>
            <w:pPr>
              <w:adjustRightInd/>
              <w:snapToGrid/>
              <w:spacing w:before="0" w:beforeLines="0" w:after="0" w:afterLines="0" w:line="500" w:lineRule="exact"/>
              <w:ind w:left="0" w:leftChars="0" w:right="0" w:rightChars="0"/>
              <w:rPr>
                <w:rFonts w:hint="eastAsia" w:ascii="宋体" w:hAnsi="宋体"/>
                <w:color w:val="auto"/>
                <w:szCs w:val="21"/>
                <w:highlight w:val="none"/>
              </w:rPr>
            </w:pPr>
            <w:r>
              <w:rPr>
                <w:rFonts w:hint="eastAsia" w:ascii="宋体" w:hAnsi="宋体"/>
                <w:color w:val="auto"/>
                <w:szCs w:val="21"/>
                <w:highlight w:val="none"/>
              </w:rPr>
              <w:t>近</w:t>
            </w:r>
            <w:r>
              <w:rPr>
                <w:rFonts w:hint="eastAsia" w:ascii="宋体" w:hAnsi="宋体"/>
                <w:color w:val="auto"/>
                <w:szCs w:val="21"/>
                <w:highlight w:val="none"/>
                <w:u w:val="single"/>
                <w:lang w:val="en-US" w:eastAsia="zh-CN"/>
              </w:rPr>
              <w:t>五</w:t>
            </w:r>
            <w:r>
              <w:rPr>
                <w:rFonts w:hint="eastAsia" w:ascii="宋体" w:hAnsi="宋体"/>
                <w:color w:val="auto"/>
                <w:szCs w:val="21"/>
                <w:highlight w:val="none"/>
              </w:rPr>
              <w:t>年内，成功完成：</w:t>
            </w:r>
          </w:p>
          <w:p>
            <w:pPr>
              <w:spacing w:line="500" w:lineRule="exact"/>
              <w:rPr>
                <w:rFonts w:hint="eastAsia"/>
                <w:color w:val="auto"/>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w:t>
            </w:r>
            <w:r>
              <w:rPr>
                <w:rFonts w:hint="eastAsia" w:ascii="宋体" w:hAnsi="宋体"/>
                <w:color w:val="auto"/>
                <w:szCs w:val="21"/>
                <w:highlight w:val="none"/>
              </w:rPr>
              <w:t>）类似工程</w:t>
            </w:r>
            <w:r>
              <w:rPr>
                <w:rFonts w:hint="eastAsia" w:ascii="宋体" w:hAnsi="宋体"/>
                <w:color w:val="auto"/>
                <w:szCs w:val="21"/>
                <w:highlight w:val="none"/>
                <w:u w:val="single"/>
              </w:rPr>
              <w:t xml:space="preserve"> 路基桥涵</w:t>
            </w:r>
            <w:r>
              <w:rPr>
                <w:rFonts w:hint="eastAsia" w:ascii="宋体" w:hAnsi="宋体"/>
                <w:color w:val="auto"/>
                <w:szCs w:val="21"/>
                <w:highlight w:val="none"/>
                <w:u w:val="single"/>
                <w:lang w:val="en-US" w:eastAsia="zh-CN"/>
              </w:rPr>
              <w:t>或</w:t>
            </w:r>
            <w:r>
              <w:rPr>
                <w:rFonts w:hint="eastAsia" w:ascii="宋体" w:hAnsi="宋体"/>
                <w:color w:val="auto"/>
                <w:szCs w:val="21"/>
                <w:highlight w:val="none"/>
                <w:u w:val="single"/>
              </w:rPr>
              <w:t>安全生命防护（交通安全设施）</w:t>
            </w:r>
            <w:r>
              <w:rPr>
                <w:rFonts w:hint="eastAsia" w:ascii="宋体" w:hAnsi="宋体"/>
                <w:color w:val="auto"/>
                <w:szCs w:val="21"/>
                <w:highlight w:val="none"/>
                <w:u w:val="single"/>
                <w:lang w:val="en-US" w:eastAsia="zh-CN"/>
              </w:rPr>
              <w:t>或路面</w:t>
            </w:r>
            <w:r>
              <w:rPr>
                <w:rFonts w:ascii="宋体" w:hAnsi="宋体"/>
                <w:color w:val="auto"/>
                <w:szCs w:val="21"/>
                <w:highlight w:val="none"/>
                <w:u w:val="single"/>
              </w:rPr>
              <w:t xml:space="preserve">  </w:t>
            </w:r>
            <w:r>
              <w:rPr>
                <w:rFonts w:hint="eastAsia" w:ascii="宋体" w:hAnsi="宋体"/>
                <w:color w:val="auto"/>
                <w:szCs w:val="21"/>
                <w:highlight w:val="none"/>
              </w:rPr>
              <w:t>工程</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施工总承包</w:t>
            </w:r>
            <w:r>
              <w:rPr>
                <w:rFonts w:ascii="宋体" w:hAnsi="宋体"/>
                <w:color w:val="auto"/>
                <w:szCs w:val="21"/>
                <w:highlight w:val="none"/>
                <w:u w:val="single"/>
              </w:rPr>
              <w:t xml:space="preserve">  </w:t>
            </w:r>
            <w:r>
              <w:rPr>
                <w:rFonts w:hint="eastAsia" w:ascii="宋体" w:hAnsi="宋体"/>
                <w:color w:val="auto"/>
                <w:szCs w:val="21"/>
                <w:highlight w:val="none"/>
              </w:rPr>
              <w:t>至少</w:t>
            </w:r>
            <w:r>
              <w:rPr>
                <w:rFonts w:hint="eastAsia" w:ascii="宋体" w:hAnsi="宋体"/>
                <w:color w:val="auto"/>
                <w:szCs w:val="21"/>
                <w:highlight w:val="none"/>
                <w:u w:val="single"/>
                <w:lang w:val="en-US" w:eastAsia="zh-CN"/>
              </w:rPr>
              <w:t>4</w:t>
            </w:r>
            <w:r>
              <w:rPr>
                <w:rFonts w:hint="eastAsia" w:ascii="宋体" w:hAnsi="宋体"/>
                <w:color w:val="auto"/>
                <w:szCs w:val="21"/>
                <w:highlight w:val="none"/>
              </w:rPr>
              <w:t>个标段</w:t>
            </w:r>
            <w:r>
              <w:rPr>
                <w:rFonts w:hint="eastAsia" w:ascii="宋体" w:hAnsi="宋体"/>
                <w:color w:val="auto"/>
                <w:szCs w:val="21"/>
                <w:highlight w:val="none"/>
                <w:u w:val="single"/>
              </w:rPr>
              <w:t>（其中有1个标段里程</w:t>
            </w:r>
            <w:r>
              <w:rPr>
                <w:rFonts w:hint="eastAsia" w:ascii="宋体" w:hAnsi="宋体"/>
                <w:color w:val="auto"/>
                <w:szCs w:val="21"/>
                <w:highlight w:val="none"/>
                <w:u w:val="single"/>
                <w:lang w:val="en-US" w:eastAsia="zh-CN"/>
              </w:rPr>
              <w:t>2</w:t>
            </w:r>
            <w:r>
              <w:rPr>
                <w:rFonts w:hint="eastAsia" w:ascii="宋体" w:hAnsi="宋体"/>
                <w:color w:val="auto"/>
                <w:kern w:val="0"/>
                <w:szCs w:val="21"/>
                <w:highlight w:val="none"/>
                <w:u w:val="single"/>
                <w:lang w:val="en-US" w:eastAsia="zh-CN"/>
              </w:rPr>
              <w:t>0</w:t>
            </w:r>
            <w:r>
              <w:rPr>
                <w:rFonts w:hint="eastAsia" w:ascii="宋体" w:hAnsi="宋体"/>
                <w:color w:val="auto"/>
                <w:kern w:val="0"/>
                <w:szCs w:val="21"/>
                <w:highlight w:val="none"/>
                <w:u w:val="single"/>
              </w:rPr>
              <w:t>km）</w:t>
            </w:r>
            <w:r>
              <w:rPr>
                <w:rFonts w:hint="eastAsia" w:ascii="宋体" w:hAnsi="宋体"/>
                <w:color w:val="auto"/>
                <w:kern w:val="0"/>
                <w:szCs w:val="21"/>
                <w:highlight w:val="none"/>
              </w:rPr>
              <w:t>，</w:t>
            </w:r>
            <w:r>
              <w:rPr>
                <w:rFonts w:hint="eastAsia" w:ascii="宋体" w:hAnsi="宋体"/>
                <w:color w:val="auto"/>
                <w:szCs w:val="21"/>
                <w:highlight w:val="none"/>
              </w:rPr>
              <w:t>且累计里程</w:t>
            </w:r>
            <w:r>
              <w:rPr>
                <w:rFonts w:hint="eastAsia" w:ascii="宋体" w:hAnsi="宋体"/>
                <w:color w:val="auto"/>
                <w:szCs w:val="21"/>
                <w:highlight w:val="none"/>
                <w:u w:val="single"/>
                <w:lang w:val="en-US" w:eastAsia="zh-CN"/>
              </w:rPr>
              <w:t>80</w:t>
            </w:r>
            <w:r>
              <w:rPr>
                <w:rFonts w:hint="eastAsia" w:ascii="宋体" w:hAnsi="宋体"/>
                <w:color w:val="auto"/>
                <w:szCs w:val="21"/>
                <w:highlight w:val="none"/>
              </w:rPr>
              <w:t>km。</w:t>
            </w:r>
          </w:p>
        </w:tc>
      </w:tr>
    </w:tbl>
    <w:p>
      <w:pPr>
        <w:widowControl/>
        <w:autoSpaceDE w:val="0"/>
        <w:autoSpaceDN w:val="0"/>
        <w:spacing w:line="300" w:lineRule="auto"/>
        <w:ind w:right="397" w:rightChars="189"/>
        <w:contextualSpacing/>
        <w:textAlignment w:val="bottom"/>
        <w:rPr>
          <w:rFonts w:hint="eastAsia" w:ascii="宋体" w:hAnsi="宋体" w:cs="宋体"/>
          <w:bCs/>
          <w:color w:val="auto"/>
          <w:szCs w:val="21"/>
          <w:highlight w:val="none"/>
        </w:rPr>
      </w:pPr>
    </w:p>
    <w:p>
      <w:pPr>
        <w:widowControl/>
        <w:spacing w:line="360" w:lineRule="auto"/>
        <w:ind w:right="99" w:rightChars="47"/>
        <w:contextualSpacing/>
        <w:textAlignment w:val="bottom"/>
        <w:rPr>
          <w:rFonts w:hint="eastAsia" w:ascii="宋体" w:hAnsi="宋体" w:cs="宋体"/>
          <w:bCs/>
          <w:color w:val="auto"/>
          <w:szCs w:val="21"/>
          <w:highlight w:val="none"/>
        </w:rPr>
      </w:pPr>
      <w:r>
        <w:rPr>
          <w:rFonts w:hint="eastAsia" w:ascii="宋体" w:hAnsi="宋体" w:cs="宋体"/>
          <w:bCs/>
          <w:color w:val="auto"/>
          <w:szCs w:val="21"/>
          <w:highlight w:val="none"/>
        </w:rPr>
        <w:t>注：1、本附录所要求的业绩仅限中华人民共和国境内业绩。按照资质要求对应设定业绩内容。</w:t>
      </w:r>
    </w:p>
    <w:p>
      <w:pPr>
        <w:widowControl/>
        <w:spacing w:line="360" w:lineRule="auto"/>
        <w:ind w:right="99" w:rightChars="47" w:firstLine="315" w:firstLineChars="150"/>
        <w:contextualSpacing/>
        <w:textAlignment w:val="bottom"/>
        <w:rPr>
          <w:rFonts w:hint="eastAsia" w:ascii="宋体" w:hAnsi="宋体" w:cs="宋体"/>
          <w:bCs/>
          <w:color w:val="auto"/>
          <w:szCs w:val="21"/>
          <w:highlight w:val="none"/>
        </w:rPr>
      </w:pPr>
      <w:r>
        <w:rPr>
          <w:rFonts w:hint="eastAsia" w:ascii="宋体" w:hAnsi="宋体" w:cs="宋体"/>
          <w:bCs/>
          <w:color w:val="auto"/>
          <w:szCs w:val="21"/>
          <w:highlight w:val="none"/>
        </w:rPr>
        <w:t>2、若投标人提供的业绩证明为联合体业绩，则按交通运输部“</w:t>
      </w:r>
      <w:r>
        <w:rPr>
          <w:rFonts w:hint="eastAsia" w:ascii="宋体" w:hAnsi="宋体" w:cs="宋体"/>
          <w:bCs/>
          <w:color w:val="auto"/>
          <w:szCs w:val="21"/>
          <w:highlight w:val="none"/>
          <w:lang w:eastAsia="zh-CN"/>
        </w:rPr>
        <w:t>全国公路建设市场监督管理系统</w:t>
      </w:r>
      <w:r>
        <w:rPr>
          <w:rFonts w:hint="eastAsia" w:ascii="宋体" w:hAnsi="宋体" w:cs="宋体"/>
          <w:bCs/>
          <w:color w:val="auto"/>
          <w:szCs w:val="21"/>
          <w:highlight w:val="none"/>
        </w:rPr>
        <w:t>”业绩信息的网页截图）体现其完成的工作量认定，无法界定其完成的工作量，此业绩不予认定。</w:t>
      </w:r>
    </w:p>
    <w:p>
      <w:pPr>
        <w:widowControl/>
        <w:spacing w:line="360" w:lineRule="auto"/>
        <w:ind w:right="99" w:rightChars="47" w:firstLine="210" w:firstLineChars="100"/>
        <w:contextualSpacing/>
        <w:textAlignment w:val="bottom"/>
        <w:rPr>
          <w:rFonts w:hint="eastAsia" w:ascii="宋体" w:hAnsi="宋体" w:cs="宋体"/>
          <w:bCs/>
          <w:color w:val="auto"/>
          <w:szCs w:val="21"/>
          <w:highlight w:val="none"/>
          <w:u w:val="single"/>
        </w:rPr>
      </w:pPr>
      <w:r>
        <w:rPr>
          <w:rFonts w:hint="eastAsia" w:ascii="宋体" w:hAnsi="宋体" w:cs="宋体"/>
          <w:bCs/>
          <w:color w:val="auto"/>
          <w:szCs w:val="21"/>
          <w:highlight w:val="none"/>
        </w:rPr>
        <w:t>3、若为联合体投标，投标人业绩的资格审查条件和加分条件（如有）的认定原则如下：</w:t>
      </w:r>
      <w:r>
        <w:rPr>
          <w:rFonts w:hint="eastAsia" w:ascii="宋体" w:hAnsi="宋体" w:cs="宋体"/>
          <w:bCs/>
          <w:color w:val="auto"/>
          <w:szCs w:val="21"/>
          <w:highlight w:val="none"/>
          <w:u w:val="single"/>
        </w:rPr>
        <w:t>联合体</w:t>
      </w:r>
      <w:r>
        <w:rPr>
          <w:rFonts w:hint="eastAsia" w:ascii="宋体" w:hAnsi="宋体" w:cs="宋体"/>
          <w:bCs/>
          <w:color w:val="auto"/>
          <w:szCs w:val="21"/>
          <w:highlight w:val="none"/>
          <w:u w:val="single"/>
          <w:lang w:val="en-US" w:eastAsia="zh-CN"/>
        </w:rPr>
        <w:t>牵头人</w:t>
      </w:r>
      <w:r>
        <w:rPr>
          <w:rFonts w:hint="eastAsia" w:ascii="宋体" w:hAnsi="宋体" w:cs="宋体"/>
          <w:bCs/>
          <w:color w:val="auto"/>
          <w:szCs w:val="21"/>
          <w:highlight w:val="none"/>
          <w:u w:val="single"/>
        </w:rPr>
        <w:t>满足对应的业绩要求。</w:t>
      </w:r>
    </w:p>
    <w:p>
      <w:pPr>
        <w:widowControl/>
        <w:spacing w:line="360" w:lineRule="auto"/>
        <w:ind w:right="99" w:rightChars="47" w:firstLine="210" w:firstLineChars="100"/>
        <w:contextualSpacing/>
        <w:textAlignment w:val="bottom"/>
        <w:rPr>
          <w:rFonts w:hint="eastAsia" w:ascii="宋体" w:hAnsi="宋体" w:cs="宋体"/>
          <w:bCs/>
          <w:color w:val="auto"/>
          <w:szCs w:val="21"/>
          <w:highlight w:val="none"/>
        </w:rPr>
      </w:pPr>
      <w:r>
        <w:rPr>
          <w:rFonts w:hint="eastAsia" w:ascii="宋体" w:hAnsi="宋体" w:cs="宋体"/>
          <w:bCs/>
          <w:color w:val="auto"/>
          <w:szCs w:val="21"/>
          <w:highlight w:val="none"/>
        </w:rPr>
        <w:t>4、投标人应根据招标文件第二章“投标人须知”第3.5.3项的要求附相关证明材料。</w:t>
      </w: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3"/>
        <w:spacing w:line="360" w:lineRule="auto"/>
        <w:jc w:val="both"/>
        <w:rPr>
          <w:rFonts w:ascii="宋体" w:hAnsi="宋体"/>
          <w:b/>
          <w:bCs/>
          <w:color w:val="auto"/>
          <w:sz w:val="28"/>
          <w:szCs w:val="28"/>
          <w:highlight w:val="none"/>
        </w:rPr>
      </w:pPr>
      <w:r>
        <w:rPr>
          <w:rFonts w:hint="eastAsia" w:ascii="宋体" w:hAnsi="宋体" w:cs="宋体"/>
          <w:color w:val="auto"/>
          <w:szCs w:val="21"/>
          <w:highlight w:val="none"/>
        </w:rPr>
        <w:br w:type="page"/>
      </w:r>
      <w:bookmarkStart w:id="6" w:name="_Toc235615588"/>
      <w:bookmarkStart w:id="7" w:name="_Toc235615870"/>
      <w:bookmarkStart w:id="8" w:name="_Toc236215685"/>
    </w:p>
    <w:p>
      <w:pPr>
        <w:pStyle w:val="3"/>
        <w:spacing w:line="360" w:lineRule="auto"/>
        <w:jc w:val="center"/>
        <w:rPr>
          <w:rFonts w:hint="eastAsia" w:ascii="宋体" w:hAnsi="宋体" w:cs="宋体"/>
          <w:b/>
          <w:color w:val="auto"/>
          <w:sz w:val="28"/>
          <w:szCs w:val="28"/>
          <w:highlight w:val="none"/>
        </w:rPr>
      </w:pPr>
      <w:r>
        <w:rPr>
          <w:rFonts w:hint="eastAsia" w:ascii="宋体" w:hAnsi="宋体"/>
          <w:b/>
          <w:bCs/>
          <w:color w:val="auto"/>
          <w:sz w:val="28"/>
          <w:szCs w:val="28"/>
          <w:highlight w:val="none"/>
        </w:rPr>
        <w:t>附录</w:t>
      </w:r>
      <w:r>
        <w:rPr>
          <w:rFonts w:hint="eastAsia" w:ascii="宋体" w:hAnsi="宋体"/>
          <w:b/>
          <w:bCs/>
          <w:color w:val="auto"/>
          <w:sz w:val="28"/>
          <w:szCs w:val="28"/>
          <w:highlight w:val="none"/>
          <w:lang w:val="en-US" w:eastAsia="zh-CN"/>
        </w:rPr>
        <w:t>4</w:t>
      </w:r>
      <w:r>
        <w:rPr>
          <w:rFonts w:hint="eastAsia" w:ascii="宋体" w:hAnsi="宋体"/>
          <w:b/>
          <w:bCs/>
          <w:color w:val="auto"/>
          <w:sz w:val="28"/>
          <w:szCs w:val="28"/>
          <w:highlight w:val="none"/>
        </w:rPr>
        <w:t xml:space="preserve">  资格审查条件(项目总负责人、项目经理、项目总工</w:t>
      </w:r>
      <w:r>
        <w:rPr>
          <w:rFonts w:hint="eastAsia" w:ascii="宋体" w:hAnsi="宋体"/>
          <w:b/>
          <w:bCs/>
          <w:color w:val="auto"/>
          <w:sz w:val="28"/>
          <w:szCs w:val="28"/>
          <w:highlight w:val="none"/>
          <w:lang w:eastAsia="zh-CN"/>
        </w:rPr>
        <w:t>、</w:t>
      </w:r>
      <w:r>
        <w:rPr>
          <w:rFonts w:hint="eastAsia" w:ascii="宋体" w:hAnsi="宋体"/>
          <w:b/>
          <w:bCs/>
          <w:color w:val="auto"/>
          <w:sz w:val="28"/>
          <w:szCs w:val="28"/>
          <w:highlight w:val="none"/>
          <w:lang w:val="en-US" w:eastAsia="zh-CN"/>
        </w:rPr>
        <w:t>监理负责人</w:t>
      </w:r>
      <w:r>
        <w:rPr>
          <w:rFonts w:hint="eastAsia" w:ascii="宋体" w:hAnsi="宋体"/>
          <w:b/>
          <w:bCs/>
          <w:color w:val="auto"/>
          <w:sz w:val="28"/>
          <w:szCs w:val="28"/>
          <w:highlight w:val="none"/>
        </w:rPr>
        <w:t>最低要求)</w:t>
      </w:r>
      <w:bookmarkEnd w:id="6"/>
      <w:bookmarkEnd w:id="7"/>
      <w:bookmarkEnd w:id="8"/>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850"/>
        <w:gridCol w:w="4540"/>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1448" w:type="dxa"/>
            <w:noWrap w:val="0"/>
            <w:vAlign w:val="center"/>
          </w:tcPr>
          <w:p>
            <w:pPr>
              <w:adjustRightInd w:val="0"/>
              <w:snapToGrid w:val="0"/>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人  员</w:t>
            </w:r>
          </w:p>
        </w:tc>
        <w:tc>
          <w:tcPr>
            <w:tcW w:w="850" w:type="dxa"/>
            <w:noWrap w:val="0"/>
            <w:vAlign w:val="center"/>
          </w:tcPr>
          <w:p>
            <w:pPr>
              <w:adjustRightInd w:val="0"/>
              <w:snapToGrid w:val="0"/>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4540" w:type="dxa"/>
            <w:noWrap w:val="0"/>
            <w:vAlign w:val="center"/>
          </w:tcPr>
          <w:p>
            <w:pPr>
              <w:adjustRightInd w:val="0"/>
              <w:snapToGrid w:val="0"/>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资 格 要 求</w:t>
            </w:r>
          </w:p>
        </w:tc>
        <w:tc>
          <w:tcPr>
            <w:tcW w:w="1522" w:type="dxa"/>
            <w:noWrap w:val="0"/>
            <w:vAlign w:val="center"/>
          </w:tcPr>
          <w:p>
            <w:pPr>
              <w:adjustRightInd w:val="0"/>
              <w:snapToGrid w:val="0"/>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 xml:space="preserve">在 岗 </w:t>
            </w:r>
          </w:p>
          <w:p>
            <w:pPr>
              <w:adjustRightInd w:val="0"/>
              <w:snapToGrid w:val="0"/>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1448" w:type="dxa"/>
            <w:noWrap w:val="0"/>
            <w:vAlign w:val="center"/>
          </w:tcPr>
          <w:p>
            <w:pPr>
              <w:spacing w:line="400" w:lineRule="atLeast"/>
              <w:jc w:val="center"/>
              <w:rPr>
                <w:rFonts w:hint="eastAsia" w:ascii="宋体" w:hAnsi="宋体" w:cs="宋体"/>
                <w:color w:val="auto"/>
                <w:szCs w:val="21"/>
                <w:highlight w:val="none"/>
              </w:rPr>
            </w:pPr>
            <w:bookmarkStart w:id="9" w:name="_Hlk19101653"/>
            <w:r>
              <w:rPr>
                <w:rFonts w:hint="eastAsia" w:ascii="宋体" w:hAnsi="宋体" w:cs="宋体"/>
                <w:color w:val="auto"/>
                <w:szCs w:val="21"/>
                <w:highlight w:val="none"/>
              </w:rPr>
              <w:t>项目总负责人</w:t>
            </w:r>
            <w:bookmarkEnd w:id="9"/>
          </w:p>
        </w:tc>
        <w:tc>
          <w:tcPr>
            <w:tcW w:w="850" w:type="dxa"/>
            <w:noWrap w:val="0"/>
            <w:vAlign w:val="center"/>
          </w:tcPr>
          <w:p>
            <w:pPr>
              <w:adjustRightInd w:val="0"/>
              <w:snapToGrid w:val="0"/>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4540" w:type="dxa"/>
            <w:noWrap w:val="0"/>
            <w:vAlign w:val="center"/>
          </w:tcPr>
          <w:p>
            <w:pPr>
              <w:adjustRightInd w:val="0"/>
              <w:snapToGrid w:val="0"/>
              <w:spacing w:line="400" w:lineRule="atLeast"/>
              <w:rPr>
                <w:rFonts w:hint="eastAsia" w:ascii="宋体" w:hAnsi="宋体" w:cs="宋体"/>
                <w:color w:val="auto"/>
                <w:szCs w:val="21"/>
                <w:highlight w:val="none"/>
              </w:rPr>
            </w:pPr>
            <w:bookmarkStart w:id="10" w:name="_Hlk19101669"/>
            <w:r>
              <w:rPr>
                <w:rFonts w:hint="eastAsia" w:ascii="宋体" w:hAnsi="宋体" w:cs="宋体"/>
                <w:color w:val="auto"/>
                <w:highlight w:val="none"/>
              </w:rPr>
              <w:t>担任牵头人</w:t>
            </w:r>
            <w:r>
              <w:rPr>
                <w:rFonts w:hint="eastAsia" w:ascii="宋体" w:hAnsi="宋体" w:cs="宋体"/>
                <w:color w:val="auto"/>
                <w:szCs w:val="21"/>
                <w:highlight w:val="none"/>
              </w:rPr>
              <w:t>单位副总经理或总经理助理或以上职务或经牵头人法定代表人授权的项目总负责人，具有丰富的统筹协调能力。</w:t>
            </w:r>
            <w:bookmarkEnd w:id="10"/>
          </w:p>
        </w:tc>
        <w:tc>
          <w:tcPr>
            <w:tcW w:w="1522" w:type="dxa"/>
            <w:noWrap w:val="0"/>
            <w:vAlign w:val="center"/>
          </w:tcPr>
          <w:p>
            <w:pPr>
              <w:adjustRightInd w:val="0"/>
              <w:snapToGrid w:val="0"/>
              <w:spacing w:line="400" w:lineRule="atLeast"/>
              <w:jc w:val="center"/>
              <w:rPr>
                <w:rFonts w:hint="eastAsia" w:ascii="宋体" w:hAnsi="宋体"/>
                <w:color w:val="auto"/>
                <w:highlight w:val="none"/>
              </w:rPr>
            </w:pPr>
            <w:r>
              <w:rPr>
                <w:rFonts w:hint="eastAsia" w:ascii="宋体" w:hAnsi="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9" w:hRule="atLeast"/>
          <w:jc w:val="center"/>
        </w:trPr>
        <w:tc>
          <w:tcPr>
            <w:tcW w:w="1448" w:type="dxa"/>
            <w:noWrap w:val="0"/>
            <w:vAlign w:val="center"/>
          </w:tcPr>
          <w:p>
            <w:pPr>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项目经理</w:t>
            </w:r>
          </w:p>
        </w:tc>
        <w:tc>
          <w:tcPr>
            <w:tcW w:w="850" w:type="dxa"/>
            <w:noWrap w:val="0"/>
            <w:vAlign w:val="center"/>
          </w:tcPr>
          <w:p>
            <w:pPr>
              <w:adjustRightInd w:val="0"/>
              <w:snapToGrid w:val="0"/>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4540" w:type="dxa"/>
            <w:noWrap w:val="0"/>
            <w:vAlign w:val="center"/>
          </w:tcPr>
          <w:p>
            <w:pPr>
              <w:adjustRightInd w:val="0"/>
              <w:snapToGrid w:val="0"/>
              <w:spacing w:line="400" w:lineRule="atLeast"/>
              <w:rPr>
                <w:rFonts w:hint="eastAsia" w:ascii="宋体" w:hAnsi="宋体" w:cs="宋体"/>
                <w:color w:val="auto"/>
                <w:szCs w:val="21"/>
                <w:highlight w:val="none"/>
              </w:rPr>
            </w:pPr>
            <w:r>
              <w:rPr>
                <w:rFonts w:hint="eastAsia" w:ascii="宋体" w:hAnsi="宋体" w:cs="宋体"/>
                <w:color w:val="auto"/>
                <w:szCs w:val="21"/>
                <w:highlight w:val="none"/>
              </w:rPr>
              <w:t>工程师，持有住房和城乡建设部颁发的公路工程专业</w:t>
            </w:r>
            <w:r>
              <w:rPr>
                <w:rFonts w:hint="eastAsia" w:ascii="宋体" w:hAnsi="宋体" w:cs="宋体"/>
                <w:color w:val="auto"/>
                <w:szCs w:val="21"/>
                <w:highlight w:val="none"/>
                <w:u w:val="single"/>
                <w:lang w:val="en-US" w:eastAsia="zh-CN"/>
              </w:rPr>
              <w:t>二</w:t>
            </w:r>
            <w:r>
              <w:rPr>
                <w:rFonts w:hint="eastAsia" w:ascii="宋体" w:hAnsi="宋体" w:cs="宋体"/>
                <w:color w:val="auto"/>
                <w:szCs w:val="21"/>
                <w:highlight w:val="none"/>
              </w:rPr>
              <w:t>级建造师注册证书，担任类似工程项目经理（或项目副经理或项目总工）岗位累计</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rPr>
              <w:t>个月，具有交通主管部门颁发的有效安全生产“三类人员”B类证书。</w:t>
            </w:r>
          </w:p>
        </w:tc>
        <w:tc>
          <w:tcPr>
            <w:tcW w:w="1522" w:type="dxa"/>
            <w:vMerge w:val="restart"/>
            <w:noWrap w:val="0"/>
            <w:vAlign w:val="center"/>
          </w:tcPr>
          <w:p>
            <w:pPr>
              <w:adjustRightInd w:val="0"/>
              <w:snapToGrid w:val="0"/>
              <w:spacing w:line="400" w:lineRule="atLeast"/>
              <w:rPr>
                <w:rFonts w:hint="eastAsia" w:ascii="宋体" w:hAnsi="宋体" w:cs="宋体"/>
                <w:color w:val="auto"/>
                <w:szCs w:val="21"/>
                <w:highlight w:val="none"/>
              </w:rPr>
            </w:pPr>
            <w:r>
              <w:rPr>
                <w:rFonts w:hint="eastAsia" w:ascii="宋体" w:hAnsi="宋体"/>
                <w:color w:val="auto"/>
                <w:highlight w:val="none"/>
              </w:rPr>
              <w:t>无在岗项目（指目前未在其他项目上任职，或虽在其他项目上任职但本项目中标后能够从该项目撤离）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3" w:hRule="atLeast"/>
          <w:jc w:val="center"/>
        </w:trPr>
        <w:tc>
          <w:tcPr>
            <w:tcW w:w="1448" w:type="dxa"/>
            <w:noWrap w:val="0"/>
            <w:vAlign w:val="center"/>
          </w:tcPr>
          <w:p>
            <w:pPr>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项目总工</w:t>
            </w:r>
          </w:p>
        </w:tc>
        <w:tc>
          <w:tcPr>
            <w:tcW w:w="850" w:type="dxa"/>
            <w:noWrap w:val="0"/>
            <w:vAlign w:val="center"/>
          </w:tcPr>
          <w:p>
            <w:pPr>
              <w:adjustRightInd w:val="0"/>
              <w:snapToGrid w:val="0"/>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4540" w:type="dxa"/>
            <w:noWrap w:val="0"/>
            <w:vAlign w:val="center"/>
          </w:tcPr>
          <w:p>
            <w:pPr>
              <w:adjustRightInd w:val="0"/>
              <w:snapToGrid w:val="0"/>
              <w:spacing w:line="400" w:lineRule="atLeast"/>
              <w:rPr>
                <w:rFonts w:hint="eastAsia" w:ascii="宋体" w:hAnsi="宋体" w:cs="宋体"/>
                <w:color w:val="auto"/>
                <w:szCs w:val="21"/>
                <w:highlight w:val="none"/>
              </w:rPr>
            </w:pPr>
            <w:r>
              <w:rPr>
                <w:rFonts w:hint="eastAsia" w:ascii="宋体" w:hAnsi="宋体" w:cs="宋体"/>
                <w:color w:val="auto"/>
                <w:szCs w:val="21"/>
                <w:highlight w:val="none"/>
              </w:rPr>
              <w:t>路桥相关专业</w:t>
            </w:r>
            <w:r>
              <w:rPr>
                <w:rFonts w:hint="eastAsia" w:ascii="宋体" w:hAnsi="宋体" w:cs="宋体"/>
                <w:color w:val="auto"/>
                <w:szCs w:val="21"/>
                <w:highlight w:val="none"/>
                <w:u w:val="single"/>
              </w:rPr>
              <w:t>工程师</w:t>
            </w:r>
            <w:r>
              <w:rPr>
                <w:rFonts w:hint="eastAsia" w:ascii="宋体" w:hAnsi="宋体" w:cs="宋体"/>
                <w:color w:val="auto"/>
                <w:szCs w:val="21"/>
                <w:highlight w:val="none"/>
                <w:u w:val="none"/>
                <w:lang w:val="en-US" w:eastAsia="zh-CN"/>
              </w:rPr>
              <w:t>或以上职称</w:t>
            </w:r>
            <w:r>
              <w:rPr>
                <w:rFonts w:hint="eastAsia" w:ascii="宋体" w:hAnsi="宋体" w:cs="宋体"/>
                <w:color w:val="auto"/>
                <w:szCs w:val="21"/>
                <w:highlight w:val="none"/>
              </w:rPr>
              <w:t>，主管类似工程技术工作累计</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rPr>
              <w:t>个月，具有交通主管部门颁发的有效安全生产“三类人员”B类证书。</w:t>
            </w:r>
          </w:p>
        </w:tc>
        <w:tc>
          <w:tcPr>
            <w:tcW w:w="1522" w:type="dxa"/>
            <w:vMerge w:val="continue"/>
            <w:noWrap w:val="0"/>
            <w:vAlign w:val="center"/>
          </w:tcPr>
          <w:p>
            <w:pPr>
              <w:adjustRightInd w:val="0"/>
              <w:snapToGrid w:val="0"/>
              <w:spacing w:line="400" w:lineRule="atLeas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3" w:hRule="atLeast"/>
          <w:jc w:val="center"/>
        </w:trPr>
        <w:tc>
          <w:tcPr>
            <w:tcW w:w="1448" w:type="dxa"/>
            <w:noWrap w:val="0"/>
            <w:vAlign w:val="center"/>
          </w:tcPr>
          <w:p>
            <w:pPr>
              <w:spacing w:line="400" w:lineRule="atLeas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监理负责人</w:t>
            </w:r>
          </w:p>
        </w:tc>
        <w:tc>
          <w:tcPr>
            <w:tcW w:w="850" w:type="dxa"/>
            <w:noWrap w:val="0"/>
            <w:vAlign w:val="center"/>
          </w:tcPr>
          <w:p>
            <w:pPr>
              <w:adjustRightInd w:val="0"/>
              <w:snapToGrid w:val="0"/>
              <w:spacing w:line="400" w:lineRule="atLeas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1</w:t>
            </w:r>
          </w:p>
        </w:tc>
        <w:tc>
          <w:tcPr>
            <w:tcW w:w="4540" w:type="dxa"/>
            <w:noWrap w:val="0"/>
            <w:vAlign w:val="center"/>
          </w:tcPr>
          <w:p>
            <w:pPr>
              <w:adjustRightInd w:val="0"/>
              <w:snapToGrid w:val="0"/>
              <w:spacing w:line="400" w:lineRule="atLeast"/>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u w:val="single"/>
              </w:rPr>
              <w:t>工程师</w:t>
            </w:r>
            <w:r>
              <w:rPr>
                <w:rFonts w:hint="eastAsia" w:ascii="宋体" w:hAnsi="宋体" w:cs="宋体"/>
                <w:color w:val="auto"/>
                <w:szCs w:val="21"/>
                <w:highlight w:val="none"/>
                <w:u w:val="none"/>
                <w:lang w:val="en-US" w:eastAsia="zh-CN"/>
              </w:rPr>
              <w:t>或以上职称</w:t>
            </w:r>
            <w:r>
              <w:rPr>
                <w:rFonts w:hint="eastAsia" w:ascii="宋体" w:hAnsi="宋体" w:cs="宋体"/>
                <w:color w:val="auto"/>
                <w:szCs w:val="21"/>
                <w:highlight w:val="none"/>
              </w:rPr>
              <w:t>，</w:t>
            </w:r>
            <w:r>
              <w:rPr>
                <w:color w:val="auto"/>
                <w:highlight w:val="none"/>
              </w:rPr>
              <w:t>具有</w:t>
            </w:r>
            <w:r>
              <w:rPr>
                <w:rFonts w:hint="eastAsia"/>
                <w:color w:val="auto"/>
                <w:highlight w:val="none"/>
                <w:u w:val="single"/>
              </w:rPr>
              <w:t>公路类</w:t>
            </w:r>
            <w:r>
              <w:rPr>
                <w:color w:val="auto"/>
                <w:highlight w:val="none"/>
              </w:rPr>
              <w:t>监理工程师资格证书</w:t>
            </w:r>
            <w:r>
              <w:rPr>
                <w:rFonts w:hint="eastAsia" w:ascii="宋体" w:hAnsi="宋体" w:cs="宋体"/>
                <w:color w:val="auto"/>
                <w:highlight w:val="none"/>
              </w:rPr>
              <w:t>。</w:t>
            </w:r>
          </w:p>
        </w:tc>
        <w:tc>
          <w:tcPr>
            <w:tcW w:w="1522" w:type="dxa"/>
            <w:vMerge w:val="continue"/>
            <w:noWrap w:val="0"/>
            <w:vAlign w:val="center"/>
          </w:tcPr>
          <w:p>
            <w:pPr>
              <w:adjustRightInd w:val="0"/>
              <w:snapToGrid w:val="0"/>
              <w:spacing w:line="400" w:lineRule="atLeast"/>
              <w:rPr>
                <w:rFonts w:hint="eastAsia" w:ascii="宋体" w:hAnsi="宋体" w:cs="宋体"/>
                <w:color w:val="auto"/>
                <w:szCs w:val="21"/>
                <w:highlight w:val="none"/>
                <w:u w:val="single"/>
              </w:rPr>
            </w:pPr>
          </w:p>
        </w:tc>
      </w:tr>
    </w:tbl>
    <w:p>
      <w:pPr>
        <w:adjustRightInd w:val="0"/>
        <w:snapToGrid w:val="0"/>
        <w:spacing w:line="276"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注：1.资格审查条件要求的人员建造师注册证书、安全生产“三类人员”B类证书及社保均应在投标人所在的单位，否则视为无效。</w:t>
      </w:r>
    </w:p>
    <w:p>
      <w:pPr>
        <w:adjustRightInd w:val="0"/>
        <w:snapToGrid w:val="0"/>
        <w:spacing w:line="276"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    2.主管技术工作指：担任过项目经理、项目副经理、总工程师、技术负责人、质检部门负责人、工程部门负责人。担任类似工程项目经理（或项目副经理或项目总工）岗位经验累计时间、主管类似工程技术工作累计时间统计至月，计算时尾数如不少于15天的按1个月计，不足15天部分不计。</w:t>
      </w:r>
    </w:p>
    <w:p>
      <w:r>
        <w:rPr>
          <w:rFonts w:hint="eastAsia" w:ascii="宋体" w:hAnsi="宋体" w:cs="宋体"/>
          <w:color w:val="auto"/>
          <w:sz w:val="18"/>
          <w:szCs w:val="18"/>
          <w:highlight w:val="none"/>
        </w:rPr>
        <w:t>3.若为联合体投标，项目总负责人需为联合体牵头人的正式员工，项目经理、项目总工为联合体中负责施工工作的成员方的正式员工，监理负责人为联合体中负责监理工作的成员方正式员工。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lYWRkNDViNjVlNzE1ODcxZjhiYzFmMzc1MDRhMzAifQ=="/>
  </w:docVars>
  <w:rsids>
    <w:rsidRoot w:val="58A764BF"/>
    <w:rsid w:val="2A446D64"/>
    <w:rsid w:val="3A4B3142"/>
    <w:rsid w:val="53BF452D"/>
    <w:rsid w:val="58A764BF"/>
    <w:rsid w:val="6E786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szCs w:val="20"/>
    </w:rPr>
  </w:style>
  <w:style w:type="paragraph" w:styleId="3">
    <w:name w:val="footnote text"/>
    <w:basedOn w:val="1"/>
    <w:next w:val="1"/>
    <w:unhideWhenUsed/>
    <w:qFormat/>
    <w:uiPriority w:val="0"/>
    <w:pPr>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2024-04-29T04:31:00Z</dcterms:created>
  <dc:creator>型</dc:creator>
  <cp:lastModifiedBy>型</cp:lastModifiedBy>
  <dcterms:modified xsi:type="dcterms:W3CDTF">2024-04-29T04:33:35Z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DD3AE36A4A14405DA66F265E313B0801_13</vt:lpwstr>
  </property>
</Properties>
</file>