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color w:val="FF0000"/>
          <w:sz w:val="48"/>
          <w:szCs w:val="48"/>
        </w:rPr>
      </w:pPr>
    </w:p>
    <w:p>
      <w:pPr>
        <w:jc w:val="center"/>
        <w:rPr>
          <w:rFonts w:ascii="黑体" w:eastAsia="黑体"/>
          <w:b/>
          <w:sz w:val="48"/>
          <w:szCs w:val="48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200" w:afterAutospacing="0"/>
        <w:ind w:left="0" w:right="0"/>
        <w:jc w:val="center"/>
        <w:rPr>
          <w:rFonts w:hint="eastAsia" w:ascii="黑体" w:hAnsi="Tahoma" w:eastAsia="黑体" w:cs="黑体"/>
          <w:b/>
          <w:bCs w:val="0"/>
          <w:sz w:val="48"/>
          <w:szCs w:val="48"/>
          <w:lang w:val="en-US"/>
        </w:rPr>
      </w:pPr>
      <w:bookmarkStart w:id="26" w:name="_GoBack"/>
      <w:bookmarkEnd w:id="26"/>
      <w:r>
        <w:rPr>
          <w:rFonts w:hint="eastAsia" w:ascii="黑体" w:hAnsi="Tahoma" w:eastAsia="黑体" w:cs="黑体"/>
          <w:b/>
          <w:bCs w:val="0"/>
          <w:snapToGrid/>
          <w:kern w:val="0"/>
          <w:sz w:val="48"/>
          <w:szCs w:val="48"/>
          <w:lang w:val="en-US" w:eastAsia="zh-CN" w:bidi="ar"/>
        </w:rPr>
        <w:t>云浮市公共资源交易信息化平台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200" w:afterAutospacing="0"/>
        <w:ind w:left="0" w:right="0"/>
        <w:jc w:val="center"/>
        <w:rPr>
          <w:rFonts w:hint="eastAsia" w:ascii="黑体" w:hAnsi="Tahoma" w:eastAsia="黑体" w:cs="黑体"/>
          <w:b/>
          <w:bCs w:val="0"/>
          <w:sz w:val="48"/>
          <w:szCs w:val="48"/>
          <w:lang w:val="en-US"/>
        </w:rPr>
      </w:pPr>
      <w:r>
        <w:rPr>
          <w:rFonts w:hint="eastAsia" w:ascii="黑体" w:hAnsi="Tahoma" w:eastAsia="黑体" w:cs="黑体"/>
          <w:b/>
          <w:bCs w:val="0"/>
          <w:snapToGrid/>
          <w:kern w:val="0"/>
          <w:sz w:val="48"/>
          <w:szCs w:val="48"/>
          <w:lang w:val="en-US" w:eastAsia="zh-CN" w:bidi="ar"/>
        </w:rPr>
        <w:t>一期升级改造项目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200" w:afterAutospacing="0"/>
        <w:ind w:left="0" w:right="0"/>
        <w:jc w:val="center"/>
        <w:rPr>
          <w:rFonts w:hint="eastAsia" w:ascii="黑体" w:hAnsi="Tahoma" w:eastAsia="黑体" w:cs="黑体"/>
          <w:b/>
          <w:bCs w:val="0"/>
          <w:sz w:val="48"/>
          <w:szCs w:val="48"/>
          <w:lang w:val="en-US"/>
        </w:rPr>
      </w:pPr>
      <w:r>
        <w:rPr>
          <w:rFonts w:hint="eastAsia" w:ascii="黑体" w:hAnsi="Tahoma" w:eastAsia="黑体" w:cs="黑体"/>
          <w:b/>
          <w:bCs w:val="0"/>
          <w:snapToGrid/>
          <w:kern w:val="0"/>
          <w:sz w:val="48"/>
          <w:szCs w:val="48"/>
          <w:lang w:val="en-US" w:eastAsia="zh-CN" w:bidi="ar"/>
        </w:rPr>
        <w:t>产权电子竞价</w:t>
      </w:r>
    </w:p>
    <w:p>
      <w:pPr>
        <w:jc w:val="center"/>
        <w:rPr>
          <w:rFonts w:ascii="黑体" w:eastAsia="黑体"/>
          <w:b/>
          <w:sz w:val="48"/>
          <w:szCs w:val="48"/>
        </w:rPr>
      </w:pPr>
      <w:r>
        <w:rPr>
          <w:rFonts w:hint="eastAsia" w:ascii="黑体" w:eastAsia="黑体"/>
          <w:b/>
          <w:sz w:val="48"/>
          <w:szCs w:val="48"/>
        </w:rPr>
        <w:t>（竞买人）</w:t>
      </w:r>
    </w:p>
    <w:p>
      <w:pPr>
        <w:spacing w:before="144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用</w:t>
      </w:r>
    </w:p>
    <w:p>
      <w:pPr>
        <w:spacing w:before="360" w:after="312" w:afterLines="10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户</w:t>
      </w:r>
    </w:p>
    <w:p>
      <w:pPr>
        <w:spacing w:before="360" w:after="312" w:afterLines="10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手</w:t>
      </w:r>
    </w:p>
    <w:p>
      <w:pPr>
        <w:spacing w:before="360" w:after="312" w:afterLines="100"/>
        <w:jc w:val="center"/>
        <w:rPr>
          <w:rFonts w:ascii="黑体" w:hAnsi="宋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册</w:t>
      </w:r>
    </w:p>
    <w:p>
      <w:pPr>
        <w:rPr>
          <w:rFonts w:ascii="黑体" w:hAnsi="宋体" w:eastAsia="黑体"/>
          <w:b/>
          <w:sz w:val="24"/>
        </w:rPr>
      </w:pPr>
    </w:p>
    <w:p>
      <w:pPr>
        <w:rPr>
          <w:rFonts w:ascii="黑体" w:hAnsi="宋体" w:eastAsia="黑体"/>
          <w:b/>
          <w:sz w:val="24"/>
        </w:rPr>
      </w:pPr>
    </w:p>
    <w:p>
      <w:pPr>
        <w:rPr>
          <w:rFonts w:ascii="黑体" w:hAnsi="宋体" w:eastAsia="黑体"/>
          <w:b/>
          <w:sz w:val="24"/>
        </w:rPr>
      </w:pPr>
    </w:p>
    <w:p>
      <w:pPr>
        <w:rPr>
          <w:rFonts w:ascii="黑体" w:hAnsi="宋体" w:eastAsia="黑体"/>
          <w:b/>
          <w:sz w:val="24"/>
        </w:rPr>
      </w:pPr>
    </w:p>
    <w:p>
      <w:pPr>
        <w:jc w:val="center"/>
        <w:rPr>
          <w:rFonts w:eastAsia="黑体"/>
          <w:b/>
          <w:bCs/>
          <w:sz w:val="28"/>
        </w:rPr>
      </w:pPr>
    </w:p>
    <w:p>
      <w:pPr>
        <w:jc w:val="center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广州市中智软件开发有限公司 开发</w:t>
      </w:r>
    </w:p>
    <w:p>
      <w:pPr>
        <w:jc w:val="center"/>
        <w:rPr>
          <w:rFonts w:eastAsia="黑体"/>
          <w:b/>
          <w:bCs/>
          <w:sz w:val="28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eastAsia" w:eastAsia="黑体"/>
          <w:b/>
          <w:bCs/>
          <w:sz w:val="28"/>
        </w:rPr>
        <w:t>202</w:t>
      </w:r>
      <w:r>
        <w:rPr>
          <w:rFonts w:hint="eastAsia" w:eastAsia="黑体"/>
          <w:b/>
          <w:bCs/>
          <w:sz w:val="28"/>
          <w:lang w:val="en-US" w:eastAsia="zh-CN"/>
        </w:rPr>
        <w:t>2</w:t>
      </w:r>
      <w:r>
        <w:rPr>
          <w:rFonts w:hint="eastAsia" w:eastAsia="黑体"/>
          <w:b/>
          <w:bCs/>
          <w:sz w:val="28"/>
        </w:rPr>
        <w:t>年</w:t>
      </w:r>
      <w:r>
        <w:rPr>
          <w:rFonts w:hint="eastAsia" w:eastAsia="黑体"/>
          <w:b/>
          <w:bCs/>
          <w:sz w:val="28"/>
          <w:lang w:val="en-US" w:eastAsia="zh-CN"/>
        </w:rPr>
        <w:t>4</w:t>
      </w:r>
      <w:r>
        <w:rPr>
          <w:rFonts w:hint="eastAsia" w:eastAsia="黑体"/>
          <w:b/>
          <w:bCs/>
          <w:sz w:val="28"/>
        </w:rPr>
        <w:t>月</w:t>
      </w:r>
    </w:p>
    <w:sdt>
      <w:sdtPr>
        <w:rPr>
          <w:rFonts w:ascii="宋体" w:hAnsi="宋体" w:eastAsia="宋体"/>
          <w:sz w:val="21"/>
        </w:rPr>
        <w:id w:val="147482565"/>
        <w15:color w:val="DBDBDB"/>
        <w:docPartObj>
          <w:docPartGallery w:val="Table of Contents"/>
          <w:docPartUnique/>
        </w:docPartObj>
      </w:sdtPr>
      <w:sdtEndPr>
        <w:rPr>
          <w:rFonts w:hint="eastAsia" w:ascii="Tahoma" w:hAnsi="Tahoma" w:eastAsia="黑体"/>
          <w:bCs/>
          <w:sz w:val="22"/>
        </w:rPr>
      </w:sdtEndPr>
      <w:sdtContent>
        <w:p>
          <w:pPr>
            <w:spacing w:after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7"/>
            <w:tabs>
              <w:tab w:val="right" w:leader="dot" w:pos="9746"/>
            </w:tabs>
          </w:pPr>
          <w:r>
            <w:rPr>
              <w:rFonts w:hint="eastAsia" w:eastAsia="黑体"/>
              <w:b/>
              <w:bCs/>
              <w:sz w:val="28"/>
            </w:rPr>
            <w:fldChar w:fldCharType="begin"/>
          </w:r>
          <w:r>
            <w:rPr>
              <w:rFonts w:hint="eastAsia" w:eastAsia="黑体"/>
              <w:b/>
              <w:bCs/>
              <w:sz w:val="28"/>
            </w:rPr>
            <w:instrText xml:space="preserve">TOC \o "1-3" \h \u </w:instrText>
          </w:r>
          <w:r>
            <w:rPr>
              <w:rFonts w:hint="eastAsia" w:eastAsia="黑体"/>
              <w:b/>
              <w:bCs/>
              <w:sz w:val="28"/>
            </w:rPr>
            <w:fldChar w:fldCharType="separate"/>
          </w: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_Toc19008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ascii="黑体" w:hAnsi="Calibri" w:eastAsia="黑体" w:cs="Times New Roman"/>
            </w:rPr>
            <w:t xml:space="preserve">1. </w:t>
          </w:r>
          <w:r>
            <w:rPr>
              <w:rFonts w:hint="eastAsia" w:ascii="黑体" w:hAnsi="Calibri" w:eastAsia="黑体" w:cs="Times New Roman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_Toc19008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8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_Toc14546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eastAsia"/>
            </w:rPr>
            <w:t>业务流程</w:t>
          </w:r>
          <w:r>
            <w:tab/>
          </w:r>
          <w:r>
            <w:fldChar w:fldCharType="begin"/>
          </w:r>
          <w:r>
            <w:instrText xml:space="preserve"> PAGEREF _Toc14546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7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_Toc22689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ascii="黑体" w:hAnsi="Calibri" w:eastAsia="黑体" w:cs="Times New Roman"/>
            </w:rPr>
            <w:t xml:space="preserve">2. </w:t>
          </w:r>
          <w:r>
            <w:rPr>
              <w:rFonts w:hint="eastAsia" w:ascii="黑体" w:hAnsi="Calibri" w:eastAsia="黑体" w:cs="Times New Roman"/>
            </w:rPr>
            <w:t>业务操作说明</w:t>
          </w:r>
          <w:r>
            <w:tab/>
          </w:r>
          <w:r>
            <w:fldChar w:fldCharType="begin"/>
          </w:r>
          <w:r>
            <w:instrText xml:space="preserve"> PAGEREF _Toc22689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8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_Toc30161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2.1. </w:t>
          </w:r>
          <w:r>
            <w:rPr>
              <w:rFonts w:hint="eastAsia"/>
              <w:lang w:val="en-US" w:eastAsia="zh-CN"/>
            </w:rPr>
            <w:t>查看交易公告和标的</w:t>
          </w:r>
          <w:r>
            <w:tab/>
          </w:r>
          <w:r>
            <w:fldChar w:fldCharType="begin"/>
          </w:r>
          <w:r>
            <w:instrText xml:space="preserve"> PAGEREF _Toc30161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8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_Toc10969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2.2. </w:t>
          </w:r>
          <w:r>
            <w:rPr>
              <w:rFonts w:hint="eastAsia"/>
            </w:rPr>
            <w:t>竞投报名</w:t>
          </w:r>
          <w:r>
            <w:tab/>
          </w:r>
          <w:r>
            <w:fldChar w:fldCharType="begin"/>
          </w:r>
          <w:r>
            <w:instrText xml:space="preserve"> PAGEREF _Toc10969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8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_Toc7853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2.3. </w:t>
          </w:r>
          <w:r>
            <w:rPr>
              <w:rFonts w:hint="eastAsia"/>
            </w:rPr>
            <w:t>提交资格材料</w:t>
          </w:r>
          <w:r>
            <w:tab/>
          </w:r>
          <w:r>
            <w:fldChar w:fldCharType="begin"/>
          </w:r>
          <w:r>
            <w:instrText xml:space="preserve"> PAGEREF _Toc7853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8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_Toc8281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2.4. </w:t>
          </w:r>
          <w:r>
            <w:rPr>
              <w:rFonts w:hint="eastAsia"/>
            </w:rPr>
            <w:t>保证金</w:t>
          </w:r>
          <w:r>
            <w:tab/>
          </w:r>
          <w:r>
            <w:fldChar w:fldCharType="begin"/>
          </w:r>
          <w:r>
            <w:instrText xml:space="preserve"> PAGEREF _Toc8281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_Toc521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</w:rPr>
            <w:t xml:space="preserve">2.4.1. </w:t>
          </w:r>
          <w:r>
            <w:rPr>
              <w:rFonts w:hint="eastAsia"/>
              <w:lang w:val="en-US" w:eastAsia="zh-CN"/>
            </w:rPr>
            <w:t>缴纳保证金</w:t>
          </w:r>
          <w:r>
            <w:tab/>
          </w:r>
          <w:r>
            <w:fldChar w:fldCharType="begin"/>
          </w:r>
          <w:r>
            <w:instrText xml:space="preserve"> PAGEREF _Toc521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_Toc28241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</w:rPr>
            <w:t xml:space="preserve">2.4.2. </w:t>
          </w:r>
          <w:r>
            <w:rPr>
              <w:rFonts w:hint="eastAsia"/>
              <w:lang w:val="en-US" w:eastAsia="zh-CN"/>
            </w:rPr>
            <w:t>保证金查询</w:t>
          </w:r>
          <w:r>
            <w:tab/>
          </w:r>
          <w:r>
            <w:fldChar w:fldCharType="begin"/>
          </w:r>
          <w:r>
            <w:instrText xml:space="preserve"> PAGEREF _Toc28241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8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_Toc25890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2.5. </w:t>
          </w:r>
          <w:r>
            <w:rPr>
              <w:rFonts w:hint="eastAsia"/>
            </w:rPr>
            <w:t>交易竞拍</w:t>
          </w:r>
          <w:r>
            <w:tab/>
          </w:r>
          <w:r>
            <w:fldChar w:fldCharType="begin"/>
          </w:r>
          <w:r>
            <w:instrText xml:space="preserve"> PAGEREF _Toc25890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_Toc16040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</w:rPr>
            <w:t xml:space="preserve">2.5.1. </w:t>
          </w:r>
          <w:r>
            <w:rPr>
              <w:rFonts w:hint="eastAsia"/>
            </w:rPr>
            <w:t>正在竞拍</w:t>
          </w:r>
          <w:r>
            <w:tab/>
          </w:r>
          <w:r>
            <w:fldChar w:fldCharType="begin"/>
          </w:r>
          <w:r>
            <w:instrText xml:space="preserve"> PAGEREF _Toc16040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_Toc25945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</w:rPr>
            <w:t xml:space="preserve">2.5.2. </w:t>
          </w:r>
          <w:r>
            <w:rPr>
              <w:rFonts w:hint="eastAsia"/>
              <w:lang w:val="en-US" w:eastAsia="zh-CN"/>
            </w:rPr>
            <w:t>查看</w:t>
          </w:r>
          <w:r>
            <w:rPr>
              <w:rFonts w:hint="eastAsia"/>
            </w:rPr>
            <w:t>竞</w:t>
          </w:r>
          <w:r>
            <w:rPr>
              <w:rFonts w:hint="eastAsia"/>
              <w:lang w:val="en-US" w:eastAsia="zh-CN"/>
            </w:rPr>
            <w:t>价</w:t>
          </w:r>
          <w:r>
            <w:rPr>
              <w:rFonts w:hint="eastAsia"/>
            </w:rPr>
            <w:t>成功</w:t>
          </w:r>
          <w:r>
            <w:rPr>
              <w:rFonts w:hint="eastAsia"/>
              <w:lang w:val="en-US" w:eastAsia="zh-CN"/>
            </w:rPr>
            <w:t>的标的</w:t>
          </w:r>
          <w:r>
            <w:tab/>
          </w:r>
          <w:r>
            <w:fldChar w:fldCharType="begin"/>
          </w:r>
          <w:r>
            <w:instrText xml:space="preserve"> PAGEREF _Toc25945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_Toc20458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</w:rPr>
            <w:t xml:space="preserve">2.5.3. </w:t>
          </w:r>
          <w:r>
            <w:rPr>
              <w:rFonts w:hint="eastAsia"/>
              <w:lang w:val="en-US" w:eastAsia="zh-CN"/>
            </w:rPr>
            <w:t>查看</w:t>
          </w:r>
          <w:r>
            <w:rPr>
              <w:rFonts w:hint="eastAsia"/>
            </w:rPr>
            <w:t>竞</w:t>
          </w:r>
          <w:r>
            <w:rPr>
              <w:rFonts w:hint="eastAsia"/>
              <w:lang w:val="en-US" w:eastAsia="zh-CN"/>
            </w:rPr>
            <w:t>价</w:t>
          </w:r>
          <w:r>
            <w:rPr>
              <w:rFonts w:hint="eastAsia"/>
            </w:rPr>
            <w:t>失败</w:t>
          </w:r>
          <w:r>
            <w:rPr>
              <w:rFonts w:hint="eastAsia"/>
              <w:lang w:val="en-US" w:eastAsia="zh-CN"/>
            </w:rPr>
            <w:t>的标的</w:t>
          </w:r>
          <w:r>
            <w:tab/>
          </w:r>
          <w:r>
            <w:fldChar w:fldCharType="begin"/>
          </w:r>
          <w:r>
            <w:instrText xml:space="preserve"> PAGEREF _Toc20458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8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_Toc19190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2.6. </w:t>
          </w:r>
          <w:r>
            <w:rPr>
              <w:rFonts w:hint="eastAsia"/>
              <w:lang w:val="en-US" w:eastAsia="zh-CN"/>
            </w:rPr>
            <w:t>交易结果处理</w:t>
          </w:r>
          <w:r>
            <w:tab/>
          </w:r>
          <w:r>
            <w:fldChar w:fldCharType="begin"/>
          </w:r>
          <w:r>
            <w:instrText xml:space="preserve"> PAGEREF _Toc19190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_Toc25992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</w:rPr>
            <w:t xml:space="preserve">2.6.1. </w:t>
          </w:r>
          <w:r>
            <w:rPr>
              <w:rFonts w:hint="eastAsia"/>
              <w:lang w:val="en-US" w:eastAsia="zh-CN"/>
            </w:rPr>
            <w:t>提交后审资料</w:t>
          </w:r>
          <w:r>
            <w:tab/>
          </w:r>
          <w:r>
            <w:fldChar w:fldCharType="begin"/>
          </w:r>
          <w:r>
            <w:instrText xml:space="preserve"> PAGEREF _Toc25992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_Toc32483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2.6.2. </w:t>
          </w:r>
          <w:r>
            <w:rPr>
              <w:rFonts w:hint="eastAsia"/>
              <w:lang w:val="en-US" w:eastAsia="zh-CN"/>
            </w:rPr>
            <w:t>提交成交确认资料</w:t>
          </w:r>
          <w:r>
            <w:tab/>
          </w:r>
          <w:r>
            <w:fldChar w:fldCharType="begin"/>
          </w:r>
          <w:r>
            <w:instrText xml:space="preserve"> PAGEREF _Toc32483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_Toc4880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2.6.3. </w:t>
          </w:r>
          <w:r>
            <w:rPr>
              <w:rFonts w:hint="eastAsia"/>
              <w:lang w:val="en-US" w:eastAsia="zh-CN"/>
            </w:rPr>
            <w:t>放弃成交</w:t>
          </w:r>
          <w:r>
            <w:tab/>
          </w:r>
          <w:r>
            <w:fldChar w:fldCharType="begin"/>
          </w:r>
          <w:r>
            <w:instrText xml:space="preserve"> PAGEREF _Toc4880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_Toc9084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2.6.4. </w:t>
          </w:r>
          <w:r>
            <w:rPr>
              <w:rFonts w:hint="eastAsia"/>
              <w:lang w:val="en-US" w:eastAsia="zh-CN"/>
            </w:rPr>
            <w:t>查看成交确认资料</w:t>
          </w:r>
          <w:r>
            <w:tab/>
          </w:r>
          <w:r>
            <w:fldChar w:fldCharType="begin"/>
          </w:r>
          <w:r>
            <w:instrText xml:space="preserve"> PAGEREF _Toc9084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_Toc596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2.6.5. </w:t>
          </w:r>
          <w:r>
            <w:rPr>
              <w:rFonts w:hint="eastAsia"/>
              <w:lang w:val="en-US" w:eastAsia="zh-CN"/>
            </w:rPr>
            <w:t>查看交易结果公示</w:t>
          </w:r>
          <w:r>
            <w:tab/>
          </w:r>
          <w:r>
            <w:fldChar w:fldCharType="begin"/>
          </w:r>
          <w:r>
            <w:instrText xml:space="preserve"> PAGEREF _Toc596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2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_Toc4261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2.6.6. </w:t>
          </w:r>
          <w:r>
            <w:rPr>
              <w:rFonts w:hint="eastAsia"/>
              <w:lang w:val="en-US" w:eastAsia="zh-CN"/>
            </w:rPr>
            <w:t>服务评价</w:t>
          </w:r>
          <w:r>
            <w:tab/>
          </w:r>
          <w:r>
            <w:fldChar w:fldCharType="begin"/>
          </w:r>
          <w:r>
            <w:instrText xml:space="preserve"> PAGEREF _Toc4261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pStyle w:val="17"/>
            <w:tabs>
              <w:tab w:val="right" w:leader="dot" w:pos="9746"/>
            </w:tabs>
          </w:pPr>
          <w:r>
            <w:rPr>
              <w:rFonts w:hint="eastAsia" w:eastAsia="黑体"/>
              <w:bCs/>
            </w:rPr>
            <w:fldChar w:fldCharType="begin"/>
          </w:r>
          <w:r>
            <w:rPr>
              <w:rFonts w:hint="eastAsia" w:eastAsia="黑体"/>
              <w:bCs/>
            </w:rPr>
            <w:instrText xml:space="preserve"> HYPERLINK \l _Toc5014 </w:instrText>
          </w:r>
          <w:r>
            <w:rPr>
              <w:rFonts w:hint="eastAsia" w:eastAsia="黑体"/>
              <w:bCs/>
            </w:rPr>
            <w:fldChar w:fldCharType="separate"/>
          </w:r>
          <w:r>
            <w:rPr>
              <w:rFonts w:ascii="黑体" w:hAnsi="Calibri" w:eastAsia="黑体" w:cs="Times New Roman"/>
            </w:rPr>
            <w:t xml:space="preserve">3. </w:t>
          </w:r>
          <w:r>
            <w:rPr>
              <w:rFonts w:hint="eastAsia" w:ascii="黑体" w:hAnsi="Calibri" w:eastAsia="黑体" w:cs="Times New Roman"/>
            </w:rPr>
            <w:t>技术支持</w:t>
          </w:r>
          <w:r>
            <w:tab/>
          </w:r>
          <w:r>
            <w:fldChar w:fldCharType="begin"/>
          </w:r>
          <w:r>
            <w:instrText xml:space="preserve"> PAGEREF _Toc5014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 w:eastAsia="黑体"/>
              <w:bCs/>
            </w:rPr>
            <w:fldChar w:fldCharType="end"/>
          </w:r>
        </w:p>
        <w:p>
          <w:pPr>
            <w:jc w:val="center"/>
            <w:rPr>
              <w:rFonts w:eastAsia="黑体"/>
              <w:b/>
              <w:bCs/>
              <w:sz w:val="28"/>
            </w:rPr>
            <w:sectPr>
              <w:footerReference r:id="rId4" w:type="default"/>
              <w:pgSz w:w="11906" w:h="16838"/>
              <w:pgMar w:top="1440" w:right="1080" w:bottom="1440" w:left="1080" w:header="851" w:footer="992" w:gutter="0"/>
              <w:pgNumType w:start="1"/>
              <w:cols w:space="425" w:num="1"/>
              <w:docGrid w:type="lines" w:linePitch="312" w:charSpace="0"/>
            </w:sectPr>
          </w:pPr>
          <w:r>
            <w:rPr>
              <w:rFonts w:hint="eastAsia" w:eastAsia="黑体"/>
              <w:bCs/>
            </w:rPr>
            <w:fldChar w:fldCharType="end"/>
          </w:r>
        </w:p>
      </w:sdtContent>
    </w:sdt>
    <w:p>
      <w:pPr>
        <w:pStyle w:val="2"/>
        <w:widowControl w:val="0"/>
        <w:numPr>
          <w:ilvl w:val="0"/>
          <w:numId w:val="2"/>
        </w:numPr>
        <w:adjustRightInd/>
        <w:snapToGrid/>
        <w:jc w:val="both"/>
        <w:rPr>
          <w:rFonts w:ascii="黑体" w:hAnsi="Calibri" w:eastAsia="黑体" w:cs="Times New Roman"/>
        </w:rPr>
      </w:pPr>
      <w:bookmarkStart w:id="0" w:name="_Toc11344"/>
      <w:bookmarkStart w:id="1" w:name="_Toc290881815"/>
      <w:bookmarkStart w:id="2" w:name="_Toc407200889"/>
      <w:bookmarkStart w:id="3" w:name="_Toc19008"/>
      <w:r>
        <w:rPr>
          <w:rFonts w:hint="eastAsia" w:ascii="黑体" w:hAnsi="Calibri" w:eastAsia="黑体" w:cs="Times New Roman"/>
        </w:rPr>
        <w:t>登录</w:t>
      </w:r>
      <w:bookmarkEnd w:id="0"/>
      <w:bookmarkEnd w:id="1"/>
      <w:bookmarkEnd w:id="2"/>
      <w:bookmarkEnd w:id="3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后台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系统地址：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fldChar w:fldCharType="begin"/>
      </w:r>
      <w:r>
        <w:rPr>
          <w:rFonts w:hint="eastAsia" w:ascii="宋体" w:hAnsi="宋体" w:eastAsia="宋体" w:cs="Times New Roman"/>
          <w:kern w:val="2"/>
          <w:sz w:val="24"/>
          <w:szCs w:val="24"/>
        </w:rPr>
        <w:instrText xml:space="preserve"> HYPERLINK "http://113.104.21.213:8090/main" </w:instrText>
      </w:r>
      <w:r>
        <w:rPr>
          <w:rFonts w:hint="eastAsia" w:ascii="宋体" w:hAnsi="宋体" w:eastAsia="宋体" w:cs="Times New Roman"/>
          <w:kern w:val="2"/>
          <w:sz w:val="24"/>
          <w:szCs w:val="24"/>
        </w:rPr>
        <w:fldChar w:fldCharType="separate"/>
      </w:r>
      <w:r>
        <w:rPr>
          <w:rStyle w:val="23"/>
          <w:rFonts w:hint="eastAsia" w:ascii="宋体" w:hAnsi="宋体" w:eastAsia="宋体" w:cs="Times New Roman"/>
          <w:kern w:val="2"/>
          <w:sz w:val="24"/>
          <w:szCs w:val="24"/>
        </w:rPr>
        <w:t>http://</w:t>
      </w:r>
      <w:r>
        <w:rPr>
          <w:rStyle w:val="23"/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jyzx.yunfu.gov.cn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fldChar w:fldCharType="end"/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门户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系统地址：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fldChar w:fldCharType="begin"/>
      </w:r>
      <w:r>
        <w:rPr>
          <w:rFonts w:hint="eastAsia" w:ascii="宋体" w:hAnsi="宋体" w:eastAsia="宋体" w:cs="Times New Roman"/>
          <w:kern w:val="2"/>
          <w:sz w:val="24"/>
          <w:szCs w:val="24"/>
        </w:rPr>
        <w:instrText xml:space="preserve"> HYPERLINK "http://113.104.21.213:8090/main" </w:instrText>
      </w:r>
      <w:r>
        <w:rPr>
          <w:rFonts w:hint="eastAsia" w:ascii="宋体" w:hAnsi="宋体" w:eastAsia="宋体" w:cs="Times New Roman"/>
          <w:kern w:val="2"/>
          <w:sz w:val="24"/>
          <w:szCs w:val="24"/>
        </w:rPr>
        <w:fldChar w:fldCharType="separate"/>
      </w:r>
      <w:r>
        <w:rPr>
          <w:rStyle w:val="23"/>
          <w:rFonts w:hint="eastAsia" w:ascii="宋体" w:hAnsi="宋体" w:eastAsia="宋体" w:cs="Times New Roman"/>
          <w:kern w:val="2"/>
          <w:sz w:val="24"/>
          <w:szCs w:val="24"/>
        </w:rPr>
        <w:t>http://</w:t>
      </w:r>
      <w:r>
        <w:rPr>
          <w:rStyle w:val="23"/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jyzx.yunfu.gov.cn/portal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fldChar w:fldCharType="end"/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（建议使用360/360极速浏览器）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ascii="宋体" w:hAnsi="宋体" w:eastAsia="宋体" w:cs="Times New Roman"/>
          <w:color w:val="0000FF"/>
          <w:kern w:val="2"/>
          <w:sz w:val="24"/>
          <w:szCs w:val="24"/>
        </w:rPr>
      </w:pPr>
      <w:r>
        <w:drawing>
          <wp:inline distT="0" distB="0" distL="114300" distR="114300">
            <wp:extent cx="5266690" cy="2477135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进入登录界面，输入正确的用户名</w:t>
      </w:r>
      <w:r>
        <w:rPr>
          <w:rFonts w:hint="eastAsia" w:ascii="宋体" w:hAnsi="宋体" w:eastAsia="宋体" w:cs="Times New Roman"/>
          <w:kern w:val="2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密码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和验证码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，然后点击【登录】，即可进入系统。</w:t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</w:pPr>
      <w:r>
        <w:rPr>
          <w:rFonts w:hint="eastAsia" w:ascii="宋体" w:hAnsi="宋体" w:eastAsia="宋体" w:cs="Times New Roman"/>
          <w:color w:val="FF0000"/>
          <w:kern w:val="2"/>
          <w:sz w:val="24"/>
          <w:szCs w:val="24"/>
          <w:lang w:val="en-US" w:eastAsia="zh-CN"/>
        </w:rPr>
        <w:t>注：2022年2月1号之前在旧平台注册的账号，可以使用原新点系统的账号进行登录，请通过找回密码功能修改密码。也可以使用旧系统的CA进行登录，CA密码不变。</w:t>
      </w:r>
      <w:r>
        <w:rPr>
          <w:rFonts w:hint="eastAsia" w:ascii="宋体" w:hAnsi="宋体" w:eastAsia="宋体" w:cs="Times New Roman"/>
          <w:color w:val="FF0000"/>
          <w:kern w:val="2"/>
          <w:sz w:val="24"/>
          <w:szCs w:val="24"/>
        </w:rPr>
        <w:t>使用CA登录，需要插入企业CA KEY，选择“CA登录”方式，输入PIN码，系统验证通过后可进入系统。注意，第一次使用的时候需要安装驱动程序，请点击“多CA兼容登录驱动程序下载”，进行驱动程序的安装。</w:t>
      </w:r>
      <w:r>
        <w:rPr>
          <w:rFonts w:hint="eastAsia" w:ascii="宋体" w:hAnsi="宋体" w:eastAsia="宋体" w:cs="Times New Roman"/>
          <w:color w:val="FF0000"/>
          <w:kern w:val="2"/>
          <w:sz w:val="24"/>
          <w:szCs w:val="24"/>
          <w:lang w:val="en-US" w:eastAsia="zh-CN"/>
        </w:rPr>
        <w:t>本系统支持GDCA、SZCA、NETCA登录。</w:t>
      </w:r>
    </w:p>
    <w:p>
      <w:pPr>
        <w:pStyle w:val="3"/>
        <w:numPr>
          <w:ilvl w:val="1"/>
          <w:numId w:val="0"/>
        </w:numPr>
        <w:spacing w:line="240" w:lineRule="auto"/>
        <w:ind w:leftChars="0"/>
      </w:pPr>
      <w:bookmarkStart w:id="4" w:name="_Toc4181"/>
      <w:bookmarkStart w:id="5" w:name="_Toc14546"/>
      <w:bookmarkStart w:id="6" w:name="_Toc14441"/>
      <w:r>
        <w:rPr>
          <w:rFonts w:hint="eastAsia"/>
        </w:rPr>
        <w:t>业务流程</w:t>
      </w:r>
      <w:bookmarkEnd w:id="4"/>
      <w:bookmarkEnd w:id="5"/>
    </w:p>
    <w:p>
      <w:pPr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6085840" cy="8227060"/>
            <wp:effectExtent l="0" t="0" r="1016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5840" cy="822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</w:pPr>
    </w:p>
    <w:p>
      <w:pPr>
        <w:pStyle w:val="2"/>
        <w:widowControl w:val="0"/>
        <w:numPr>
          <w:ilvl w:val="0"/>
          <w:numId w:val="2"/>
        </w:numPr>
        <w:adjustRightInd/>
        <w:snapToGrid/>
        <w:jc w:val="both"/>
        <w:rPr>
          <w:rFonts w:ascii="黑体" w:hAnsi="Calibri" w:eastAsia="黑体" w:cs="Times New Roman"/>
        </w:rPr>
      </w:pPr>
      <w:bookmarkStart w:id="7" w:name="_Toc22689"/>
      <w:r>
        <w:rPr>
          <w:rFonts w:hint="eastAsia" w:ascii="黑体" w:hAnsi="Calibri" w:eastAsia="黑体" w:cs="Times New Roman"/>
        </w:rPr>
        <w:t>业务操作说明</w:t>
      </w:r>
      <w:bookmarkEnd w:id="6"/>
      <w:bookmarkEnd w:id="7"/>
    </w:p>
    <w:p>
      <w:pPr>
        <w:pStyle w:val="3"/>
        <w:bidi w:val="0"/>
      </w:pPr>
      <w:bookmarkStart w:id="8" w:name="_Toc30161"/>
      <w:r>
        <w:rPr>
          <w:rFonts w:hint="eastAsia"/>
          <w:lang w:val="en-US" w:eastAsia="zh-CN"/>
        </w:rPr>
        <w:t>查看交易公告和标的</w:t>
      </w:r>
      <w:bookmarkEnd w:id="8"/>
    </w:p>
    <w:p>
      <w:pPr>
        <w:ind w:firstLine="440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竞投人登陆系统，竞投人点击菜单“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交易公告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交易公告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查看交易公告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。</w:t>
      </w:r>
    </w:p>
    <w:p>
      <w:r>
        <w:drawing>
          <wp:inline distT="0" distB="0" distL="114300" distR="114300">
            <wp:extent cx="5266690" cy="2246630"/>
            <wp:effectExtent l="0" t="0" r="6350" b="889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400300"/>
            <wp:effectExtent l="0" t="0" r="6350" b="762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40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竞投人登陆系统，竞投人点击菜单“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交易公告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正在公告标的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查看正在公告标的具体信息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。</w:t>
      </w:r>
    </w:p>
    <w:p>
      <w:r>
        <w:drawing>
          <wp:inline distT="0" distB="0" distL="114300" distR="114300">
            <wp:extent cx="5266690" cy="2246630"/>
            <wp:effectExtent l="0" t="0" r="6350" b="889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00300"/>
            <wp:effectExtent l="0" t="0" r="6350" b="762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240" w:lineRule="auto"/>
      </w:pPr>
      <w:bookmarkStart w:id="9" w:name="_Toc10969"/>
      <w:r>
        <w:rPr>
          <w:rFonts w:hint="eastAsia"/>
        </w:rPr>
        <w:t>竞投报名</w:t>
      </w:r>
      <w:bookmarkEnd w:id="9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竞投人登陆系统，竞投人点击菜单“竞买人报名 &gt; 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买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报名”，进入页面，点击“报名”按钮。</w:t>
      </w:r>
    </w:p>
    <w:p>
      <w:r>
        <w:drawing>
          <wp:inline distT="0" distB="0" distL="114300" distR="114300">
            <wp:extent cx="5272405" cy="1879600"/>
            <wp:effectExtent l="0" t="0" r="635" b="1016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进入报名页面，填写报名信息，点击“提交报名”按钮，校验页面数据，然后弹出竞买申请书</w:t>
      </w:r>
    </w:p>
    <w:p>
      <w:pPr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drawing>
          <wp:inline distT="0" distB="0" distL="114300" distR="114300">
            <wp:extent cx="5272405" cy="2457450"/>
            <wp:effectExtent l="0" t="0" r="635" b="1143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在竞买申请书页面，点击“下载承诺书”按钮，能下载承诺书，点击“我同意”按钮，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系统自动生成竞买申请书文件</w:t>
      </w:r>
    </w:p>
    <w:p>
      <w:r>
        <w:drawing>
          <wp:inline distT="0" distB="0" distL="114300" distR="114300">
            <wp:extent cx="5268595" cy="2437130"/>
            <wp:effectExtent l="0" t="0" r="8255" b="1270"/>
            <wp:docPr id="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前审方式时，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在竞投人报名资格材料提交页面，点击“上传附件”按钮，上传附件资料，然后点击“提交审核”按钮，提交资格材料给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委托方审核</w:t>
      </w:r>
    </w:p>
    <w:p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66690" cy="2477135"/>
            <wp:effectExtent l="0" t="0" r="6350" b="6985"/>
            <wp:docPr id="22" name="图片 22" descr="前审资格审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前审资格审核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240" w:lineRule="auto"/>
      </w:pPr>
      <w:bookmarkStart w:id="10" w:name="_Toc7853"/>
      <w:r>
        <w:rPr>
          <w:rFonts w:hint="eastAsia"/>
        </w:rPr>
        <w:t>提交资格材料</w:t>
      </w:r>
      <w:bookmarkEnd w:id="10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项目是资格前审方式时，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买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人除了从竞投报名模块进行提交资格资料以外，也可以从提交资格材料模块进行提交资料。</w:t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点击菜单“竞买人报名 &gt; 提交资格材料”，进入页面，点击“上传”按钮。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66690" cy="2477135"/>
            <wp:effectExtent l="0" t="0" r="6350" b="6985"/>
            <wp:docPr id="21" name="图片 21" descr="前审资格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前审资格审核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进入上传页面，上传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相关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附件</w:t>
      </w:r>
      <w:r>
        <w:rPr>
          <w:rFonts w:hint="eastAsia" w:ascii="宋体" w:hAnsi="宋体" w:eastAsia="宋体" w:cs="Times New Roman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竞买申请书需要下载打印纸质版盖章后上传回系统中，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点击“提交审核”按钮，提交成功之后，数据提交给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委托方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进行审核。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hint="eastAsia" w:ascii="宋体" w:hAnsi="宋体" w:eastAsia="宋体" w:cs="Times New Roman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eastAsia="zh-CN"/>
        </w:rPr>
        <w:drawing>
          <wp:inline distT="0" distB="0" distL="114300" distR="114300">
            <wp:extent cx="5266690" cy="2476500"/>
            <wp:effectExtent l="0" t="0" r="6350" b="7620"/>
            <wp:docPr id="26" name="图片 26" descr="前审资格审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前审资格审核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66690" cy="2477135"/>
            <wp:effectExtent l="0" t="0" r="6350" b="6985"/>
            <wp:docPr id="25" name="图片 25" descr="前审资格审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前审资格审核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240" w:lineRule="auto"/>
      </w:pPr>
      <w:bookmarkStart w:id="11" w:name="_Toc8281"/>
      <w:r>
        <w:rPr>
          <w:rFonts w:hint="eastAsia"/>
        </w:rPr>
        <w:t>保证金</w:t>
      </w:r>
      <w:bookmarkEnd w:id="11"/>
    </w:p>
    <w:p>
      <w:pPr>
        <w:pStyle w:val="4"/>
        <w:bidi w:val="0"/>
      </w:pPr>
      <w:bookmarkStart w:id="12" w:name="_Toc521"/>
      <w:r>
        <w:rPr>
          <w:rFonts w:hint="eastAsia"/>
          <w:lang w:val="en-US" w:eastAsia="zh-CN"/>
        </w:rPr>
        <w:t>缴纳保证金</w:t>
      </w:r>
      <w:bookmarkEnd w:id="12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 竞投人点击菜单“竞买人报名 &gt; 报名查询”，进入页面，点击“缴纳保证金”按钮</w:t>
      </w:r>
    </w:p>
    <w:p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66690" cy="1820545"/>
            <wp:effectExtent l="0" t="0" r="6350" b="8255"/>
            <wp:docPr id="27" name="图片 27" descr="微信截图_20211228092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截图_2021122809252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进入到缴纳保证金页面，勾选银行，然后点击“确认，下一步”按钮，然后生成子账号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</w:pPr>
      <w:r>
        <w:drawing>
          <wp:inline distT="0" distB="0" distL="114300" distR="114300">
            <wp:extent cx="5272405" cy="2292350"/>
            <wp:effectExtent l="0" t="0" r="635" b="889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子账号生成成功之后，使用网银进行保证金转账，转账成功后系统自动更新保证金缴纳状态。</w:t>
      </w:r>
    </w:p>
    <w:p>
      <w:r>
        <w:drawing>
          <wp:inline distT="0" distB="0" distL="114300" distR="114300">
            <wp:extent cx="5272405" cy="1483360"/>
            <wp:effectExtent l="0" t="0" r="635" b="1016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bookmarkStart w:id="13" w:name="_Toc28241"/>
      <w:r>
        <w:rPr>
          <w:rFonts w:hint="eastAsia"/>
          <w:lang w:val="en-US" w:eastAsia="zh-CN"/>
        </w:rPr>
        <w:t>保证金查询</w:t>
      </w:r>
      <w:bookmarkEnd w:id="13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竞投人登陆系统，竞投人点击菜单“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保证金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已缴纳保证金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可以查看标的保证金状态。</w:t>
      </w:r>
    </w:p>
    <w:p>
      <w:r>
        <w:drawing>
          <wp:inline distT="0" distB="0" distL="114300" distR="114300">
            <wp:extent cx="5266690" cy="2246630"/>
            <wp:effectExtent l="0" t="0" r="6350" b="8890"/>
            <wp:docPr id="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240" w:lineRule="auto"/>
      </w:pPr>
      <w:bookmarkStart w:id="14" w:name="_Toc25890"/>
      <w:r>
        <w:rPr>
          <w:rFonts w:hint="eastAsia"/>
        </w:rPr>
        <w:t>交易竞拍</w:t>
      </w:r>
      <w:bookmarkEnd w:id="14"/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ascii="宋体" w:hAnsi="宋体" w:eastAsia="宋体" w:cs="Times New Roman"/>
          <w:kern w:val="2"/>
          <w:sz w:val="24"/>
          <w:szCs w:val="24"/>
        </w:rPr>
      </w:pPr>
    </w:p>
    <w:p>
      <w:pPr>
        <w:pStyle w:val="4"/>
      </w:pPr>
      <w:bookmarkStart w:id="15" w:name="_Toc16040"/>
      <w:r>
        <w:rPr>
          <w:rFonts w:hint="eastAsia"/>
        </w:rPr>
        <w:t>正在竞拍</w:t>
      </w:r>
      <w:bookmarkEnd w:id="15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项目拍卖时间到了之后，竞投人点击菜单“交易竞拍 &gt; 正在竞拍”，进入页面，点击“竞买出价”按钮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drawing>
          <wp:inline distT="0" distB="0" distL="114300" distR="114300">
            <wp:extent cx="5267325" cy="1880235"/>
            <wp:effectExtent l="0" t="0" r="5715" b="9525"/>
            <wp:docPr id="10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rcRect t="1394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进入到竞买出价页面，竞买人可以使用倍数报价、手动报价这两种方式进行出价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</w:pPr>
      <w:r>
        <w:drawing>
          <wp:inline distT="0" distB="0" distL="114300" distR="114300">
            <wp:extent cx="5273675" cy="2753360"/>
            <wp:effectExtent l="0" t="0" r="3175" b="8890"/>
            <wp:docPr id="10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选择倍数报价的方式，可以手动修改增加幅度，然后点击“确认出价”按钮，出价成功</w:t>
      </w:r>
    </w:p>
    <w:p/>
    <w:p>
      <w:r>
        <w:drawing>
          <wp:inline distT="0" distB="0" distL="114300" distR="114300">
            <wp:extent cx="5271135" cy="2154555"/>
            <wp:effectExtent l="0" t="0" r="5715" b="17145"/>
            <wp:docPr id="10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查看出价记录列表，可以看到本企业和其他企业的出价情况</w:t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4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drawing>
          <wp:inline distT="0" distB="0" distL="114300" distR="114300">
            <wp:extent cx="5266690" cy="2476500"/>
            <wp:effectExtent l="0" t="0" r="10160" b="0"/>
            <wp:docPr id="10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选择手动报价的方式，然后输入想要出价的金额，然后点击“确认出价”按钮。出价成功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drawing>
          <wp:inline distT="0" distB="0" distL="114300" distR="114300">
            <wp:extent cx="5265420" cy="2446020"/>
            <wp:effectExtent l="0" t="0" r="11430" b="11430"/>
            <wp:docPr id="1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时间到了限时竞价时，系统自动进入限时竞价环节，在限时竞价期间，会根据设置的时间进行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倒计时</w:t>
      </w:r>
    </w:p>
    <w:p>
      <w:r>
        <w:drawing>
          <wp:inline distT="0" distB="0" distL="114300" distR="114300">
            <wp:extent cx="5267960" cy="2204085"/>
            <wp:effectExtent l="0" t="0" r="5080" b="571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限时竞价时间结束之后，出价最高者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竞得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，系统弹窗提示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竞价成功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</w:pPr>
      <w:r>
        <w:drawing>
          <wp:inline distT="0" distB="0" distL="114300" distR="114300">
            <wp:extent cx="5267325" cy="2372995"/>
            <wp:effectExtent l="0" t="0" r="9525" b="8255"/>
            <wp:docPr id="11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6" w:name="_Toc25945"/>
      <w:r>
        <w:rPr>
          <w:rFonts w:hint="eastAsia"/>
          <w:lang w:val="en-US" w:eastAsia="zh-CN"/>
        </w:rPr>
        <w:t>查看</w:t>
      </w:r>
      <w:r>
        <w:rPr>
          <w:rFonts w:hint="eastAsia"/>
        </w:rPr>
        <w:t>竞</w:t>
      </w:r>
      <w:r>
        <w:rPr>
          <w:rFonts w:hint="eastAsia"/>
          <w:lang w:val="en-US" w:eastAsia="zh-CN"/>
        </w:rPr>
        <w:t>价</w:t>
      </w:r>
      <w:r>
        <w:rPr>
          <w:rFonts w:hint="eastAsia"/>
        </w:rPr>
        <w:t>成功</w:t>
      </w:r>
      <w:r>
        <w:rPr>
          <w:rFonts w:hint="eastAsia"/>
          <w:lang w:val="en-US" w:eastAsia="zh-CN"/>
        </w:rPr>
        <w:t>的标的</w:t>
      </w:r>
      <w:bookmarkEnd w:id="16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竞价结束，竞投人点击菜单“交易竞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成功”，进入页面，可以查看到竞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成功的项目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drawing>
          <wp:inline distT="0" distB="0" distL="114300" distR="114300">
            <wp:extent cx="5272405" cy="2457450"/>
            <wp:effectExtent l="0" t="0" r="635" b="1143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在竞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成功页面，点击“查看”按钮，进入页面查看</w:t>
      </w:r>
    </w:p>
    <w:p>
      <w:pPr>
        <w:widowControl w:val="0"/>
        <w:adjustRightInd/>
        <w:snapToGrid/>
        <w:spacing w:before="62" w:beforeLines="20" w:after="62" w:afterLines="20" w:line="360" w:lineRule="auto"/>
        <w:jc w:val="both"/>
      </w:pPr>
    </w:p>
    <w:p>
      <w:pPr>
        <w:widowControl w:val="0"/>
        <w:adjustRightInd/>
        <w:snapToGrid/>
        <w:spacing w:before="62" w:beforeLines="20" w:after="62" w:afterLines="20" w:line="360" w:lineRule="auto"/>
        <w:jc w:val="both"/>
      </w:pPr>
      <w:r>
        <w:drawing>
          <wp:inline distT="0" distB="0" distL="114300" distR="114300">
            <wp:extent cx="5272405" cy="2457450"/>
            <wp:effectExtent l="0" t="0" r="635" b="1143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adjustRightInd/>
        <w:snapToGrid/>
        <w:spacing w:before="62" w:beforeLines="20" w:after="62" w:afterLines="20" w:line="360" w:lineRule="auto"/>
        <w:jc w:val="both"/>
      </w:pPr>
    </w:p>
    <w:p>
      <w:pPr>
        <w:widowControl w:val="0"/>
        <w:adjustRightInd/>
        <w:snapToGrid/>
        <w:spacing w:before="62" w:beforeLines="20" w:after="62" w:afterLines="20" w:line="360" w:lineRule="auto"/>
        <w:jc w:val="both"/>
        <w:rPr>
          <w:rFonts w:ascii="宋体" w:hAnsi="宋体" w:eastAsia="宋体" w:cs="Times New Roman"/>
          <w:kern w:val="2"/>
          <w:sz w:val="24"/>
          <w:szCs w:val="24"/>
        </w:rPr>
      </w:pPr>
    </w:p>
    <w:p>
      <w:pPr>
        <w:pStyle w:val="4"/>
      </w:pPr>
      <w:bookmarkStart w:id="17" w:name="_Toc20458"/>
      <w:r>
        <w:rPr>
          <w:rFonts w:hint="eastAsia"/>
          <w:lang w:val="en-US" w:eastAsia="zh-CN"/>
        </w:rPr>
        <w:t>查看</w:t>
      </w:r>
      <w:r>
        <w:rPr>
          <w:rFonts w:hint="eastAsia"/>
        </w:rPr>
        <w:t>竞</w:t>
      </w:r>
      <w:r>
        <w:rPr>
          <w:rFonts w:hint="eastAsia"/>
          <w:lang w:val="en-US" w:eastAsia="zh-CN"/>
        </w:rPr>
        <w:t>价</w:t>
      </w:r>
      <w:r>
        <w:rPr>
          <w:rFonts w:hint="eastAsia"/>
        </w:rPr>
        <w:t>失败</w:t>
      </w:r>
      <w:r>
        <w:rPr>
          <w:rFonts w:hint="eastAsia"/>
          <w:lang w:val="en-US" w:eastAsia="zh-CN"/>
        </w:rPr>
        <w:t>的标的</w:t>
      </w:r>
      <w:bookmarkEnd w:id="17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竞价结束，竞投人点击菜单“交易竞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失败”，进入页面，可以查看到竞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失败的项目，点击“查看”按钮，可以进入页面查看详细</w:t>
      </w:r>
    </w:p>
    <w:p>
      <w:r>
        <w:drawing>
          <wp:inline distT="0" distB="0" distL="114300" distR="114300">
            <wp:extent cx="5272405" cy="2457450"/>
            <wp:effectExtent l="0" t="0" r="635" b="1143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2457450"/>
            <wp:effectExtent l="0" t="0" r="635" b="1143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</w:pPr>
      <w:bookmarkStart w:id="18" w:name="_Toc19190"/>
      <w:r>
        <w:rPr>
          <w:rFonts w:hint="eastAsia"/>
          <w:lang w:val="en-US" w:eastAsia="zh-CN"/>
        </w:rPr>
        <w:t>交易结果处理</w:t>
      </w:r>
      <w:bookmarkEnd w:id="18"/>
    </w:p>
    <w:p>
      <w:pPr>
        <w:pStyle w:val="4"/>
        <w:bidi w:val="0"/>
      </w:pPr>
      <w:bookmarkStart w:id="19" w:name="_Toc25992"/>
      <w:r>
        <w:rPr>
          <w:rFonts w:hint="eastAsia"/>
          <w:lang w:val="en-US" w:eastAsia="zh-CN"/>
        </w:rPr>
        <w:t>提交后审资料</w:t>
      </w:r>
      <w:bookmarkEnd w:id="19"/>
    </w:p>
    <w:p>
      <w:pPr>
        <w:ind w:firstLine="480" w:firstLineChars="200"/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交易结果处理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提交后审资料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”，进入页面，可以查看到竞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价成功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的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标的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上传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进入后审资料提交页面。</w:t>
      </w:r>
    </w:p>
    <w:p>
      <w:r>
        <w:drawing>
          <wp:inline distT="0" distB="0" distL="114300" distR="114300">
            <wp:extent cx="5266690" cy="1809750"/>
            <wp:effectExtent l="0" t="0" r="6350" b="381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上传相关资料后点击“提交审核”按钮完成资格后审资料的提交。</w:t>
      </w:r>
    </w:p>
    <w:p>
      <w:r>
        <w:drawing>
          <wp:inline distT="0" distB="0" distL="114300" distR="114300">
            <wp:extent cx="5266690" cy="2400300"/>
            <wp:effectExtent l="0" t="0" r="6350" b="762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20" w:name="_Toc32483"/>
      <w:r>
        <w:rPr>
          <w:rFonts w:hint="eastAsia"/>
          <w:lang w:val="en-US" w:eastAsia="zh-CN"/>
        </w:rPr>
        <w:t>提交成交确认资料</w:t>
      </w:r>
      <w:bookmarkEnd w:id="20"/>
    </w:p>
    <w:p>
      <w:pPr>
        <w:ind w:firstLine="48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交易结果处理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提交成交确认资料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”，进入页面，可以查看到竞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价成功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的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标的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上传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进入成交确认资料提交页面。</w:t>
      </w:r>
    </w:p>
    <w:p>
      <w:r>
        <w:drawing>
          <wp:inline distT="0" distB="0" distL="114300" distR="114300">
            <wp:extent cx="5266690" cy="2045970"/>
            <wp:effectExtent l="0" t="0" r="6350" b="11430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上传相关资料后点击“保存”按钮暂时保存资料，点击“提交”按钮完成成交确认资料的上传。</w:t>
      </w:r>
    </w:p>
    <w:p>
      <w:r>
        <w:drawing>
          <wp:inline distT="0" distB="0" distL="114300" distR="114300">
            <wp:extent cx="5266690" cy="2045335"/>
            <wp:effectExtent l="0" t="0" r="6350" b="12065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21" w:name="_Toc4880"/>
      <w:r>
        <w:rPr>
          <w:rFonts w:hint="eastAsia"/>
          <w:lang w:val="en-US" w:eastAsia="zh-CN"/>
        </w:rPr>
        <w:t>放弃成交</w:t>
      </w:r>
      <w:bookmarkEnd w:id="21"/>
    </w:p>
    <w:p>
      <w:pPr>
        <w:ind w:firstLine="48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交易结果处理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提交成交确认资料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”，进入页面，可以查看到竞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价成功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的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标的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放弃成交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进入放弃成交信息填写页面。</w:t>
      </w:r>
    </w:p>
    <w:p>
      <w:r>
        <w:drawing>
          <wp:inline distT="0" distB="0" distL="114300" distR="114300">
            <wp:extent cx="5266690" cy="2592705"/>
            <wp:effectExtent l="0" t="0" r="6350" b="13335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上传相关资料，填写放弃成交原因后，点击“放弃”按钮放弃成交。</w:t>
      </w:r>
    </w:p>
    <w:p>
      <w:r>
        <w:drawing>
          <wp:inline distT="0" distB="0" distL="114300" distR="114300">
            <wp:extent cx="5268595" cy="2615565"/>
            <wp:effectExtent l="0" t="0" r="4445" b="5715"/>
            <wp:docPr id="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22" w:name="_Toc9084"/>
      <w:r>
        <w:rPr>
          <w:rFonts w:hint="eastAsia"/>
          <w:lang w:val="en-US" w:eastAsia="zh-CN"/>
        </w:rPr>
        <w:t>查看成交确认资料</w:t>
      </w:r>
      <w:bookmarkEnd w:id="22"/>
    </w:p>
    <w:p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交易结果处理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查看成交确认资料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查看成交确认资料。</w:t>
      </w:r>
    </w:p>
    <w:p>
      <w:r>
        <w:drawing>
          <wp:inline distT="0" distB="0" distL="114300" distR="114300">
            <wp:extent cx="5266690" cy="2247900"/>
            <wp:effectExtent l="0" t="0" r="6350" b="7620"/>
            <wp:docPr id="3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1702435"/>
            <wp:effectExtent l="0" t="0" r="5080" b="4445"/>
            <wp:docPr id="3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23" w:name="_Toc596"/>
      <w:r>
        <w:rPr>
          <w:rFonts w:hint="eastAsia"/>
          <w:lang w:val="en-US" w:eastAsia="zh-CN"/>
        </w:rPr>
        <w:t>查看交易结果公示</w:t>
      </w:r>
      <w:bookmarkEnd w:id="23"/>
    </w:p>
    <w:p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投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交易结果处理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查看交易结果公示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查看交易结果公示。</w:t>
      </w:r>
    </w:p>
    <w:p>
      <w:r>
        <w:drawing>
          <wp:inline distT="0" distB="0" distL="114300" distR="114300">
            <wp:extent cx="5266690" cy="2246630"/>
            <wp:effectExtent l="0" t="0" r="6350" b="8890"/>
            <wp:docPr id="3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016125"/>
            <wp:effectExtent l="0" t="0" r="4445" b="10795"/>
            <wp:docPr id="3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bookmarkStart w:id="24" w:name="_Toc4261"/>
      <w:r>
        <w:rPr>
          <w:rFonts w:hint="eastAsia"/>
          <w:lang w:val="en-US" w:eastAsia="zh-CN"/>
        </w:rPr>
        <w:t>服务评价</w:t>
      </w:r>
      <w:bookmarkEnd w:id="24"/>
    </w:p>
    <w:p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竞价结束，竞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人点击菜单“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交易结果处理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 &gt; 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服务评价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”，进入页面，点击“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我要评价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”按钮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进入评价页面对交易中心的服务进行评价。</w:t>
      </w:r>
    </w:p>
    <w:p>
      <w:r>
        <w:drawing>
          <wp:inline distT="0" distB="0" distL="114300" distR="114300">
            <wp:extent cx="5266690" cy="2246630"/>
            <wp:effectExtent l="0" t="0" r="6350" b="8890"/>
            <wp:docPr id="3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400300"/>
            <wp:effectExtent l="0" t="0" r="6350" b="7620"/>
            <wp:docPr id="4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2"/>
        </w:numPr>
        <w:adjustRightInd/>
        <w:snapToGrid/>
        <w:jc w:val="both"/>
        <w:rPr>
          <w:rFonts w:ascii="黑体" w:hAnsi="Calibri" w:eastAsia="黑体" w:cs="Times New Roman"/>
        </w:rPr>
      </w:pPr>
      <w:bookmarkStart w:id="25" w:name="_Toc5014"/>
      <w:r>
        <w:rPr>
          <w:rFonts w:hint="eastAsia" w:ascii="黑体" w:hAnsi="Calibri" w:eastAsia="黑体" w:cs="Times New Roman"/>
        </w:rPr>
        <w:t>技术支持</w:t>
      </w:r>
      <w:bookmarkEnd w:id="25"/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技术支持联系人：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赖工</w:t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电话：0766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Times New Roman"/>
          <w:kern w:val="2"/>
          <w:sz w:val="24"/>
          <w:szCs w:val="24"/>
        </w:rPr>
        <w:t>8819989</w:t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QQ：624175059</w:t>
      </w:r>
    </w:p>
    <w:p>
      <w:pPr>
        <w:widowControl w:val="0"/>
        <w:adjustRightInd/>
        <w:snapToGrid/>
        <w:spacing w:before="62" w:beforeLines="20" w:after="62" w:afterLines="20" w:line="360" w:lineRule="auto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5F568C"/>
    <w:multiLevelType w:val="multilevel"/>
    <w:tmpl w:val="3F5F568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EBB02D"/>
    <w:multiLevelType w:val="multilevel"/>
    <w:tmpl w:val="56EBB02D"/>
    <w:lvl w:ilvl="0" w:tentative="0">
      <w:start w:val="2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46"/>
    <w:rsid w:val="00016D7C"/>
    <w:rsid w:val="00085330"/>
    <w:rsid w:val="0010396A"/>
    <w:rsid w:val="001674A9"/>
    <w:rsid w:val="0019213D"/>
    <w:rsid w:val="001C7974"/>
    <w:rsid w:val="001D37BC"/>
    <w:rsid w:val="001E0DE5"/>
    <w:rsid w:val="00204938"/>
    <w:rsid w:val="00213720"/>
    <w:rsid w:val="00261103"/>
    <w:rsid w:val="00277D43"/>
    <w:rsid w:val="0029623D"/>
    <w:rsid w:val="002B0238"/>
    <w:rsid w:val="002E0A7A"/>
    <w:rsid w:val="00353081"/>
    <w:rsid w:val="00361A9A"/>
    <w:rsid w:val="003639BF"/>
    <w:rsid w:val="00373A13"/>
    <w:rsid w:val="00392F2E"/>
    <w:rsid w:val="00394DB0"/>
    <w:rsid w:val="003955EE"/>
    <w:rsid w:val="003D3261"/>
    <w:rsid w:val="00476025"/>
    <w:rsid w:val="004964F4"/>
    <w:rsid w:val="00497ACA"/>
    <w:rsid w:val="004B0040"/>
    <w:rsid w:val="004C5854"/>
    <w:rsid w:val="00553A06"/>
    <w:rsid w:val="00585C63"/>
    <w:rsid w:val="00587402"/>
    <w:rsid w:val="005D4BD7"/>
    <w:rsid w:val="005E3C7E"/>
    <w:rsid w:val="005E3D86"/>
    <w:rsid w:val="00623823"/>
    <w:rsid w:val="00660F2E"/>
    <w:rsid w:val="006673DD"/>
    <w:rsid w:val="006750DD"/>
    <w:rsid w:val="006B6A1B"/>
    <w:rsid w:val="006D3A05"/>
    <w:rsid w:val="007068E9"/>
    <w:rsid w:val="007313D9"/>
    <w:rsid w:val="007903F9"/>
    <w:rsid w:val="007B61A0"/>
    <w:rsid w:val="007D482A"/>
    <w:rsid w:val="007E153E"/>
    <w:rsid w:val="008372DB"/>
    <w:rsid w:val="00841040"/>
    <w:rsid w:val="008729F6"/>
    <w:rsid w:val="008A0560"/>
    <w:rsid w:val="00902FC3"/>
    <w:rsid w:val="009409A1"/>
    <w:rsid w:val="00983EA0"/>
    <w:rsid w:val="009A47B4"/>
    <w:rsid w:val="009A75E4"/>
    <w:rsid w:val="009B6426"/>
    <w:rsid w:val="009E2CFA"/>
    <w:rsid w:val="00A15001"/>
    <w:rsid w:val="00A2278D"/>
    <w:rsid w:val="00A24B21"/>
    <w:rsid w:val="00A26B9B"/>
    <w:rsid w:val="00A43B30"/>
    <w:rsid w:val="00A776DF"/>
    <w:rsid w:val="00AA24B2"/>
    <w:rsid w:val="00AF13C4"/>
    <w:rsid w:val="00B01DAA"/>
    <w:rsid w:val="00B62D15"/>
    <w:rsid w:val="00B70C64"/>
    <w:rsid w:val="00B71363"/>
    <w:rsid w:val="00B90F17"/>
    <w:rsid w:val="00BB0E21"/>
    <w:rsid w:val="00BD4446"/>
    <w:rsid w:val="00BE09AC"/>
    <w:rsid w:val="00C21F38"/>
    <w:rsid w:val="00CB11E5"/>
    <w:rsid w:val="00CB76F5"/>
    <w:rsid w:val="00CD359B"/>
    <w:rsid w:val="00D03586"/>
    <w:rsid w:val="00D2410F"/>
    <w:rsid w:val="00D41377"/>
    <w:rsid w:val="00D4795E"/>
    <w:rsid w:val="00DB3D83"/>
    <w:rsid w:val="00DC1088"/>
    <w:rsid w:val="00E04062"/>
    <w:rsid w:val="00E05FD5"/>
    <w:rsid w:val="00E2735C"/>
    <w:rsid w:val="00E645AC"/>
    <w:rsid w:val="00E93DB6"/>
    <w:rsid w:val="00EA0888"/>
    <w:rsid w:val="00EC74E3"/>
    <w:rsid w:val="00F049AC"/>
    <w:rsid w:val="00F22AED"/>
    <w:rsid w:val="00F65B8B"/>
    <w:rsid w:val="00FA2A5B"/>
    <w:rsid w:val="00FA6B7D"/>
    <w:rsid w:val="00FC12A8"/>
    <w:rsid w:val="00FD2F48"/>
    <w:rsid w:val="00FF516F"/>
    <w:rsid w:val="01093842"/>
    <w:rsid w:val="01F13D6B"/>
    <w:rsid w:val="01F472A9"/>
    <w:rsid w:val="020515AD"/>
    <w:rsid w:val="02F344FA"/>
    <w:rsid w:val="034A735D"/>
    <w:rsid w:val="03EB3121"/>
    <w:rsid w:val="03ED5B28"/>
    <w:rsid w:val="04235BBB"/>
    <w:rsid w:val="04EF777A"/>
    <w:rsid w:val="0594729B"/>
    <w:rsid w:val="05E232D5"/>
    <w:rsid w:val="060511EF"/>
    <w:rsid w:val="0652102D"/>
    <w:rsid w:val="06B25D4D"/>
    <w:rsid w:val="06FB6940"/>
    <w:rsid w:val="07867CCC"/>
    <w:rsid w:val="07A6121F"/>
    <w:rsid w:val="082958B4"/>
    <w:rsid w:val="082B0EAC"/>
    <w:rsid w:val="09052CF6"/>
    <w:rsid w:val="093A1657"/>
    <w:rsid w:val="09BA3DC6"/>
    <w:rsid w:val="09D775EC"/>
    <w:rsid w:val="09EB4DD4"/>
    <w:rsid w:val="0A82254C"/>
    <w:rsid w:val="0BAD7697"/>
    <w:rsid w:val="0BCE455A"/>
    <w:rsid w:val="0C8F447A"/>
    <w:rsid w:val="0C9941C5"/>
    <w:rsid w:val="0D0C314A"/>
    <w:rsid w:val="0D2A252A"/>
    <w:rsid w:val="0D56434B"/>
    <w:rsid w:val="0D5E3204"/>
    <w:rsid w:val="0D870660"/>
    <w:rsid w:val="0DA177C9"/>
    <w:rsid w:val="0E2456FB"/>
    <w:rsid w:val="0E46076F"/>
    <w:rsid w:val="0E4C255B"/>
    <w:rsid w:val="0ED532FB"/>
    <w:rsid w:val="0F2B26AF"/>
    <w:rsid w:val="100C0D4C"/>
    <w:rsid w:val="106E64E3"/>
    <w:rsid w:val="10A21647"/>
    <w:rsid w:val="10DA201B"/>
    <w:rsid w:val="114000DC"/>
    <w:rsid w:val="11416316"/>
    <w:rsid w:val="11D7684D"/>
    <w:rsid w:val="12345433"/>
    <w:rsid w:val="12A714C0"/>
    <w:rsid w:val="12ED61BD"/>
    <w:rsid w:val="130945BE"/>
    <w:rsid w:val="13E64BA0"/>
    <w:rsid w:val="13FD21E7"/>
    <w:rsid w:val="140161EE"/>
    <w:rsid w:val="14120F9F"/>
    <w:rsid w:val="14710401"/>
    <w:rsid w:val="14C22DAB"/>
    <w:rsid w:val="14D27A43"/>
    <w:rsid w:val="152A750C"/>
    <w:rsid w:val="15B324F5"/>
    <w:rsid w:val="15EA017D"/>
    <w:rsid w:val="162A022D"/>
    <w:rsid w:val="163E1B6A"/>
    <w:rsid w:val="165F6063"/>
    <w:rsid w:val="1674261F"/>
    <w:rsid w:val="175B522E"/>
    <w:rsid w:val="17694042"/>
    <w:rsid w:val="17D905CF"/>
    <w:rsid w:val="17FD036A"/>
    <w:rsid w:val="17FE7199"/>
    <w:rsid w:val="181541A7"/>
    <w:rsid w:val="18160E3D"/>
    <w:rsid w:val="18300BF7"/>
    <w:rsid w:val="18B0311A"/>
    <w:rsid w:val="18E4307E"/>
    <w:rsid w:val="18ED2FBF"/>
    <w:rsid w:val="197D20D1"/>
    <w:rsid w:val="1A155913"/>
    <w:rsid w:val="1A203864"/>
    <w:rsid w:val="1A745923"/>
    <w:rsid w:val="1B693FF4"/>
    <w:rsid w:val="1BB9587D"/>
    <w:rsid w:val="1C523CA3"/>
    <w:rsid w:val="1C70295B"/>
    <w:rsid w:val="1D2D6657"/>
    <w:rsid w:val="1D630360"/>
    <w:rsid w:val="1EE97244"/>
    <w:rsid w:val="1F10332B"/>
    <w:rsid w:val="1F6732E1"/>
    <w:rsid w:val="1F8B0821"/>
    <w:rsid w:val="1FE15D48"/>
    <w:rsid w:val="1FE16D92"/>
    <w:rsid w:val="1FE95324"/>
    <w:rsid w:val="1FEE74DC"/>
    <w:rsid w:val="201F0A47"/>
    <w:rsid w:val="209E0C69"/>
    <w:rsid w:val="20A0536E"/>
    <w:rsid w:val="2272671C"/>
    <w:rsid w:val="22752D03"/>
    <w:rsid w:val="230462B1"/>
    <w:rsid w:val="23172F69"/>
    <w:rsid w:val="23446AA7"/>
    <w:rsid w:val="2346553A"/>
    <w:rsid w:val="24001416"/>
    <w:rsid w:val="24291070"/>
    <w:rsid w:val="24692985"/>
    <w:rsid w:val="247B3D2D"/>
    <w:rsid w:val="24906580"/>
    <w:rsid w:val="24AF2344"/>
    <w:rsid w:val="250D1426"/>
    <w:rsid w:val="2558191F"/>
    <w:rsid w:val="26914024"/>
    <w:rsid w:val="275C7E83"/>
    <w:rsid w:val="27CD3E06"/>
    <w:rsid w:val="289851DC"/>
    <w:rsid w:val="29020848"/>
    <w:rsid w:val="291137F5"/>
    <w:rsid w:val="293E613B"/>
    <w:rsid w:val="29507463"/>
    <w:rsid w:val="295C7E38"/>
    <w:rsid w:val="29BE40DE"/>
    <w:rsid w:val="2A0A2F11"/>
    <w:rsid w:val="2A1D193D"/>
    <w:rsid w:val="2A6A147C"/>
    <w:rsid w:val="2A726F88"/>
    <w:rsid w:val="2ABF0A0D"/>
    <w:rsid w:val="2ABF3E72"/>
    <w:rsid w:val="2B1971F4"/>
    <w:rsid w:val="2B882DDB"/>
    <w:rsid w:val="2BC07D77"/>
    <w:rsid w:val="2C5F37C4"/>
    <w:rsid w:val="2C82266C"/>
    <w:rsid w:val="2CA771D0"/>
    <w:rsid w:val="2CCE5529"/>
    <w:rsid w:val="2D2A00B1"/>
    <w:rsid w:val="2E0119E3"/>
    <w:rsid w:val="2F2F5728"/>
    <w:rsid w:val="2F534C22"/>
    <w:rsid w:val="2FB65E9C"/>
    <w:rsid w:val="302E0324"/>
    <w:rsid w:val="307076E4"/>
    <w:rsid w:val="30966870"/>
    <w:rsid w:val="31722A0B"/>
    <w:rsid w:val="31965ABD"/>
    <w:rsid w:val="31C61227"/>
    <w:rsid w:val="31E71CE4"/>
    <w:rsid w:val="31F41229"/>
    <w:rsid w:val="323D2EFB"/>
    <w:rsid w:val="32B54909"/>
    <w:rsid w:val="32F83EEF"/>
    <w:rsid w:val="334718AA"/>
    <w:rsid w:val="337C63E2"/>
    <w:rsid w:val="3480562F"/>
    <w:rsid w:val="348A6927"/>
    <w:rsid w:val="35E90A70"/>
    <w:rsid w:val="36FB3A3E"/>
    <w:rsid w:val="37C412AA"/>
    <w:rsid w:val="37F56CFE"/>
    <w:rsid w:val="381B4AF5"/>
    <w:rsid w:val="386F1E14"/>
    <w:rsid w:val="39591D22"/>
    <w:rsid w:val="39E30ACA"/>
    <w:rsid w:val="39E339F7"/>
    <w:rsid w:val="39E62898"/>
    <w:rsid w:val="3AAC7F55"/>
    <w:rsid w:val="3ABC4736"/>
    <w:rsid w:val="3BB86550"/>
    <w:rsid w:val="3BDA26AB"/>
    <w:rsid w:val="3C203BBC"/>
    <w:rsid w:val="3C8F6671"/>
    <w:rsid w:val="3CC40E25"/>
    <w:rsid w:val="3D036170"/>
    <w:rsid w:val="3D4B0F3E"/>
    <w:rsid w:val="3D7C03C1"/>
    <w:rsid w:val="3DB15D74"/>
    <w:rsid w:val="3DC21A6B"/>
    <w:rsid w:val="3E6261AB"/>
    <w:rsid w:val="3E760FE8"/>
    <w:rsid w:val="3EB06B77"/>
    <w:rsid w:val="40154EB9"/>
    <w:rsid w:val="40B02598"/>
    <w:rsid w:val="40CF7A04"/>
    <w:rsid w:val="41160E87"/>
    <w:rsid w:val="416A1C29"/>
    <w:rsid w:val="41E03E9D"/>
    <w:rsid w:val="424307ED"/>
    <w:rsid w:val="42C419E1"/>
    <w:rsid w:val="437F30E1"/>
    <w:rsid w:val="43C46996"/>
    <w:rsid w:val="441C2606"/>
    <w:rsid w:val="45071FDE"/>
    <w:rsid w:val="451B6685"/>
    <w:rsid w:val="45A06674"/>
    <w:rsid w:val="45FA731C"/>
    <w:rsid w:val="469A2DDE"/>
    <w:rsid w:val="46AB764B"/>
    <w:rsid w:val="47454352"/>
    <w:rsid w:val="48730C31"/>
    <w:rsid w:val="49202E3E"/>
    <w:rsid w:val="4A5E1D93"/>
    <w:rsid w:val="4AD01703"/>
    <w:rsid w:val="4B326047"/>
    <w:rsid w:val="4B396357"/>
    <w:rsid w:val="4B8E50C5"/>
    <w:rsid w:val="4C0627AE"/>
    <w:rsid w:val="4CC0624F"/>
    <w:rsid w:val="4CF34D93"/>
    <w:rsid w:val="4E432F4E"/>
    <w:rsid w:val="4EE17BB1"/>
    <w:rsid w:val="4EE322D7"/>
    <w:rsid w:val="4F161963"/>
    <w:rsid w:val="4F2A5DC6"/>
    <w:rsid w:val="4F556F37"/>
    <w:rsid w:val="4F917582"/>
    <w:rsid w:val="503414DD"/>
    <w:rsid w:val="50826F95"/>
    <w:rsid w:val="51951BF2"/>
    <w:rsid w:val="51BC648A"/>
    <w:rsid w:val="529C12ED"/>
    <w:rsid w:val="52CC6868"/>
    <w:rsid w:val="532F23B4"/>
    <w:rsid w:val="53454559"/>
    <w:rsid w:val="5365230E"/>
    <w:rsid w:val="53E803A6"/>
    <w:rsid w:val="543A6931"/>
    <w:rsid w:val="54F962F3"/>
    <w:rsid w:val="551F1586"/>
    <w:rsid w:val="557D2B68"/>
    <w:rsid w:val="55B7012A"/>
    <w:rsid w:val="56C55F31"/>
    <w:rsid w:val="57E37D64"/>
    <w:rsid w:val="58520F6A"/>
    <w:rsid w:val="58975736"/>
    <w:rsid w:val="58FA78C7"/>
    <w:rsid w:val="58FF02AC"/>
    <w:rsid w:val="59524405"/>
    <w:rsid w:val="5977053B"/>
    <w:rsid w:val="59967482"/>
    <w:rsid w:val="59DF1B61"/>
    <w:rsid w:val="5B3348AC"/>
    <w:rsid w:val="5C1B66E5"/>
    <w:rsid w:val="5C4C3530"/>
    <w:rsid w:val="5CF02465"/>
    <w:rsid w:val="5D7002FD"/>
    <w:rsid w:val="5DFA4F8A"/>
    <w:rsid w:val="5EFF4AB0"/>
    <w:rsid w:val="5F765910"/>
    <w:rsid w:val="602546DE"/>
    <w:rsid w:val="602D6443"/>
    <w:rsid w:val="603409D4"/>
    <w:rsid w:val="611B0F24"/>
    <w:rsid w:val="61A8395F"/>
    <w:rsid w:val="61CE2F72"/>
    <w:rsid w:val="62537588"/>
    <w:rsid w:val="625825CC"/>
    <w:rsid w:val="630000FC"/>
    <w:rsid w:val="63C766E9"/>
    <w:rsid w:val="6497022B"/>
    <w:rsid w:val="65083CAD"/>
    <w:rsid w:val="6564693C"/>
    <w:rsid w:val="65763B40"/>
    <w:rsid w:val="65C4585B"/>
    <w:rsid w:val="65CC7931"/>
    <w:rsid w:val="66664C8F"/>
    <w:rsid w:val="66EA7200"/>
    <w:rsid w:val="67AF7989"/>
    <w:rsid w:val="67B76610"/>
    <w:rsid w:val="67FC7C8C"/>
    <w:rsid w:val="68760031"/>
    <w:rsid w:val="68F340AF"/>
    <w:rsid w:val="697F6DFD"/>
    <w:rsid w:val="69902B6B"/>
    <w:rsid w:val="69A21600"/>
    <w:rsid w:val="69E70C2B"/>
    <w:rsid w:val="6AC53BFC"/>
    <w:rsid w:val="6ADC4E36"/>
    <w:rsid w:val="6BE77122"/>
    <w:rsid w:val="6C4F062A"/>
    <w:rsid w:val="6C5F4EBE"/>
    <w:rsid w:val="6CDD1B53"/>
    <w:rsid w:val="6CF90CF0"/>
    <w:rsid w:val="6D136D3C"/>
    <w:rsid w:val="6D3D5F36"/>
    <w:rsid w:val="6D80459B"/>
    <w:rsid w:val="6D8B7F60"/>
    <w:rsid w:val="6E0D68B0"/>
    <w:rsid w:val="6EC57D19"/>
    <w:rsid w:val="6ED768FC"/>
    <w:rsid w:val="6F46511F"/>
    <w:rsid w:val="6FC24F69"/>
    <w:rsid w:val="70350A84"/>
    <w:rsid w:val="70547A9B"/>
    <w:rsid w:val="705B7791"/>
    <w:rsid w:val="70B57AA1"/>
    <w:rsid w:val="71A76383"/>
    <w:rsid w:val="71EA060B"/>
    <w:rsid w:val="724C17E3"/>
    <w:rsid w:val="726E6F4A"/>
    <w:rsid w:val="72E61EEA"/>
    <w:rsid w:val="739101E7"/>
    <w:rsid w:val="73FD1259"/>
    <w:rsid w:val="74206256"/>
    <w:rsid w:val="74880F24"/>
    <w:rsid w:val="7519643E"/>
    <w:rsid w:val="75C66263"/>
    <w:rsid w:val="76222E38"/>
    <w:rsid w:val="76637894"/>
    <w:rsid w:val="76E05490"/>
    <w:rsid w:val="779B449A"/>
    <w:rsid w:val="77B07B65"/>
    <w:rsid w:val="77E762A5"/>
    <w:rsid w:val="77F948B2"/>
    <w:rsid w:val="780517B1"/>
    <w:rsid w:val="78392245"/>
    <w:rsid w:val="785F0292"/>
    <w:rsid w:val="78633B3E"/>
    <w:rsid w:val="792A21D6"/>
    <w:rsid w:val="7930205C"/>
    <w:rsid w:val="79E011D5"/>
    <w:rsid w:val="7A164223"/>
    <w:rsid w:val="7AB96454"/>
    <w:rsid w:val="7B657DEF"/>
    <w:rsid w:val="7B6B7C58"/>
    <w:rsid w:val="7B747935"/>
    <w:rsid w:val="7BA77340"/>
    <w:rsid w:val="7BD434E7"/>
    <w:rsid w:val="7BF4741E"/>
    <w:rsid w:val="7C423754"/>
    <w:rsid w:val="7C8C31E0"/>
    <w:rsid w:val="7CBE0147"/>
    <w:rsid w:val="7CFD1736"/>
    <w:rsid w:val="7D19289A"/>
    <w:rsid w:val="7D387594"/>
    <w:rsid w:val="7D734152"/>
    <w:rsid w:val="7D935F6D"/>
    <w:rsid w:val="7E343703"/>
    <w:rsid w:val="7F342968"/>
    <w:rsid w:val="7F4E2095"/>
    <w:rsid w:val="7FE0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rFonts w:eastAsia="宋体"/>
      <w:sz w:val="32"/>
    </w:rPr>
  </w:style>
  <w:style w:type="paragraph" w:styleId="5">
    <w:name w:val="heading 4"/>
    <w:basedOn w:val="4"/>
    <w:next w:val="1"/>
    <w:unhideWhenUsed/>
    <w:qFormat/>
    <w:uiPriority w:val="9"/>
    <w:pPr>
      <w:numPr>
        <w:ilvl w:val="3"/>
      </w:numPr>
      <w:tabs>
        <w:tab w:val="left" w:pos="432"/>
        <w:tab w:val="left" w:pos="864"/>
        <w:tab w:val="left" w:pos="1290"/>
      </w:tabs>
      <w:spacing w:before="280" w:after="290" w:line="376" w:lineRule="auto"/>
      <w:outlineLvl w:val="3"/>
    </w:pPr>
    <w:rPr>
      <w:rFonts w:ascii="Arial" w:hAnsi="Arial" w:eastAsia="黑体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numPr>
        <w:ilvl w:val="4"/>
        <w:numId w:val="1"/>
      </w:numPr>
      <w:tabs>
        <w:tab w:val="left" w:pos="1008"/>
      </w:tabs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semiHidden/>
    <w:unhideWhenUsed/>
    <w:qFormat/>
    <w:uiPriority w:val="99"/>
  </w:style>
  <w:style w:type="paragraph" w:styleId="1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3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3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1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9">
    <w:name w:val="annotation subject"/>
    <w:basedOn w:val="11"/>
    <w:next w:val="11"/>
    <w:link w:val="34"/>
    <w:semiHidden/>
    <w:unhideWhenUsed/>
    <w:qFormat/>
    <w:uiPriority w:val="99"/>
    <w:rPr>
      <w:b/>
      <w:bCs/>
    </w:rPr>
  </w:style>
  <w:style w:type="character" w:styleId="22">
    <w:name w:val="FollowedHyperlink"/>
    <w:basedOn w:val="21"/>
    <w:semiHidden/>
    <w:unhideWhenUsed/>
    <w:qFormat/>
    <w:uiPriority w:val="99"/>
    <w:rPr>
      <w:color w:val="800080"/>
      <w:u w:val="single"/>
    </w:rPr>
  </w:style>
  <w:style w:type="character" w:styleId="23">
    <w:name w:val="Hyperlink"/>
    <w:basedOn w:val="21"/>
    <w:unhideWhenUsed/>
    <w:qFormat/>
    <w:uiPriority w:val="99"/>
    <w:rPr>
      <w:color w:val="0000FF"/>
      <w:u w:val="single"/>
    </w:rPr>
  </w:style>
  <w:style w:type="character" w:styleId="24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5">
    <w:name w:val="日期 字符"/>
    <w:basedOn w:val="21"/>
    <w:link w:val="13"/>
    <w:semiHidden/>
    <w:qFormat/>
    <w:uiPriority w:val="99"/>
    <w:rPr>
      <w:rFonts w:ascii="Tahoma" w:hAnsi="Tahoma" w:eastAsia="微软雅黑"/>
      <w:kern w:val="0"/>
      <w:sz w:val="22"/>
    </w:rPr>
  </w:style>
  <w:style w:type="character" w:customStyle="1" w:styleId="26">
    <w:name w:val="标题 1 字符"/>
    <w:basedOn w:val="21"/>
    <w:link w:val="2"/>
    <w:qFormat/>
    <w:uiPriority w:val="9"/>
    <w:rPr>
      <w:rFonts w:ascii="Tahoma" w:hAnsi="Tahoma" w:eastAsia="微软雅黑"/>
      <w:b/>
      <w:bCs/>
      <w:kern w:val="44"/>
      <w:sz w:val="44"/>
      <w:szCs w:val="44"/>
    </w:rPr>
  </w:style>
  <w:style w:type="character" w:customStyle="1" w:styleId="27">
    <w:name w:val="标题 2 字符"/>
    <w:basedOn w:val="21"/>
    <w:link w:val="3"/>
    <w:qFormat/>
    <w:uiPriority w:val="9"/>
    <w:rPr>
      <w:rFonts w:eastAsia="黑体" w:asciiTheme="majorHAnsi" w:hAnsiTheme="majorHAnsi" w:cstheme="majorBidi"/>
      <w:b/>
      <w:bCs/>
      <w:kern w:val="0"/>
      <w:sz w:val="32"/>
      <w:szCs w:val="32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apple-converted-space"/>
    <w:basedOn w:val="21"/>
    <w:qFormat/>
    <w:uiPriority w:val="0"/>
  </w:style>
  <w:style w:type="paragraph" w:customStyle="1" w:styleId="30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31">
    <w:name w:val="WPSOffice手动目录 2"/>
    <w:qFormat/>
    <w:uiPriority w:val="0"/>
    <w:pPr>
      <w:ind w:left="200" w:leftChars="200"/>
    </w:pPr>
    <w:rPr>
      <w:rFonts w:ascii="Calibri" w:hAnsi="Calibri" w:eastAsia="宋体" w:cs="Times New Roman"/>
      <w:lang w:val="en-US" w:eastAsia="zh-CN" w:bidi="ar-SA"/>
    </w:rPr>
  </w:style>
  <w:style w:type="paragraph" w:customStyle="1" w:styleId="32">
    <w:name w:val="WPSOffice手动目录 3"/>
    <w:qFormat/>
    <w:uiPriority w:val="0"/>
    <w:pPr>
      <w:ind w:left="400" w:leftChars="400"/>
    </w:pPr>
    <w:rPr>
      <w:rFonts w:ascii="Calibri" w:hAnsi="Calibri" w:eastAsia="宋体" w:cs="Times New Roman"/>
      <w:lang w:val="en-US" w:eastAsia="zh-CN" w:bidi="ar-SA"/>
    </w:rPr>
  </w:style>
  <w:style w:type="character" w:customStyle="1" w:styleId="33">
    <w:name w:val="批注文字 字符"/>
    <w:basedOn w:val="21"/>
    <w:link w:val="11"/>
    <w:semiHidden/>
    <w:qFormat/>
    <w:uiPriority w:val="99"/>
    <w:rPr>
      <w:rFonts w:ascii="Tahoma" w:hAnsi="Tahoma" w:eastAsia="微软雅黑" w:cstheme="minorBidi"/>
      <w:sz w:val="22"/>
      <w:szCs w:val="22"/>
    </w:rPr>
  </w:style>
  <w:style w:type="character" w:customStyle="1" w:styleId="34">
    <w:name w:val="批注主题 字符"/>
    <w:basedOn w:val="33"/>
    <w:link w:val="19"/>
    <w:semiHidden/>
    <w:qFormat/>
    <w:uiPriority w:val="99"/>
    <w:rPr>
      <w:rFonts w:ascii="Tahoma" w:hAnsi="Tahoma" w:eastAsia="微软雅黑" w:cstheme="minorBidi"/>
      <w:b/>
      <w:bCs/>
      <w:sz w:val="22"/>
      <w:szCs w:val="22"/>
    </w:rPr>
  </w:style>
  <w:style w:type="character" w:customStyle="1" w:styleId="35">
    <w:name w:val="批注框文本 字符"/>
    <w:basedOn w:val="21"/>
    <w:link w:val="14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3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7" Type="http://schemas.openxmlformats.org/officeDocument/2006/relationships/fontTable" Target="fontTable.xml"/><Relationship Id="rId46" Type="http://schemas.openxmlformats.org/officeDocument/2006/relationships/customXml" Target="../customXml/item2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F0547A-D008-4625-B0F7-C43EFE3C42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21</Pages>
  <Words>2071</Words>
  <Characters>2262</Characters>
  <Lines>14</Lines>
  <Paragraphs>4</Paragraphs>
  <TotalTime>0</TotalTime>
  <ScaleCrop>false</ScaleCrop>
  <LinksUpToDate>false</LinksUpToDate>
  <CharactersWithSpaces>2391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2017-04-10T09:48:00Z</dcterms:created>
  <dc:creator>User</dc:creator>
  <cp:lastModifiedBy>赖海远</cp:lastModifiedBy>
  <cp:lastPrinted>2020-05-28T02:43:00Z</cp:lastPrinted>
  <dcterms:modified xsi:type="dcterms:W3CDTF">2022-04-15T09:27:38Z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21FC369B94294DE1A785EF4FBD07A862</vt:lpwstr>
  </property>
</Properties>
</file>