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5B7BEC">
      <w:pPr>
        <w:jc w:val="center"/>
        <w:rPr>
          <w:rFonts w:ascii="黑体" w:eastAsia="黑体" w:cs="黑体"/>
          <w:b/>
          <w:sz w:val="48"/>
          <w:szCs w:val="48"/>
          <w:lang w:bidi="ar"/>
        </w:rPr>
      </w:pPr>
    </w:p>
    <w:p w14:paraId="53ADE97F">
      <w:pPr>
        <w:jc w:val="center"/>
        <w:rPr>
          <w:rFonts w:ascii="黑体" w:eastAsia="黑体" w:cs="黑体"/>
          <w:b/>
          <w:sz w:val="48"/>
          <w:szCs w:val="48"/>
        </w:rPr>
      </w:pPr>
      <w:r>
        <w:rPr>
          <w:rFonts w:hint="eastAsia" w:ascii="黑体" w:eastAsia="黑体" w:cs="黑体"/>
          <w:b/>
          <w:sz w:val="48"/>
          <w:szCs w:val="48"/>
          <w:lang w:bidi="ar"/>
        </w:rPr>
        <w:t>云浮市公共资源交易信息化平台</w:t>
      </w:r>
    </w:p>
    <w:p w14:paraId="51E38208">
      <w:pPr>
        <w:jc w:val="center"/>
        <w:rPr>
          <w:rFonts w:ascii="黑体" w:eastAsia="黑体" w:cs="黑体"/>
          <w:b/>
          <w:sz w:val="48"/>
          <w:szCs w:val="48"/>
        </w:rPr>
      </w:pPr>
      <w:r>
        <w:rPr>
          <w:rFonts w:hint="eastAsia" w:ascii="黑体" w:eastAsia="黑体" w:cs="黑体"/>
          <w:b/>
          <w:sz w:val="48"/>
          <w:szCs w:val="48"/>
          <w:lang w:bidi="ar"/>
        </w:rPr>
        <w:t>一期升级改造项目</w:t>
      </w:r>
    </w:p>
    <w:p w14:paraId="20003F08">
      <w:pPr>
        <w:jc w:val="center"/>
        <w:rPr>
          <w:rFonts w:ascii="黑体" w:eastAsia="黑体"/>
          <w:b/>
          <w:sz w:val="48"/>
          <w:szCs w:val="48"/>
        </w:rPr>
      </w:pPr>
    </w:p>
    <w:p w14:paraId="447ECC61">
      <w:pPr>
        <w:jc w:val="center"/>
        <w:rPr>
          <w:rFonts w:ascii="黑体" w:eastAsia="黑体"/>
          <w:b/>
          <w:sz w:val="48"/>
          <w:szCs w:val="48"/>
        </w:rPr>
      </w:pPr>
      <w:r>
        <w:rPr>
          <w:rFonts w:hint="eastAsia" w:ascii="黑体" w:eastAsia="黑体"/>
          <w:b/>
          <w:sz w:val="48"/>
          <w:szCs w:val="48"/>
        </w:rPr>
        <w:t>土地出让交易</w:t>
      </w:r>
    </w:p>
    <w:p w14:paraId="4F73811A">
      <w:pPr>
        <w:widowControl/>
        <w:adjustRightInd w:val="0"/>
        <w:snapToGrid w:val="0"/>
        <w:spacing w:after="200"/>
        <w:jc w:val="center"/>
        <w:rPr>
          <w:rFonts w:ascii="黑体" w:hAnsi="Tahoma" w:eastAsia="黑体" w:cs="Times New Roman"/>
          <w:b/>
          <w:kern w:val="0"/>
          <w:sz w:val="48"/>
          <w:szCs w:val="48"/>
        </w:rPr>
      </w:pPr>
      <w:r>
        <w:rPr>
          <w:rFonts w:hint="eastAsia" w:ascii="黑体" w:hAnsi="Tahoma" w:eastAsia="黑体" w:cs="Times New Roman"/>
          <w:b/>
          <w:kern w:val="0"/>
          <w:sz w:val="48"/>
          <w:szCs w:val="48"/>
        </w:rPr>
        <w:t>（竞买人）</w:t>
      </w:r>
    </w:p>
    <w:p w14:paraId="1D2C9073">
      <w:pPr>
        <w:widowControl/>
        <w:adjustRightInd w:val="0"/>
        <w:snapToGrid w:val="0"/>
        <w:spacing w:before="1440" w:after="200"/>
        <w:jc w:val="center"/>
        <w:rPr>
          <w:rFonts w:ascii="黑体" w:hAnsi="宋体" w:eastAsia="黑体" w:cs="Times New Roman"/>
          <w:b/>
          <w:kern w:val="0"/>
          <w:sz w:val="52"/>
          <w:szCs w:val="52"/>
        </w:rPr>
      </w:pPr>
      <w:r>
        <w:rPr>
          <w:rFonts w:hint="eastAsia" w:ascii="黑体" w:hAnsi="宋体" w:eastAsia="黑体" w:cs="Times New Roman"/>
          <w:b/>
          <w:kern w:val="0"/>
          <w:sz w:val="52"/>
          <w:szCs w:val="52"/>
        </w:rPr>
        <w:t>用</w:t>
      </w:r>
    </w:p>
    <w:p w14:paraId="51AE42A0">
      <w:pPr>
        <w:widowControl/>
        <w:adjustRightInd w:val="0"/>
        <w:snapToGrid w:val="0"/>
        <w:spacing w:before="360" w:after="312" w:afterLines="100"/>
        <w:jc w:val="center"/>
        <w:rPr>
          <w:rFonts w:ascii="黑体" w:hAnsi="宋体" w:eastAsia="黑体" w:cs="Times New Roman"/>
          <w:b/>
          <w:kern w:val="0"/>
          <w:sz w:val="52"/>
          <w:szCs w:val="52"/>
        </w:rPr>
      </w:pPr>
      <w:r>
        <w:rPr>
          <w:rFonts w:hint="eastAsia" w:ascii="黑体" w:hAnsi="宋体" w:eastAsia="黑体" w:cs="Times New Roman"/>
          <w:b/>
          <w:kern w:val="0"/>
          <w:sz w:val="52"/>
          <w:szCs w:val="52"/>
        </w:rPr>
        <w:t>户</w:t>
      </w:r>
    </w:p>
    <w:p w14:paraId="253ECC78">
      <w:pPr>
        <w:widowControl/>
        <w:adjustRightInd w:val="0"/>
        <w:snapToGrid w:val="0"/>
        <w:spacing w:before="360" w:after="312" w:afterLines="100"/>
        <w:jc w:val="center"/>
        <w:rPr>
          <w:rFonts w:ascii="黑体" w:hAnsi="宋体" w:eastAsia="黑体" w:cs="Times New Roman"/>
          <w:b/>
          <w:kern w:val="0"/>
          <w:sz w:val="52"/>
          <w:szCs w:val="52"/>
        </w:rPr>
      </w:pPr>
      <w:r>
        <w:rPr>
          <w:rFonts w:hint="eastAsia" w:ascii="黑体" w:hAnsi="宋体" w:eastAsia="黑体" w:cs="Times New Roman"/>
          <w:b/>
          <w:kern w:val="0"/>
          <w:sz w:val="52"/>
          <w:szCs w:val="52"/>
        </w:rPr>
        <w:t>手</w:t>
      </w:r>
    </w:p>
    <w:p w14:paraId="7536D0FC">
      <w:pPr>
        <w:widowControl/>
        <w:adjustRightInd w:val="0"/>
        <w:snapToGrid w:val="0"/>
        <w:spacing w:before="360" w:after="312" w:afterLines="100"/>
        <w:jc w:val="center"/>
        <w:rPr>
          <w:rFonts w:ascii="黑体" w:hAnsi="宋体" w:eastAsia="黑体" w:cs="Times New Roman"/>
          <w:b/>
          <w:kern w:val="0"/>
          <w:sz w:val="52"/>
          <w:szCs w:val="52"/>
        </w:rPr>
      </w:pPr>
      <w:r>
        <w:rPr>
          <w:rFonts w:hint="eastAsia" w:ascii="黑体" w:hAnsi="宋体" w:eastAsia="黑体" w:cs="Times New Roman"/>
          <w:b/>
          <w:kern w:val="0"/>
          <w:sz w:val="52"/>
          <w:szCs w:val="52"/>
        </w:rPr>
        <w:t>册</w:t>
      </w:r>
    </w:p>
    <w:p w14:paraId="52FC58FE">
      <w:pPr>
        <w:widowControl/>
        <w:adjustRightInd w:val="0"/>
        <w:snapToGrid w:val="0"/>
        <w:spacing w:after="200"/>
        <w:jc w:val="left"/>
        <w:rPr>
          <w:rFonts w:ascii="黑体" w:hAnsi="宋体" w:eastAsia="黑体" w:cs="Times New Roman"/>
          <w:b/>
          <w:kern w:val="0"/>
          <w:sz w:val="24"/>
        </w:rPr>
      </w:pPr>
    </w:p>
    <w:p w14:paraId="35EEF572">
      <w:pPr>
        <w:widowControl/>
        <w:adjustRightInd w:val="0"/>
        <w:snapToGrid w:val="0"/>
        <w:spacing w:after="200"/>
        <w:jc w:val="left"/>
        <w:rPr>
          <w:rFonts w:ascii="黑体" w:hAnsi="宋体" w:eastAsia="黑体" w:cs="Times New Roman"/>
          <w:b/>
          <w:kern w:val="0"/>
          <w:sz w:val="24"/>
        </w:rPr>
      </w:pPr>
    </w:p>
    <w:p w14:paraId="2B4AE2D8">
      <w:pPr>
        <w:widowControl/>
        <w:adjustRightInd w:val="0"/>
        <w:snapToGrid w:val="0"/>
        <w:spacing w:after="200"/>
        <w:jc w:val="left"/>
        <w:rPr>
          <w:rFonts w:ascii="黑体" w:hAnsi="宋体" w:eastAsia="黑体" w:cs="Times New Roman"/>
          <w:b/>
          <w:kern w:val="0"/>
          <w:sz w:val="24"/>
        </w:rPr>
      </w:pPr>
      <w:bookmarkStart w:id="15" w:name="_GoBack"/>
      <w:bookmarkEnd w:id="15"/>
    </w:p>
    <w:p w14:paraId="72ED366F">
      <w:pPr>
        <w:widowControl/>
        <w:adjustRightInd w:val="0"/>
        <w:snapToGrid w:val="0"/>
        <w:spacing w:after="200"/>
        <w:jc w:val="left"/>
        <w:rPr>
          <w:rFonts w:ascii="黑体" w:hAnsi="宋体" w:eastAsia="黑体" w:cs="Times New Roman"/>
          <w:b/>
          <w:kern w:val="0"/>
          <w:sz w:val="24"/>
        </w:rPr>
      </w:pPr>
    </w:p>
    <w:p w14:paraId="114E227C">
      <w:pPr>
        <w:widowControl/>
        <w:adjustRightInd w:val="0"/>
        <w:snapToGrid w:val="0"/>
        <w:spacing w:after="200"/>
        <w:jc w:val="center"/>
        <w:rPr>
          <w:rFonts w:ascii="Tahoma" w:hAnsi="Tahoma" w:eastAsia="黑体" w:cs="Times New Roman"/>
          <w:b/>
          <w:bCs/>
          <w:kern w:val="0"/>
          <w:sz w:val="28"/>
        </w:rPr>
      </w:pPr>
    </w:p>
    <w:p w14:paraId="7D8DA0B9">
      <w:pPr>
        <w:widowControl/>
        <w:adjustRightInd w:val="0"/>
        <w:snapToGrid w:val="0"/>
        <w:spacing w:after="200"/>
        <w:jc w:val="center"/>
        <w:rPr>
          <w:rFonts w:ascii="Tahoma" w:hAnsi="Tahoma" w:eastAsia="黑体" w:cs="Times New Roman"/>
          <w:b/>
          <w:bCs/>
          <w:kern w:val="0"/>
          <w:sz w:val="28"/>
        </w:rPr>
      </w:pPr>
      <w:r>
        <w:rPr>
          <w:rFonts w:hint="eastAsia" w:ascii="Tahoma" w:hAnsi="Tahoma" w:eastAsia="黑体" w:cs="Times New Roman"/>
          <w:b/>
          <w:bCs/>
          <w:kern w:val="0"/>
          <w:sz w:val="28"/>
        </w:rPr>
        <w:t>广州市中智软件开发有限公司 开发</w:t>
      </w:r>
    </w:p>
    <w:p w14:paraId="3D5BC375">
      <w:pPr>
        <w:widowControl/>
        <w:adjustRightInd w:val="0"/>
        <w:snapToGrid w:val="0"/>
        <w:spacing w:after="200"/>
        <w:jc w:val="center"/>
        <w:rPr>
          <w:rFonts w:ascii="Tahoma" w:hAnsi="Tahoma" w:eastAsia="黑体" w:cs="Times New Roman"/>
          <w:b/>
          <w:bCs/>
          <w:kern w:val="0"/>
          <w:sz w:val="28"/>
        </w:rPr>
        <w:sectPr>
          <w:pgSz w:w="11906" w:h="16838"/>
          <w:pgMar w:top="1440" w:right="1800" w:bottom="1440" w:left="1800" w:header="851" w:footer="992" w:gutter="0"/>
          <w:cols w:space="425" w:num="1"/>
          <w:docGrid w:type="lines" w:linePitch="312" w:charSpace="0"/>
        </w:sectPr>
      </w:pPr>
      <w:r>
        <w:rPr>
          <w:rFonts w:hint="eastAsia" w:ascii="Tahoma" w:hAnsi="Tahoma" w:eastAsia="黑体" w:cs="Times New Roman"/>
          <w:b/>
          <w:bCs/>
          <w:kern w:val="0"/>
          <w:sz w:val="28"/>
        </w:rPr>
        <w:t>202</w:t>
      </w:r>
      <w:r>
        <w:rPr>
          <w:rFonts w:ascii="Tahoma" w:hAnsi="Tahoma" w:eastAsia="黑体" w:cs="Times New Roman"/>
          <w:b/>
          <w:bCs/>
          <w:kern w:val="0"/>
          <w:sz w:val="28"/>
        </w:rPr>
        <w:t>6</w:t>
      </w:r>
      <w:r>
        <w:rPr>
          <w:rFonts w:hint="eastAsia" w:ascii="Tahoma" w:hAnsi="Tahoma" w:eastAsia="黑体" w:cs="Times New Roman"/>
          <w:b/>
          <w:bCs/>
          <w:kern w:val="0"/>
          <w:sz w:val="28"/>
        </w:rPr>
        <w:t>年</w:t>
      </w:r>
      <w:r>
        <w:rPr>
          <w:rFonts w:hint="eastAsia" w:ascii="Tahoma" w:hAnsi="Tahoma" w:eastAsia="黑体" w:cs="Times New Roman"/>
          <w:b/>
          <w:bCs/>
          <w:kern w:val="0"/>
          <w:sz w:val="28"/>
          <w:lang w:val="en-US" w:eastAsia="zh-CN"/>
        </w:rPr>
        <w:t>3</w:t>
      </w:r>
      <w:r>
        <w:rPr>
          <w:rFonts w:hint="eastAsia" w:ascii="Tahoma" w:hAnsi="Tahoma" w:eastAsia="黑体" w:cs="Times New Roman"/>
          <w:b/>
          <w:bCs/>
          <w:kern w:val="0"/>
          <w:sz w:val="28"/>
        </w:rPr>
        <w:t>月</w:t>
      </w:r>
    </w:p>
    <w:sdt>
      <w:sdtPr>
        <w:rPr>
          <w:rFonts w:asciiTheme="minorHAnsi" w:hAnsiTheme="minorHAnsi" w:eastAsiaTheme="minorEastAsia" w:cstheme="minorBidi"/>
          <w:color w:val="auto"/>
          <w:kern w:val="2"/>
          <w:sz w:val="21"/>
          <w:szCs w:val="22"/>
          <w:lang w:val="zh-CN"/>
        </w:rPr>
        <w:id w:val="1636069038"/>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046628DD">
          <w:pPr>
            <w:pStyle w:val="19"/>
            <w:jc w:val="center"/>
          </w:pPr>
          <w:r>
            <w:rPr>
              <w:lang w:val="zh-CN"/>
            </w:rPr>
            <w:t>目录</w:t>
          </w:r>
        </w:p>
        <w:p w14:paraId="127A5C23">
          <w:pPr>
            <w:pStyle w:val="8"/>
            <w:tabs>
              <w:tab w:val="left" w:pos="440"/>
              <w:tab w:val="right" w:leader="dot" w:pos="8296"/>
            </w:tabs>
            <w:rPr>
              <w:rFonts w:cstheme="minorBidi"/>
              <w:kern w:val="2"/>
              <w:sz w:val="21"/>
              <w14:ligatures w14:val="standardContextual"/>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"_Toc223963336" </w:instrText>
          </w:r>
          <w:r>
            <w:fldChar w:fldCharType="separate"/>
          </w:r>
          <w:r>
            <w:rPr>
              <w:rStyle w:val="12"/>
              <w:rFonts w:ascii="宋体" w:hAnsi="宋体" w:eastAsia="宋体"/>
            </w:rPr>
            <w:t>1.</w:t>
          </w:r>
          <w:r>
            <w:rPr>
              <w:rFonts w:cstheme="minorBidi"/>
              <w:kern w:val="2"/>
              <w:sz w:val="21"/>
              <w14:ligatures w14:val="standardContextual"/>
            </w:rPr>
            <w:tab/>
          </w:r>
          <w:r>
            <w:rPr>
              <w:rStyle w:val="12"/>
              <w:rFonts w:ascii="宋体" w:hAnsi="宋体" w:eastAsia="宋体"/>
            </w:rPr>
            <w:t>登录</w:t>
          </w:r>
          <w:r>
            <w:tab/>
          </w:r>
          <w:r>
            <w:fldChar w:fldCharType="begin"/>
          </w:r>
          <w:r>
            <w:instrText xml:space="preserve"> PAGEREF _Toc223963336 \h </w:instrText>
          </w:r>
          <w:r>
            <w:fldChar w:fldCharType="separate"/>
          </w:r>
          <w:r>
            <w:t>3</w:t>
          </w:r>
          <w:r>
            <w:fldChar w:fldCharType="end"/>
          </w:r>
          <w:r>
            <w:fldChar w:fldCharType="end"/>
          </w:r>
        </w:p>
        <w:p w14:paraId="7B2D6442">
          <w:pPr>
            <w:pStyle w:val="8"/>
            <w:tabs>
              <w:tab w:val="left" w:pos="440"/>
              <w:tab w:val="right" w:leader="dot" w:pos="8296"/>
            </w:tabs>
            <w:rPr>
              <w:rFonts w:cstheme="minorBidi"/>
              <w:kern w:val="2"/>
              <w:sz w:val="21"/>
              <w14:ligatures w14:val="standardContextual"/>
            </w:rPr>
          </w:pPr>
          <w:r>
            <w:fldChar w:fldCharType="begin"/>
          </w:r>
          <w:r>
            <w:instrText xml:space="preserve"> HYPERLINK \l "_Toc223963337" </w:instrText>
          </w:r>
          <w:r>
            <w:fldChar w:fldCharType="separate"/>
          </w:r>
          <w:r>
            <w:rPr>
              <w:rStyle w:val="12"/>
              <w:rFonts w:ascii="宋体" w:hAnsi="宋体" w:eastAsia="宋体"/>
            </w:rPr>
            <w:t>2.</w:t>
          </w:r>
          <w:r>
            <w:rPr>
              <w:rFonts w:cstheme="minorBidi"/>
              <w:kern w:val="2"/>
              <w:sz w:val="21"/>
              <w14:ligatures w14:val="standardContextual"/>
            </w:rPr>
            <w:tab/>
          </w:r>
          <w:r>
            <w:rPr>
              <w:rStyle w:val="12"/>
              <w:rFonts w:ascii="宋体" w:hAnsi="宋体" w:eastAsia="宋体"/>
            </w:rPr>
            <w:t>业务流程</w:t>
          </w:r>
          <w:r>
            <w:tab/>
          </w:r>
          <w:r>
            <w:fldChar w:fldCharType="begin"/>
          </w:r>
          <w:r>
            <w:instrText xml:space="preserve"> PAGEREF _Toc223963337 \h </w:instrText>
          </w:r>
          <w:r>
            <w:fldChar w:fldCharType="separate"/>
          </w:r>
          <w:r>
            <w:t>4</w:t>
          </w:r>
          <w:r>
            <w:fldChar w:fldCharType="end"/>
          </w:r>
          <w:r>
            <w:fldChar w:fldCharType="end"/>
          </w:r>
        </w:p>
        <w:p w14:paraId="176C2500">
          <w:pPr>
            <w:pStyle w:val="9"/>
            <w:tabs>
              <w:tab w:val="right" w:leader="dot" w:pos="8296"/>
            </w:tabs>
            <w:rPr>
              <w:rFonts w:cstheme="minorBidi"/>
              <w:kern w:val="2"/>
              <w:sz w:val="21"/>
              <w14:ligatures w14:val="standardContextual"/>
            </w:rPr>
          </w:pPr>
          <w:r>
            <w:fldChar w:fldCharType="begin"/>
          </w:r>
          <w:r>
            <w:instrText xml:space="preserve"> HYPERLINK \l "_Toc223963338" </w:instrText>
          </w:r>
          <w:r>
            <w:fldChar w:fldCharType="separate"/>
          </w:r>
          <w:r>
            <w:rPr>
              <w:rStyle w:val="12"/>
              <w:rFonts w:eastAsia="黑体"/>
            </w:rPr>
            <w:t>2.1 竞买人报名</w:t>
          </w:r>
          <w:r>
            <w:tab/>
          </w:r>
          <w:r>
            <w:fldChar w:fldCharType="begin"/>
          </w:r>
          <w:r>
            <w:instrText xml:space="preserve"> PAGEREF _Toc223963338 \h </w:instrText>
          </w:r>
          <w:r>
            <w:fldChar w:fldCharType="separate"/>
          </w:r>
          <w:r>
            <w:t>4</w:t>
          </w:r>
          <w:r>
            <w:fldChar w:fldCharType="end"/>
          </w:r>
          <w:r>
            <w:fldChar w:fldCharType="end"/>
          </w:r>
        </w:p>
        <w:p w14:paraId="2AD42F91">
          <w:pPr>
            <w:pStyle w:val="5"/>
            <w:tabs>
              <w:tab w:val="right" w:leader="dot" w:pos="8296"/>
            </w:tabs>
            <w:rPr>
              <w:rFonts w:cstheme="minorBidi"/>
              <w:kern w:val="2"/>
              <w:sz w:val="21"/>
              <w14:ligatures w14:val="standardContextual"/>
            </w:rPr>
          </w:pPr>
          <w:r>
            <w:fldChar w:fldCharType="begin"/>
          </w:r>
          <w:r>
            <w:instrText xml:space="preserve"> HYPERLINK \l "_Toc223963339" </w:instrText>
          </w:r>
          <w:r>
            <w:fldChar w:fldCharType="separate"/>
          </w:r>
          <w:r>
            <w:rPr>
              <w:rStyle w:val="12"/>
              <w:rFonts w:ascii="Tahoma" w:hAnsi="Tahoma" w:eastAsia="宋体"/>
            </w:rPr>
            <w:t>2.1.1 竞投报名</w:t>
          </w:r>
          <w:r>
            <w:tab/>
          </w:r>
          <w:r>
            <w:fldChar w:fldCharType="begin"/>
          </w:r>
          <w:r>
            <w:instrText xml:space="preserve"> PAGEREF _Toc223963339 \h </w:instrText>
          </w:r>
          <w:r>
            <w:fldChar w:fldCharType="separate"/>
          </w:r>
          <w:r>
            <w:t>4</w:t>
          </w:r>
          <w:r>
            <w:fldChar w:fldCharType="end"/>
          </w:r>
          <w:r>
            <w:fldChar w:fldCharType="end"/>
          </w:r>
        </w:p>
        <w:p w14:paraId="29319ADB">
          <w:pPr>
            <w:pStyle w:val="5"/>
            <w:tabs>
              <w:tab w:val="right" w:leader="dot" w:pos="8296"/>
            </w:tabs>
            <w:rPr>
              <w:rFonts w:cstheme="minorBidi"/>
              <w:kern w:val="2"/>
              <w:sz w:val="21"/>
              <w14:ligatures w14:val="standardContextual"/>
            </w:rPr>
          </w:pPr>
          <w:r>
            <w:fldChar w:fldCharType="begin"/>
          </w:r>
          <w:r>
            <w:instrText xml:space="preserve"> HYPERLINK \l "_Toc223963340" </w:instrText>
          </w:r>
          <w:r>
            <w:fldChar w:fldCharType="separate"/>
          </w:r>
          <w:r>
            <w:rPr>
              <w:rStyle w:val="12"/>
              <w:rFonts w:ascii="Tahoma" w:hAnsi="Tahoma" w:eastAsia="宋体"/>
            </w:rPr>
            <w:t>2.1.2 报名查询</w:t>
          </w:r>
          <w:r>
            <w:tab/>
          </w:r>
          <w:r>
            <w:fldChar w:fldCharType="begin"/>
          </w:r>
          <w:r>
            <w:instrText xml:space="preserve"> PAGEREF _Toc223963340 \h </w:instrText>
          </w:r>
          <w:r>
            <w:fldChar w:fldCharType="separate"/>
          </w:r>
          <w:r>
            <w:t>8</w:t>
          </w:r>
          <w:r>
            <w:fldChar w:fldCharType="end"/>
          </w:r>
          <w:r>
            <w:fldChar w:fldCharType="end"/>
          </w:r>
        </w:p>
        <w:p w14:paraId="6F0E7A7A">
          <w:pPr>
            <w:pStyle w:val="9"/>
            <w:tabs>
              <w:tab w:val="right" w:leader="dot" w:pos="8296"/>
            </w:tabs>
            <w:rPr>
              <w:rFonts w:cstheme="minorBidi"/>
              <w:kern w:val="2"/>
              <w:sz w:val="21"/>
              <w14:ligatures w14:val="standardContextual"/>
            </w:rPr>
          </w:pPr>
          <w:r>
            <w:fldChar w:fldCharType="begin"/>
          </w:r>
          <w:r>
            <w:instrText xml:space="preserve"> HYPERLINK \l "_Toc223963341" </w:instrText>
          </w:r>
          <w:r>
            <w:fldChar w:fldCharType="separate"/>
          </w:r>
          <w:r>
            <w:rPr>
              <w:rStyle w:val="12"/>
              <w:rFonts w:ascii="宋体" w:hAnsi="宋体" w:eastAsia="宋体"/>
            </w:rPr>
            <w:t>2.2 缴纳保证金</w:t>
          </w:r>
          <w:r>
            <w:tab/>
          </w:r>
          <w:r>
            <w:fldChar w:fldCharType="begin"/>
          </w:r>
          <w:r>
            <w:instrText xml:space="preserve"> PAGEREF _Toc223963341 \h </w:instrText>
          </w:r>
          <w:r>
            <w:fldChar w:fldCharType="separate"/>
          </w:r>
          <w:r>
            <w:t>9</w:t>
          </w:r>
          <w:r>
            <w:fldChar w:fldCharType="end"/>
          </w:r>
          <w:r>
            <w:fldChar w:fldCharType="end"/>
          </w:r>
        </w:p>
        <w:p w14:paraId="197D9FFF">
          <w:pPr>
            <w:pStyle w:val="9"/>
            <w:tabs>
              <w:tab w:val="right" w:leader="dot" w:pos="8296"/>
            </w:tabs>
            <w:rPr>
              <w:rFonts w:cstheme="minorBidi"/>
              <w:kern w:val="2"/>
              <w:sz w:val="21"/>
              <w14:ligatures w14:val="standardContextual"/>
            </w:rPr>
          </w:pPr>
          <w:r>
            <w:fldChar w:fldCharType="begin"/>
          </w:r>
          <w:r>
            <w:instrText xml:space="preserve"> HYPERLINK \l "_Toc223963342" </w:instrText>
          </w:r>
          <w:r>
            <w:fldChar w:fldCharType="separate"/>
          </w:r>
          <w:r>
            <w:rPr>
              <w:rStyle w:val="12"/>
              <w:rFonts w:ascii="宋体" w:hAnsi="宋体" w:eastAsia="宋体"/>
            </w:rPr>
            <w:t>2.3 交易竞价</w:t>
          </w:r>
          <w:r>
            <w:tab/>
          </w:r>
          <w:r>
            <w:fldChar w:fldCharType="begin"/>
          </w:r>
          <w:r>
            <w:instrText xml:space="preserve"> PAGEREF _Toc223963342 \h </w:instrText>
          </w:r>
          <w:r>
            <w:fldChar w:fldCharType="separate"/>
          </w:r>
          <w:r>
            <w:t>12</w:t>
          </w:r>
          <w:r>
            <w:fldChar w:fldCharType="end"/>
          </w:r>
          <w:r>
            <w:fldChar w:fldCharType="end"/>
          </w:r>
        </w:p>
        <w:p w14:paraId="036FAEEA">
          <w:pPr>
            <w:pStyle w:val="9"/>
            <w:tabs>
              <w:tab w:val="right" w:leader="dot" w:pos="8296"/>
            </w:tabs>
            <w:rPr>
              <w:rFonts w:cstheme="minorBidi"/>
              <w:kern w:val="2"/>
              <w:sz w:val="21"/>
              <w14:ligatures w14:val="standardContextual"/>
            </w:rPr>
          </w:pPr>
          <w:r>
            <w:fldChar w:fldCharType="begin"/>
          </w:r>
          <w:r>
            <w:instrText xml:space="preserve"> HYPERLINK \l "_Toc223963343" </w:instrText>
          </w:r>
          <w:r>
            <w:fldChar w:fldCharType="separate"/>
          </w:r>
          <w:r>
            <w:rPr>
              <w:rStyle w:val="12"/>
              <w:rFonts w:ascii="宋体" w:hAnsi="宋体" w:eastAsia="宋体"/>
            </w:rPr>
            <w:t>2.4 查看成交通知书</w:t>
          </w:r>
          <w:r>
            <w:tab/>
          </w:r>
          <w:r>
            <w:fldChar w:fldCharType="begin"/>
          </w:r>
          <w:r>
            <w:instrText xml:space="preserve"> PAGEREF _Toc223963343 \h </w:instrText>
          </w:r>
          <w:r>
            <w:fldChar w:fldCharType="separate"/>
          </w:r>
          <w:r>
            <w:t>15</w:t>
          </w:r>
          <w:r>
            <w:fldChar w:fldCharType="end"/>
          </w:r>
          <w:r>
            <w:fldChar w:fldCharType="end"/>
          </w:r>
        </w:p>
        <w:p w14:paraId="6E96001A">
          <w:pPr>
            <w:pStyle w:val="9"/>
            <w:tabs>
              <w:tab w:val="right" w:leader="dot" w:pos="8296"/>
            </w:tabs>
            <w:rPr>
              <w:rFonts w:cstheme="minorBidi"/>
              <w:kern w:val="2"/>
              <w:sz w:val="21"/>
              <w14:ligatures w14:val="standardContextual"/>
            </w:rPr>
          </w:pPr>
          <w:r>
            <w:fldChar w:fldCharType="begin"/>
          </w:r>
          <w:r>
            <w:instrText xml:space="preserve"> HYPERLINK \l "_Toc223963344" </w:instrText>
          </w:r>
          <w:r>
            <w:fldChar w:fldCharType="separate"/>
          </w:r>
          <w:r>
            <w:rPr>
              <w:rStyle w:val="12"/>
              <w:rFonts w:ascii="宋体" w:hAnsi="宋体" w:eastAsia="宋体"/>
            </w:rPr>
            <w:t>2.5 提交资格材料</w:t>
          </w:r>
          <w:r>
            <w:tab/>
          </w:r>
          <w:r>
            <w:fldChar w:fldCharType="begin"/>
          </w:r>
          <w:r>
            <w:instrText xml:space="preserve"> PAGEREF _Toc223963344 \h </w:instrText>
          </w:r>
          <w:r>
            <w:fldChar w:fldCharType="separate"/>
          </w:r>
          <w:r>
            <w:t>17</w:t>
          </w:r>
          <w:r>
            <w:fldChar w:fldCharType="end"/>
          </w:r>
          <w:r>
            <w:fldChar w:fldCharType="end"/>
          </w:r>
        </w:p>
        <w:p w14:paraId="0B8ECF06">
          <w:pPr>
            <w:pStyle w:val="9"/>
            <w:tabs>
              <w:tab w:val="right" w:leader="dot" w:pos="8296"/>
            </w:tabs>
            <w:rPr>
              <w:rFonts w:cstheme="minorBidi"/>
              <w:kern w:val="2"/>
              <w:sz w:val="21"/>
              <w14:ligatures w14:val="standardContextual"/>
            </w:rPr>
          </w:pPr>
          <w:r>
            <w:fldChar w:fldCharType="begin"/>
          </w:r>
          <w:r>
            <w:instrText xml:space="preserve"> HYPERLINK \l "_Toc223963345" </w:instrText>
          </w:r>
          <w:r>
            <w:fldChar w:fldCharType="separate"/>
          </w:r>
          <w:r>
            <w:rPr>
              <w:rStyle w:val="12"/>
              <w:rFonts w:ascii="宋体" w:hAnsi="宋体" w:eastAsia="宋体"/>
            </w:rPr>
            <w:t>2.6 成交确认书签订</w:t>
          </w:r>
          <w:r>
            <w:tab/>
          </w:r>
          <w:r>
            <w:fldChar w:fldCharType="begin"/>
          </w:r>
          <w:r>
            <w:instrText xml:space="preserve"> PAGEREF _Toc223963345 \h </w:instrText>
          </w:r>
          <w:r>
            <w:fldChar w:fldCharType="separate"/>
          </w:r>
          <w:r>
            <w:t>19</w:t>
          </w:r>
          <w:r>
            <w:fldChar w:fldCharType="end"/>
          </w:r>
          <w:r>
            <w:fldChar w:fldCharType="end"/>
          </w:r>
        </w:p>
        <w:p w14:paraId="00A8CA1D">
          <w:pPr>
            <w:pStyle w:val="9"/>
            <w:tabs>
              <w:tab w:val="right" w:leader="dot" w:pos="8296"/>
            </w:tabs>
            <w:rPr>
              <w:rFonts w:cstheme="minorBidi"/>
              <w:kern w:val="2"/>
              <w:sz w:val="21"/>
              <w14:ligatures w14:val="standardContextual"/>
            </w:rPr>
          </w:pPr>
          <w:r>
            <w:fldChar w:fldCharType="begin"/>
          </w:r>
          <w:r>
            <w:instrText xml:space="preserve"> HYPERLINK \l "_Toc223963346" </w:instrText>
          </w:r>
          <w:r>
            <w:fldChar w:fldCharType="separate"/>
          </w:r>
          <w:r>
            <w:rPr>
              <w:rStyle w:val="12"/>
              <w:rFonts w:ascii="宋体" w:hAnsi="宋体" w:eastAsia="宋体"/>
            </w:rPr>
            <w:t>2.7 合同签章确认</w:t>
          </w:r>
          <w:r>
            <w:tab/>
          </w:r>
          <w:r>
            <w:fldChar w:fldCharType="begin"/>
          </w:r>
          <w:r>
            <w:instrText xml:space="preserve"> PAGEREF _Toc223963346 \h </w:instrText>
          </w:r>
          <w:r>
            <w:fldChar w:fldCharType="separate"/>
          </w:r>
          <w:r>
            <w:t>20</w:t>
          </w:r>
          <w:r>
            <w:fldChar w:fldCharType="end"/>
          </w:r>
          <w:r>
            <w:fldChar w:fldCharType="end"/>
          </w:r>
        </w:p>
        <w:p w14:paraId="665E5F19">
          <w:pPr>
            <w:pStyle w:val="9"/>
            <w:tabs>
              <w:tab w:val="right" w:leader="dot" w:pos="8296"/>
            </w:tabs>
            <w:rPr>
              <w:rFonts w:cstheme="minorBidi"/>
              <w:kern w:val="2"/>
              <w:sz w:val="21"/>
              <w14:ligatures w14:val="standardContextual"/>
            </w:rPr>
          </w:pPr>
          <w:r>
            <w:fldChar w:fldCharType="begin"/>
          </w:r>
          <w:r>
            <w:instrText xml:space="preserve"> HYPERLINK \l "_Toc223963347" </w:instrText>
          </w:r>
          <w:r>
            <w:fldChar w:fldCharType="separate"/>
          </w:r>
          <w:r>
            <w:rPr>
              <w:rStyle w:val="12"/>
              <w:rFonts w:ascii="宋体" w:hAnsi="宋体" w:eastAsia="宋体"/>
            </w:rPr>
            <w:t>2.8 退保证金</w:t>
          </w:r>
          <w:r>
            <w:tab/>
          </w:r>
          <w:r>
            <w:fldChar w:fldCharType="begin"/>
          </w:r>
          <w:r>
            <w:instrText xml:space="preserve"> PAGEREF _Toc223963347 \h </w:instrText>
          </w:r>
          <w:r>
            <w:fldChar w:fldCharType="separate"/>
          </w:r>
          <w:r>
            <w:t>21</w:t>
          </w:r>
          <w:r>
            <w:fldChar w:fldCharType="end"/>
          </w:r>
          <w:r>
            <w:fldChar w:fldCharType="end"/>
          </w:r>
        </w:p>
        <w:p w14:paraId="4D733480">
          <w:pPr>
            <w:pStyle w:val="9"/>
            <w:tabs>
              <w:tab w:val="right" w:leader="dot" w:pos="8296"/>
            </w:tabs>
            <w:rPr>
              <w:rFonts w:cstheme="minorBidi"/>
              <w:kern w:val="2"/>
              <w:sz w:val="21"/>
              <w14:ligatures w14:val="standardContextual"/>
            </w:rPr>
          </w:pPr>
          <w:r>
            <w:fldChar w:fldCharType="begin"/>
          </w:r>
          <w:r>
            <w:instrText xml:space="preserve"> HYPERLINK \l "_Toc223963348" </w:instrText>
          </w:r>
          <w:r>
            <w:fldChar w:fldCharType="separate"/>
          </w:r>
          <w:r>
            <w:rPr>
              <w:rStyle w:val="12"/>
            </w:rPr>
            <w:t>2.9 技术支持</w:t>
          </w:r>
          <w:r>
            <w:tab/>
          </w:r>
          <w:r>
            <w:fldChar w:fldCharType="begin"/>
          </w:r>
          <w:r>
            <w:instrText xml:space="preserve"> PAGEREF _Toc223963348 \h </w:instrText>
          </w:r>
          <w:r>
            <w:fldChar w:fldCharType="separate"/>
          </w:r>
          <w:r>
            <w:t>21</w:t>
          </w:r>
          <w:r>
            <w:fldChar w:fldCharType="end"/>
          </w:r>
          <w:r>
            <w:fldChar w:fldCharType="end"/>
          </w:r>
        </w:p>
        <w:p w14:paraId="61FD928B">
          <w:r>
            <w:rPr>
              <w:b/>
              <w:bCs/>
              <w:lang w:val="zh-CN"/>
            </w:rPr>
            <w:fldChar w:fldCharType="end"/>
          </w:r>
        </w:p>
      </w:sdtContent>
    </w:sdt>
    <w:p w14:paraId="57EBBDA7">
      <w:pPr>
        <w:widowControl/>
        <w:jc w:val="left"/>
        <w:rPr>
          <w:rFonts w:ascii="宋体" w:hAnsi="宋体" w:eastAsia="宋体"/>
          <w:b/>
          <w:bCs/>
          <w:kern w:val="44"/>
          <w:sz w:val="44"/>
          <w:szCs w:val="44"/>
        </w:rPr>
      </w:pPr>
    </w:p>
    <w:p w14:paraId="09D7A3BC">
      <w:pPr>
        <w:widowControl/>
        <w:jc w:val="left"/>
        <w:rPr>
          <w:rFonts w:ascii="宋体" w:hAnsi="宋体" w:eastAsia="宋体"/>
          <w:b/>
          <w:bCs/>
          <w:kern w:val="44"/>
          <w:sz w:val="44"/>
          <w:szCs w:val="44"/>
        </w:rPr>
      </w:pPr>
      <w:r>
        <w:rPr>
          <w:rFonts w:ascii="宋体" w:hAnsi="宋体" w:eastAsia="宋体"/>
        </w:rPr>
        <w:br w:type="page"/>
      </w:r>
    </w:p>
    <w:p w14:paraId="30B124A3">
      <w:pPr>
        <w:pStyle w:val="2"/>
        <w:numPr>
          <w:ilvl w:val="0"/>
          <w:numId w:val="1"/>
        </w:numPr>
        <w:rPr>
          <w:rFonts w:ascii="宋体" w:hAnsi="宋体" w:eastAsia="宋体"/>
        </w:rPr>
      </w:pPr>
      <w:bookmarkStart w:id="0" w:name="_Toc223963336"/>
      <w:r>
        <w:rPr>
          <w:rFonts w:hint="eastAsia" w:ascii="宋体" w:hAnsi="宋体" w:eastAsia="宋体"/>
        </w:rPr>
        <w:t>登录</w:t>
      </w:r>
      <w:bookmarkEnd w:id="0"/>
    </w:p>
    <w:p w14:paraId="16D743AE">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系统地址：</w:t>
      </w:r>
      <w:r>
        <w:rPr>
          <w:rFonts w:ascii="宋体" w:hAnsi="宋体" w:eastAsia="宋体" w:cs="Times New Roman"/>
          <w:sz w:val="24"/>
          <w:szCs w:val="24"/>
        </w:rPr>
        <w:t>http</w:t>
      </w:r>
      <w:r>
        <w:rPr>
          <w:rFonts w:hint="eastAsia" w:ascii="宋体" w:hAnsi="宋体" w:eastAsia="宋体" w:cs="Times New Roman"/>
          <w:sz w:val="24"/>
          <w:szCs w:val="24"/>
        </w:rPr>
        <w:t>s</w:t>
      </w:r>
      <w:r>
        <w:rPr>
          <w:rFonts w:ascii="宋体" w:hAnsi="宋体" w:eastAsia="宋体" w:cs="Times New Roman"/>
          <w:sz w:val="24"/>
          <w:szCs w:val="24"/>
        </w:rPr>
        <w:t>://jyzx.yunfu.gov.cn</w:t>
      </w:r>
    </w:p>
    <w:p w14:paraId="5B4C221B">
      <w:pPr>
        <w:spacing w:before="62" w:beforeLines="20" w:after="62" w:afterLines="20" w:line="360" w:lineRule="auto"/>
        <w:ind w:firstLine="420" w:firstLineChars="200"/>
        <w:rPr>
          <w:rFonts w:ascii="宋体" w:hAnsi="宋体" w:eastAsia="宋体" w:cs="Times New Roman"/>
          <w:sz w:val="24"/>
          <w:szCs w:val="24"/>
        </w:rPr>
      </w:pPr>
      <w:r>
        <w:drawing>
          <wp:inline distT="0" distB="0" distL="0" distR="0">
            <wp:extent cx="5274310" cy="3053715"/>
            <wp:effectExtent l="0" t="0" r="2540" b="0"/>
            <wp:docPr id="521274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74108" name="图片 1"/>
                    <pic:cNvPicPr>
                      <a:picLocks noChangeAspect="1"/>
                    </pic:cNvPicPr>
                  </pic:nvPicPr>
                  <pic:blipFill>
                    <a:blip r:embed="rId4"/>
                    <a:stretch>
                      <a:fillRect/>
                    </a:stretch>
                  </pic:blipFill>
                  <pic:spPr>
                    <a:xfrm>
                      <a:off x="0" y="0"/>
                      <a:ext cx="5274310" cy="3053715"/>
                    </a:xfrm>
                    <a:prstGeom prst="rect">
                      <a:avLst/>
                    </a:prstGeom>
                  </pic:spPr>
                </pic:pic>
              </a:graphicData>
            </a:graphic>
          </wp:inline>
        </w:drawing>
      </w:r>
    </w:p>
    <w:p w14:paraId="12C552FB">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进入登录页面，竞买人可以通过广东省统一认证授权登录、使用C</w:t>
      </w:r>
      <w:r>
        <w:rPr>
          <w:rFonts w:ascii="宋体" w:hAnsi="宋体" w:eastAsia="宋体" w:cs="Times New Roman"/>
          <w:sz w:val="24"/>
          <w:szCs w:val="24"/>
        </w:rPr>
        <w:t>A登录</w:t>
      </w:r>
      <w:r>
        <w:rPr>
          <w:rFonts w:hint="eastAsia" w:ascii="宋体" w:hAnsi="宋体" w:eastAsia="宋体" w:cs="Times New Roman"/>
          <w:sz w:val="24"/>
          <w:szCs w:val="24"/>
        </w:rPr>
        <w:t>、全国互认CA、粤商通</w:t>
      </w:r>
      <w:r>
        <w:rPr>
          <w:rFonts w:ascii="宋体" w:hAnsi="宋体" w:eastAsia="宋体" w:cs="Times New Roman"/>
          <w:sz w:val="24"/>
          <w:szCs w:val="24"/>
        </w:rPr>
        <w:t>或者账号密码登陆。</w:t>
      </w:r>
    </w:p>
    <w:p w14:paraId="370D339C">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使用广东省统一认证授权登录，使用微信扫码验证后，在广东省公共资源平台现在选择对应角色，再选择交易系统跳转登录；</w:t>
      </w:r>
    </w:p>
    <w:p w14:paraId="1081CC01">
      <w:pPr>
        <w:rPr>
          <w:rFonts w:ascii="宋体" w:hAnsi="宋体" w:eastAsia="宋体" w:cs="Times New Roman"/>
          <w:sz w:val="24"/>
          <w:szCs w:val="24"/>
        </w:rPr>
      </w:pPr>
      <w:r>
        <w:rPr>
          <w:rFonts w:hint="eastAsia" w:ascii="宋体" w:hAnsi="宋体" w:eastAsia="宋体" w:cs="Times New Roman"/>
          <w:sz w:val="24"/>
          <w:szCs w:val="24"/>
        </w:rPr>
        <w:br w:type="page"/>
      </w:r>
    </w:p>
    <w:p w14:paraId="5E7BFE28">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使用CA登录，需要插入企业CA KEY，选择“CA登录”方式，输入PIN码，系统验证通过后可进入系统。注意，第一次使用的时候需要安装驱动程序，请点击“多CA兼容登录驱动程序下载”，进行驱动程序的安装。</w:t>
      </w:r>
    </w:p>
    <w:p w14:paraId="55D21C6C">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使用全国互认CA登录，需在系统完成绑定，方可使用全国互认CA客户端扫码登录。</w:t>
      </w:r>
    </w:p>
    <w:p w14:paraId="7899378B">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使用粤商通登录，需在系统完成绑定，才能使用粤商通移动端扫码登录。</w:t>
      </w:r>
    </w:p>
    <w:p w14:paraId="28F4C74F">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如果使用账号、密码方式登录，则输入正确的用户名和密码，然后点击【登录】，即可进入系统。</w:t>
      </w:r>
    </w:p>
    <w:p w14:paraId="518EE642">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登录系统后，在首页面板可以看到待处理的待办事项，点击其中一个待办事项可以快速进入该待办事项。</w:t>
      </w:r>
    </w:p>
    <w:p w14:paraId="72245388">
      <w:pPr>
        <w:pStyle w:val="2"/>
        <w:numPr>
          <w:ilvl w:val="0"/>
          <w:numId w:val="1"/>
        </w:numPr>
        <w:rPr>
          <w:rFonts w:ascii="宋体" w:hAnsi="宋体" w:eastAsia="宋体"/>
        </w:rPr>
      </w:pPr>
      <w:bookmarkStart w:id="1" w:name="_Toc223963337"/>
      <w:r>
        <w:rPr>
          <w:rFonts w:hint="eastAsia" w:ascii="宋体" w:hAnsi="宋体" w:eastAsia="宋体"/>
        </w:rPr>
        <w:t>业务流程</w:t>
      </w:r>
      <w:bookmarkEnd w:id="1"/>
    </w:p>
    <w:p w14:paraId="76A57546">
      <w:pPr>
        <w:pStyle w:val="3"/>
        <w:widowControl/>
        <w:adjustRightInd w:val="0"/>
        <w:snapToGrid w:val="0"/>
        <w:spacing w:line="240" w:lineRule="auto"/>
        <w:ind w:left="575" w:hanging="575"/>
        <w:jc w:val="left"/>
        <w:rPr>
          <w:rFonts w:eastAsia="黑体"/>
          <w:kern w:val="0"/>
        </w:rPr>
      </w:pPr>
      <w:bookmarkStart w:id="2" w:name="_Toc223963338"/>
      <w:r>
        <w:rPr>
          <w:rFonts w:hint="eastAsia" w:eastAsia="黑体"/>
          <w:kern w:val="0"/>
        </w:rPr>
        <w:t>2.</w:t>
      </w:r>
      <w:r>
        <w:rPr>
          <w:rFonts w:eastAsia="黑体"/>
          <w:kern w:val="0"/>
        </w:rPr>
        <w:t xml:space="preserve">1 </w:t>
      </w:r>
      <w:r>
        <w:rPr>
          <w:rFonts w:hint="eastAsia" w:eastAsia="黑体"/>
          <w:kern w:val="0"/>
        </w:rPr>
        <w:t>竞买人报名</w:t>
      </w:r>
      <w:bookmarkEnd w:id="2"/>
    </w:p>
    <w:p w14:paraId="4490FBC9"/>
    <w:p w14:paraId="09182384">
      <w:pPr>
        <w:pStyle w:val="4"/>
        <w:widowControl/>
        <w:adjustRightInd w:val="0"/>
        <w:snapToGrid w:val="0"/>
        <w:spacing w:line="413" w:lineRule="auto"/>
        <w:ind w:left="720" w:hanging="720"/>
        <w:jc w:val="left"/>
        <w:rPr>
          <w:rFonts w:ascii="Tahoma" w:hAnsi="Tahoma" w:eastAsia="宋体"/>
          <w:b w:val="0"/>
          <w:bCs w:val="0"/>
          <w:kern w:val="0"/>
          <w:szCs w:val="22"/>
        </w:rPr>
      </w:pPr>
      <w:bookmarkStart w:id="3" w:name="_Toc223963339"/>
      <w:r>
        <w:rPr>
          <w:rFonts w:hint="eastAsia" w:ascii="Tahoma" w:hAnsi="Tahoma" w:eastAsia="宋体"/>
          <w:b w:val="0"/>
          <w:bCs w:val="0"/>
          <w:kern w:val="0"/>
          <w:szCs w:val="22"/>
        </w:rPr>
        <w:t>2.</w:t>
      </w:r>
      <w:r>
        <w:rPr>
          <w:rFonts w:ascii="Tahoma" w:hAnsi="Tahoma" w:eastAsia="宋体"/>
          <w:b w:val="0"/>
          <w:bCs w:val="0"/>
          <w:kern w:val="0"/>
          <w:szCs w:val="22"/>
        </w:rPr>
        <w:t>1</w:t>
      </w:r>
      <w:r>
        <w:rPr>
          <w:rFonts w:hint="eastAsia" w:ascii="Tahoma" w:hAnsi="Tahoma" w:eastAsia="宋体"/>
          <w:b w:val="0"/>
          <w:bCs w:val="0"/>
          <w:kern w:val="0"/>
          <w:szCs w:val="22"/>
        </w:rPr>
        <w:t>.</w:t>
      </w:r>
      <w:r>
        <w:rPr>
          <w:rFonts w:ascii="Tahoma" w:hAnsi="Tahoma" w:eastAsia="宋体"/>
          <w:b w:val="0"/>
          <w:bCs w:val="0"/>
          <w:kern w:val="0"/>
          <w:szCs w:val="22"/>
        </w:rPr>
        <w:t xml:space="preserve">1 </w:t>
      </w:r>
      <w:r>
        <w:rPr>
          <w:rFonts w:hint="eastAsia" w:ascii="Tahoma" w:hAnsi="Tahoma" w:eastAsia="宋体"/>
          <w:b w:val="0"/>
          <w:bCs w:val="0"/>
          <w:kern w:val="0"/>
          <w:szCs w:val="22"/>
        </w:rPr>
        <w:t>竞投报名</w:t>
      </w:r>
      <w:bookmarkEnd w:id="3"/>
    </w:p>
    <w:p w14:paraId="7E173C17">
      <w:pPr>
        <w:spacing w:before="62" w:beforeLines="20" w:after="62" w:afterLines="20" w:line="360" w:lineRule="auto"/>
        <w:ind w:firstLine="480" w:firstLineChars="200"/>
        <w:rPr>
          <w:rFonts w:ascii="宋体" w:hAnsi="宋体" w:eastAsia="宋体" w:cs="Times New Roman"/>
          <w:sz w:val="24"/>
          <w:szCs w:val="24"/>
        </w:rPr>
      </w:pPr>
      <w:r>
        <w:rPr>
          <w:rFonts w:hint="eastAsia"/>
          <w:sz w:val="24"/>
          <w:szCs w:val="24"/>
        </w:rPr>
        <w:t>竞投人点击菜单</w:t>
      </w:r>
      <w:r>
        <w:rPr>
          <w:rFonts w:hint="eastAsia" w:ascii="宋体" w:hAnsi="宋体" w:eastAsia="宋体" w:cs="Times New Roman"/>
          <w:sz w:val="24"/>
          <w:szCs w:val="24"/>
        </w:rPr>
        <w:t>“竞买人报名 &gt;</w:t>
      </w:r>
      <w:r>
        <w:rPr>
          <w:rFonts w:ascii="宋体" w:hAnsi="宋体" w:eastAsia="宋体" w:cs="Times New Roman"/>
          <w:sz w:val="24"/>
          <w:szCs w:val="24"/>
        </w:rPr>
        <w:t xml:space="preserve"> </w:t>
      </w:r>
      <w:r>
        <w:rPr>
          <w:rFonts w:hint="eastAsia" w:ascii="宋体" w:hAnsi="宋体" w:eastAsia="宋体" w:cs="Times New Roman"/>
          <w:sz w:val="24"/>
          <w:szCs w:val="24"/>
        </w:rPr>
        <w:t>竞投报名”, 进入土地使用权出让挂牌交易报名页面</w:t>
      </w:r>
      <w:r>
        <w:rPr>
          <w:rFonts w:ascii="宋体" w:hAnsi="宋体" w:eastAsia="宋体" w:cs="Times New Roman"/>
          <w:sz w:val="24"/>
          <w:szCs w:val="24"/>
        </w:rPr>
        <w:t>。</w:t>
      </w:r>
      <w:r>
        <w:rPr>
          <w:rFonts w:hint="eastAsia" w:ascii="宋体" w:hAnsi="宋体" w:eastAsia="宋体" w:cs="Times New Roman"/>
          <w:sz w:val="24"/>
          <w:szCs w:val="24"/>
        </w:rPr>
        <w:t>或者竞投人点击“报名”按钮，进入竞投人报名页面。</w:t>
      </w:r>
    </w:p>
    <w:p w14:paraId="5C6946F3">
      <w:pPr>
        <w:spacing w:before="62" w:beforeLines="20" w:after="62" w:afterLines="20" w:line="360" w:lineRule="auto"/>
        <w:ind w:firstLine="420" w:firstLineChars="200"/>
        <w:rPr>
          <w:rFonts w:ascii="宋体" w:hAnsi="宋体" w:eastAsia="宋体" w:cs="Times New Roman"/>
          <w:sz w:val="24"/>
          <w:szCs w:val="24"/>
        </w:rPr>
      </w:pPr>
      <w:r>
        <w:drawing>
          <wp:inline distT="0" distB="0" distL="0" distR="0">
            <wp:extent cx="5274310" cy="2825115"/>
            <wp:effectExtent l="0" t="0" r="2540" b="0"/>
            <wp:docPr id="130028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8361" name="图片 1"/>
                    <pic:cNvPicPr>
                      <a:picLocks noChangeAspect="1"/>
                    </pic:cNvPicPr>
                  </pic:nvPicPr>
                  <pic:blipFill>
                    <a:blip r:embed="rId5"/>
                    <a:stretch>
                      <a:fillRect/>
                    </a:stretch>
                  </pic:blipFill>
                  <pic:spPr>
                    <a:xfrm>
                      <a:off x="0" y="0"/>
                      <a:ext cx="5274310" cy="2825115"/>
                    </a:xfrm>
                    <a:prstGeom prst="rect">
                      <a:avLst/>
                    </a:prstGeom>
                  </pic:spPr>
                </pic:pic>
              </a:graphicData>
            </a:graphic>
          </wp:inline>
        </w:drawing>
      </w:r>
    </w:p>
    <w:p w14:paraId="4DD3B736">
      <w:pPr>
        <w:spacing w:before="62" w:beforeLines="20" w:after="62" w:afterLines="20" w:line="360" w:lineRule="auto"/>
        <w:ind w:firstLine="480" w:firstLineChars="200"/>
        <w:rPr>
          <w:sz w:val="24"/>
          <w:szCs w:val="24"/>
        </w:rPr>
      </w:pPr>
      <w:r>
        <w:rPr>
          <w:rFonts w:hint="eastAsia"/>
          <w:sz w:val="24"/>
          <w:szCs w:val="24"/>
        </w:rPr>
        <w:t>在</w:t>
      </w:r>
      <w:r>
        <w:rPr>
          <w:rFonts w:hint="eastAsia" w:ascii="宋体" w:hAnsi="宋体" w:eastAsia="宋体" w:cs="Times New Roman"/>
          <w:sz w:val="24"/>
          <w:szCs w:val="24"/>
        </w:rPr>
        <w:t>竞投报名页面中，</w:t>
      </w:r>
      <w:r>
        <w:rPr>
          <w:rFonts w:hint="eastAsia"/>
          <w:sz w:val="24"/>
          <w:szCs w:val="24"/>
        </w:rPr>
        <w:t>选中一个需要报名的交易，点击“报名”按钮，进入竞投人报名申请页面。</w:t>
      </w:r>
    </w:p>
    <w:p w14:paraId="4E2871C7">
      <w:pPr>
        <w:spacing w:before="62" w:beforeLines="20" w:after="62" w:afterLines="20" w:line="360" w:lineRule="auto"/>
        <w:ind w:firstLine="420" w:firstLineChars="200"/>
        <w:rPr>
          <w:sz w:val="24"/>
          <w:szCs w:val="24"/>
        </w:rPr>
      </w:pPr>
      <w:r>
        <w:drawing>
          <wp:inline distT="0" distB="0" distL="0" distR="0">
            <wp:extent cx="5274310" cy="2786380"/>
            <wp:effectExtent l="0" t="0" r="2540" b="0"/>
            <wp:docPr id="295122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22834" name="图片 1"/>
                    <pic:cNvPicPr>
                      <a:picLocks noChangeAspect="1"/>
                    </pic:cNvPicPr>
                  </pic:nvPicPr>
                  <pic:blipFill>
                    <a:blip r:embed="rId6"/>
                    <a:stretch>
                      <a:fillRect/>
                    </a:stretch>
                  </pic:blipFill>
                  <pic:spPr>
                    <a:xfrm>
                      <a:off x="0" y="0"/>
                      <a:ext cx="5274310" cy="2786380"/>
                    </a:xfrm>
                    <a:prstGeom prst="rect">
                      <a:avLst/>
                    </a:prstGeom>
                  </pic:spPr>
                </pic:pic>
              </a:graphicData>
            </a:graphic>
          </wp:inline>
        </w:drawing>
      </w:r>
    </w:p>
    <w:p w14:paraId="00A1ACFF">
      <w:pPr>
        <w:spacing w:before="62" w:beforeLines="20" w:after="62" w:afterLines="20" w:line="360" w:lineRule="auto"/>
        <w:ind w:firstLine="480" w:firstLineChars="200"/>
      </w:pPr>
      <w:r>
        <w:rPr>
          <w:rFonts w:hint="eastAsia"/>
          <w:sz w:val="24"/>
          <w:szCs w:val="24"/>
        </w:rPr>
        <w:t>若要报名点击竞投人查看出让项目资源页面中的“申购报名”按钮，进入竞投人报名页面。进入报名页面后系统弹出承诺书，需要竞投人查看以及点击“我同意”。</w:t>
      </w:r>
    </w:p>
    <w:p w14:paraId="557673F9">
      <w:pPr>
        <w:spacing w:before="62" w:beforeLines="20" w:after="62" w:afterLines="20" w:line="360" w:lineRule="auto"/>
        <w:ind w:firstLine="420" w:firstLineChars="200"/>
      </w:pPr>
      <w:r>
        <w:drawing>
          <wp:inline distT="0" distB="0" distL="0" distR="0">
            <wp:extent cx="5274310" cy="3655695"/>
            <wp:effectExtent l="0" t="0" r="2540" b="1905"/>
            <wp:docPr id="1352676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76527" name="图片 1"/>
                    <pic:cNvPicPr>
                      <a:picLocks noChangeAspect="1"/>
                    </pic:cNvPicPr>
                  </pic:nvPicPr>
                  <pic:blipFill>
                    <a:blip r:embed="rId7"/>
                    <a:stretch>
                      <a:fillRect/>
                    </a:stretch>
                  </pic:blipFill>
                  <pic:spPr>
                    <a:xfrm>
                      <a:off x="0" y="0"/>
                      <a:ext cx="5274310" cy="3655695"/>
                    </a:xfrm>
                    <a:prstGeom prst="rect">
                      <a:avLst/>
                    </a:prstGeom>
                  </pic:spPr>
                </pic:pic>
              </a:graphicData>
            </a:graphic>
          </wp:inline>
        </w:drawing>
      </w:r>
    </w:p>
    <w:p w14:paraId="3C4C0049">
      <w:pPr>
        <w:spacing w:before="62" w:beforeLines="20" w:after="62" w:afterLines="20" w:line="360" w:lineRule="auto"/>
        <w:ind w:firstLine="420" w:firstLineChars="200"/>
      </w:pPr>
    </w:p>
    <w:p w14:paraId="4AB3B3E1">
      <w:pPr>
        <w:spacing w:before="62" w:beforeLines="20" w:after="62" w:afterLines="20" w:line="360" w:lineRule="auto"/>
        <w:ind w:firstLine="420" w:firstLineChars="200"/>
      </w:pPr>
      <w:r>
        <w:drawing>
          <wp:inline distT="0" distB="0" distL="0" distR="0">
            <wp:extent cx="5274310" cy="2094865"/>
            <wp:effectExtent l="0" t="0" r="254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8"/>
                    <a:stretch>
                      <a:fillRect/>
                    </a:stretch>
                  </pic:blipFill>
                  <pic:spPr>
                    <a:xfrm>
                      <a:off x="0" y="0"/>
                      <a:ext cx="5274310" cy="2094865"/>
                    </a:xfrm>
                    <a:prstGeom prst="rect">
                      <a:avLst/>
                    </a:prstGeom>
                  </pic:spPr>
                </pic:pic>
              </a:graphicData>
            </a:graphic>
          </wp:inline>
        </w:drawing>
      </w:r>
    </w:p>
    <w:p w14:paraId="6B08A3E4">
      <w:pPr>
        <w:spacing w:before="62" w:beforeLines="20" w:after="62" w:afterLines="20" w:line="360" w:lineRule="auto"/>
        <w:ind w:firstLine="420" w:firstLineChars="200"/>
      </w:pPr>
      <w:r>
        <w:drawing>
          <wp:inline distT="0" distB="0" distL="0" distR="0">
            <wp:extent cx="5274310" cy="1988185"/>
            <wp:effectExtent l="0" t="0" r="2540" b="0"/>
            <wp:docPr id="180060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0754" name="图片 1"/>
                    <pic:cNvPicPr>
                      <a:picLocks noChangeAspect="1"/>
                    </pic:cNvPicPr>
                  </pic:nvPicPr>
                  <pic:blipFill>
                    <a:blip r:embed="rId9"/>
                    <a:stretch>
                      <a:fillRect/>
                    </a:stretch>
                  </pic:blipFill>
                  <pic:spPr>
                    <a:xfrm>
                      <a:off x="0" y="0"/>
                      <a:ext cx="5274310" cy="1988185"/>
                    </a:xfrm>
                    <a:prstGeom prst="rect">
                      <a:avLst/>
                    </a:prstGeom>
                  </pic:spPr>
                </pic:pic>
              </a:graphicData>
            </a:graphic>
          </wp:inline>
        </w:drawing>
      </w:r>
    </w:p>
    <w:p w14:paraId="458443E9">
      <w:pPr>
        <w:spacing w:before="62" w:beforeLines="20" w:after="62" w:afterLines="20" w:line="360" w:lineRule="auto"/>
        <w:ind w:firstLine="480" w:firstLineChars="200"/>
        <w:rPr>
          <w:sz w:val="24"/>
          <w:szCs w:val="24"/>
        </w:rPr>
      </w:pPr>
      <w:r>
        <w:rPr>
          <w:rFonts w:hint="eastAsia"/>
          <w:sz w:val="24"/>
          <w:szCs w:val="24"/>
        </w:rPr>
        <w:t>在竞投人报名页面中先选择报名人类型：个人和企业，然后在进行填写报名信息。若申购方式为联合申购，第一个默认是CA的用户，第二个允许新加。类型为个人时，证件号填写身份证号，类型为企业时证件号填写营业执照，出资比例总和为100%。</w:t>
      </w:r>
    </w:p>
    <w:p w14:paraId="7E2E12A3">
      <w:pPr>
        <w:spacing w:before="62" w:beforeLines="20" w:after="62" w:afterLines="20" w:line="360" w:lineRule="auto"/>
        <w:ind w:firstLine="420" w:firstLineChars="200"/>
        <w:jc w:val="center"/>
        <w:rPr>
          <w:sz w:val="24"/>
          <w:szCs w:val="24"/>
        </w:rPr>
      </w:pPr>
      <w:r>
        <w:drawing>
          <wp:inline distT="0" distB="0" distL="0" distR="0">
            <wp:extent cx="5274310" cy="8851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885190"/>
                    </a:xfrm>
                    <a:prstGeom prst="rect">
                      <a:avLst/>
                    </a:prstGeom>
                  </pic:spPr>
                </pic:pic>
              </a:graphicData>
            </a:graphic>
          </wp:inline>
        </w:drawing>
      </w:r>
    </w:p>
    <w:p w14:paraId="488E04FB">
      <w:pPr>
        <w:spacing w:before="62" w:beforeLines="20" w:after="62" w:afterLines="20" w:line="360" w:lineRule="auto"/>
        <w:ind w:firstLine="480" w:firstLineChars="200"/>
        <w:rPr>
          <w:rFonts w:ascii="宋体" w:hAnsi="宋体" w:eastAsia="宋体" w:cs="Times New Roman"/>
          <w:sz w:val="24"/>
          <w:szCs w:val="24"/>
        </w:rPr>
      </w:pPr>
      <w:r>
        <w:rPr>
          <w:rFonts w:hint="eastAsia"/>
          <w:sz w:val="24"/>
          <w:szCs w:val="24"/>
        </w:rPr>
        <w:t>确认所有信息无误后，点击“下一步”按钮，支持C</w:t>
      </w:r>
      <w:r>
        <w:rPr>
          <w:sz w:val="24"/>
          <w:szCs w:val="24"/>
        </w:rPr>
        <w:t>A</w:t>
      </w:r>
      <w:r>
        <w:rPr>
          <w:rFonts w:hint="eastAsia"/>
          <w:sz w:val="24"/>
          <w:szCs w:val="24"/>
        </w:rPr>
        <w:t>验证和粤商通验证，如果是粤商通验证，调过到粤商通验证，如果是C</w:t>
      </w:r>
      <w:r>
        <w:rPr>
          <w:sz w:val="24"/>
          <w:szCs w:val="24"/>
        </w:rPr>
        <w:t>A</w:t>
      </w:r>
      <w:r>
        <w:rPr>
          <w:rFonts w:hint="eastAsia"/>
          <w:sz w:val="24"/>
          <w:szCs w:val="24"/>
        </w:rPr>
        <w:t>验证，将会弹出C</w:t>
      </w:r>
      <w:r>
        <w:rPr>
          <w:sz w:val="24"/>
          <w:szCs w:val="24"/>
        </w:rPr>
        <w:t>A</w:t>
      </w:r>
      <w:r>
        <w:rPr>
          <w:rFonts w:hint="eastAsia"/>
          <w:sz w:val="24"/>
          <w:szCs w:val="24"/>
        </w:rPr>
        <w:t>验证页面，</w:t>
      </w:r>
      <w:r>
        <w:rPr>
          <w:rFonts w:hint="eastAsia" w:ascii="宋体" w:hAnsi="宋体" w:eastAsia="宋体" w:cs="Times New Roman"/>
          <w:sz w:val="24"/>
          <w:szCs w:val="24"/>
        </w:rPr>
        <w:t>需要报名企业插入CA KEY到电脑，并输入正确的PIN码，才能进行报名。</w:t>
      </w:r>
    </w:p>
    <w:p w14:paraId="0B61DE23">
      <w:pPr>
        <w:spacing w:before="62" w:beforeLines="20" w:after="62" w:afterLines="20" w:line="360" w:lineRule="auto"/>
        <w:ind w:firstLine="420" w:firstLineChars="200"/>
        <w:rPr>
          <w:sz w:val="24"/>
          <w:szCs w:val="24"/>
        </w:rPr>
      </w:pPr>
      <w:r>
        <w:drawing>
          <wp:inline distT="0" distB="0" distL="0" distR="0">
            <wp:extent cx="5274310" cy="1374140"/>
            <wp:effectExtent l="0" t="0" r="2540" b="0"/>
            <wp:docPr id="16570367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36760" name="图片 1"/>
                    <pic:cNvPicPr>
                      <a:picLocks noChangeAspect="1"/>
                    </pic:cNvPicPr>
                  </pic:nvPicPr>
                  <pic:blipFill>
                    <a:blip r:embed="rId11"/>
                    <a:stretch>
                      <a:fillRect/>
                    </a:stretch>
                  </pic:blipFill>
                  <pic:spPr>
                    <a:xfrm>
                      <a:off x="0" y="0"/>
                      <a:ext cx="5274310" cy="1374140"/>
                    </a:xfrm>
                    <a:prstGeom prst="rect">
                      <a:avLst/>
                    </a:prstGeom>
                  </pic:spPr>
                </pic:pic>
              </a:graphicData>
            </a:graphic>
          </wp:inline>
        </w:drawing>
      </w:r>
    </w:p>
    <w:p w14:paraId="4493AD18">
      <w:pPr>
        <w:spacing w:before="62" w:beforeLines="20" w:after="62" w:afterLines="20" w:line="360" w:lineRule="auto"/>
        <w:ind w:firstLine="420" w:firstLineChars="200"/>
        <w:jc w:val="center"/>
        <w:rPr>
          <w:sz w:val="24"/>
          <w:szCs w:val="24"/>
        </w:rPr>
      </w:pPr>
      <w:r>
        <w:drawing>
          <wp:inline distT="0" distB="0" distL="0" distR="0">
            <wp:extent cx="1536065" cy="1694815"/>
            <wp:effectExtent l="0" t="0" r="698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1564895" cy="1726582"/>
                    </a:xfrm>
                    <a:prstGeom prst="rect">
                      <a:avLst/>
                    </a:prstGeom>
                  </pic:spPr>
                </pic:pic>
              </a:graphicData>
            </a:graphic>
          </wp:inline>
        </w:drawing>
      </w:r>
    </w:p>
    <w:p w14:paraId="70645D63">
      <w:pPr>
        <w:spacing w:before="62" w:beforeLines="20" w:after="62" w:afterLines="20" w:line="360" w:lineRule="auto"/>
        <w:ind w:firstLine="439" w:firstLineChars="183"/>
        <w:rPr>
          <w:rFonts w:ascii="宋体" w:hAnsi="宋体" w:eastAsia="宋体" w:cs="Times New Roman"/>
          <w:sz w:val="24"/>
          <w:szCs w:val="24"/>
        </w:rPr>
      </w:pPr>
      <w:r>
        <w:rPr>
          <w:rFonts w:hint="eastAsia" w:ascii="宋体" w:hAnsi="宋体" w:eastAsia="宋体" w:cs="Times New Roman"/>
          <w:sz w:val="24"/>
          <w:szCs w:val="24"/>
        </w:rPr>
        <w:t>报名时，系统将对竞买人的账号类型进行判断，如果竞买人不符合交易的申购人类型，将不能进行报名。如果竞买人符合申购人类型，则可报名成功。报名成功当前自动页面关闭。</w:t>
      </w:r>
    </w:p>
    <w:p w14:paraId="555F9FD7">
      <w:pPr>
        <w:spacing w:before="62" w:beforeLines="20" w:after="62" w:afterLines="20" w:line="360" w:lineRule="auto"/>
        <w:ind w:firstLine="384" w:firstLineChars="183"/>
        <w:rPr>
          <w:rFonts w:ascii="宋体" w:hAnsi="宋体" w:eastAsia="宋体" w:cs="Times New Roman"/>
          <w:sz w:val="24"/>
          <w:szCs w:val="24"/>
        </w:rPr>
      </w:pPr>
      <w:r>
        <w:drawing>
          <wp:inline distT="0" distB="0" distL="0" distR="0">
            <wp:extent cx="5274310" cy="3282315"/>
            <wp:effectExtent l="0" t="0" r="2540" b="0"/>
            <wp:docPr id="564612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12835" name="图片 1"/>
                    <pic:cNvPicPr>
                      <a:picLocks noChangeAspect="1"/>
                    </pic:cNvPicPr>
                  </pic:nvPicPr>
                  <pic:blipFill>
                    <a:blip r:embed="rId13"/>
                    <a:stretch>
                      <a:fillRect/>
                    </a:stretch>
                  </pic:blipFill>
                  <pic:spPr>
                    <a:xfrm>
                      <a:off x="0" y="0"/>
                      <a:ext cx="5274310" cy="3282315"/>
                    </a:xfrm>
                    <a:prstGeom prst="rect">
                      <a:avLst/>
                    </a:prstGeom>
                  </pic:spPr>
                </pic:pic>
              </a:graphicData>
            </a:graphic>
          </wp:inline>
        </w:drawing>
      </w:r>
    </w:p>
    <w:p w14:paraId="5083E521">
      <w:pPr>
        <w:spacing w:before="62" w:beforeLines="20" w:after="62" w:afterLines="20" w:line="360" w:lineRule="auto"/>
        <w:ind w:firstLine="439" w:firstLineChars="183"/>
        <w:rPr>
          <w:rFonts w:ascii="宋体" w:hAnsi="宋体" w:eastAsia="宋体" w:cs="Times New Roman"/>
          <w:sz w:val="24"/>
          <w:szCs w:val="24"/>
        </w:rPr>
      </w:pPr>
    </w:p>
    <w:p w14:paraId="6EF9FDA6">
      <w:pPr>
        <w:pStyle w:val="4"/>
        <w:widowControl/>
        <w:adjustRightInd w:val="0"/>
        <w:snapToGrid w:val="0"/>
        <w:spacing w:line="413" w:lineRule="auto"/>
        <w:ind w:left="720" w:hanging="720"/>
        <w:jc w:val="left"/>
        <w:rPr>
          <w:rFonts w:ascii="Tahoma" w:hAnsi="Tahoma" w:eastAsia="宋体"/>
          <w:b w:val="0"/>
          <w:bCs w:val="0"/>
          <w:kern w:val="0"/>
          <w:szCs w:val="22"/>
        </w:rPr>
      </w:pPr>
      <w:bookmarkStart w:id="4" w:name="_Toc223963340"/>
      <w:r>
        <w:rPr>
          <w:rFonts w:hint="eastAsia" w:ascii="Tahoma" w:hAnsi="Tahoma" w:eastAsia="宋体"/>
          <w:b w:val="0"/>
          <w:bCs w:val="0"/>
          <w:kern w:val="0"/>
          <w:szCs w:val="22"/>
        </w:rPr>
        <w:t>2.</w:t>
      </w:r>
      <w:r>
        <w:rPr>
          <w:rFonts w:ascii="Tahoma" w:hAnsi="Tahoma" w:eastAsia="宋体"/>
          <w:b w:val="0"/>
          <w:bCs w:val="0"/>
          <w:kern w:val="0"/>
          <w:szCs w:val="22"/>
        </w:rPr>
        <w:t>1</w:t>
      </w:r>
      <w:r>
        <w:rPr>
          <w:rFonts w:hint="eastAsia" w:ascii="Tahoma" w:hAnsi="Tahoma" w:eastAsia="宋体"/>
          <w:b w:val="0"/>
          <w:bCs w:val="0"/>
          <w:kern w:val="0"/>
          <w:szCs w:val="22"/>
        </w:rPr>
        <w:t>.</w:t>
      </w:r>
      <w:r>
        <w:rPr>
          <w:rFonts w:ascii="Tahoma" w:hAnsi="Tahoma" w:eastAsia="宋体"/>
          <w:b w:val="0"/>
          <w:bCs w:val="0"/>
          <w:kern w:val="0"/>
          <w:szCs w:val="22"/>
        </w:rPr>
        <w:t xml:space="preserve">2 </w:t>
      </w:r>
      <w:r>
        <w:rPr>
          <w:rFonts w:hint="eastAsia" w:ascii="Tahoma" w:hAnsi="Tahoma" w:eastAsia="宋体"/>
          <w:b w:val="0"/>
          <w:bCs w:val="0"/>
          <w:kern w:val="0"/>
          <w:szCs w:val="22"/>
        </w:rPr>
        <w:t>报名查询</w:t>
      </w:r>
      <w:bookmarkEnd w:id="4"/>
    </w:p>
    <w:p w14:paraId="0784C145">
      <w:pPr>
        <w:spacing w:before="62" w:beforeLines="20" w:after="62" w:afterLines="20" w:line="360" w:lineRule="auto"/>
        <w:ind w:firstLine="480" w:firstLineChars="200"/>
        <w:rPr>
          <w:sz w:val="24"/>
          <w:szCs w:val="24"/>
        </w:rPr>
      </w:pPr>
      <w:r>
        <w:rPr>
          <w:rFonts w:hint="eastAsia"/>
          <w:sz w:val="24"/>
          <w:szCs w:val="24"/>
        </w:rPr>
        <w:t>竞买人点击菜单“竞买人报名 &gt;报名查询”, 进入交易报名查询页面</w:t>
      </w:r>
      <w:r>
        <w:rPr>
          <w:sz w:val="24"/>
          <w:szCs w:val="24"/>
        </w:rPr>
        <w:t>。</w:t>
      </w:r>
    </w:p>
    <w:p w14:paraId="0AF72034">
      <w:pPr>
        <w:spacing w:before="62" w:beforeLines="20" w:after="62" w:afterLines="20" w:line="360" w:lineRule="auto"/>
        <w:ind w:firstLine="420" w:firstLineChars="200"/>
        <w:rPr>
          <w:rFonts w:ascii="宋体" w:hAnsi="宋体" w:eastAsia="宋体" w:cs="Times New Roman"/>
          <w:sz w:val="24"/>
          <w:szCs w:val="24"/>
        </w:rPr>
      </w:pPr>
      <w:r>
        <w:drawing>
          <wp:inline distT="0" distB="0" distL="0" distR="0">
            <wp:extent cx="5274310" cy="2914650"/>
            <wp:effectExtent l="0" t="0" r="2540" b="0"/>
            <wp:docPr id="456666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66106" name="图片 1"/>
                    <pic:cNvPicPr>
                      <a:picLocks noChangeAspect="1"/>
                    </pic:cNvPicPr>
                  </pic:nvPicPr>
                  <pic:blipFill>
                    <a:blip r:embed="rId14"/>
                    <a:stretch>
                      <a:fillRect/>
                    </a:stretch>
                  </pic:blipFill>
                  <pic:spPr>
                    <a:xfrm>
                      <a:off x="0" y="0"/>
                      <a:ext cx="5274310" cy="2914650"/>
                    </a:xfrm>
                    <a:prstGeom prst="rect">
                      <a:avLst/>
                    </a:prstGeom>
                  </pic:spPr>
                </pic:pic>
              </a:graphicData>
            </a:graphic>
          </wp:inline>
        </w:drawing>
      </w:r>
    </w:p>
    <w:p w14:paraId="459B1DD8"/>
    <w:p w14:paraId="6AD4AEB9">
      <w:pPr>
        <w:pStyle w:val="3"/>
        <w:rPr>
          <w:rFonts w:ascii="宋体" w:hAnsi="宋体" w:eastAsia="宋体"/>
        </w:rPr>
      </w:pPr>
      <w:bookmarkStart w:id="5" w:name="_Toc223963341"/>
      <w:r>
        <w:rPr>
          <w:rFonts w:ascii="宋体" w:hAnsi="宋体" w:eastAsia="宋体"/>
        </w:rPr>
        <w:t xml:space="preserve">2.2 </w:t>
      </w:r>
      <w:r>
        <w:rPr>
          <w:rFonts w:hint="eastAsia" w:ascii="宋体" w:hAnsi="宋体" w:eastAsia="宋体"/>
        </w:rPr>
        <w:t>缴纳保证金</w:t>
      </w:r>
      <w:bookmarkEnd w:id="5"/>
      <w:r>
        <w:rPr>
          <w:rFonts w:ascii="宋体" w:hAnsi="宋体" w:eastAsia="宋体"/>
        </w:rPr>
        <w:t xml:space="preserve"> </w:t>
      </w:r>
    </w:p>
    <w:p w14:paraId="7C3FE571">
      <w:pPr>
        <w:spacing w:before="62" w:beforeLines="20" w:after="62" w:afterLines="20" w:line="360" w:lineRule="auto"/>
        <w:ind w:firstLine="480" w:firstLineChars="200"/>
        <w:rPr>
          <w:sz w:val="24"/>
          <w:szCs w:val="24"/>
        </w:rPr>
      </w:pPr>
      <w:r>
        <w:rPr>
          <w:rFonts w:hint="eastAsia"/>
          <w:sz w:val="24"/>
          <w:szCs w:val="24"/>
        </w:rPr>
        <w:t>竞买人点击菜单“竞买人报名 &gt;报名查询”, 进入交易报名查询页面</w:t>
      </w:r>
      <w:r>
        <w:rPr>
          <w:sz w:val="24"/>
          <w:szCs w:val="24"/>
        </w:rPr>
        <w:t>。</w:t>
      </w:r>
    </w:p>
    <w:p w14:paraId="3A52122B">
      <w:pPr>
        <w:spacing w:before="62" w:beforeLines="20" w:after="62" w:afterLines="20" w:line="360" w:lineRule="auto"/>
        <w:ind w:firstLine="420" w:firstLineChars="200"/>
        <w:rPr>
          <w:rFonts w:ascii="宋体" w:hAnsi="宋体" w:eastAsia="宋体" w:cs="Times New Roman"/>
          <w:sz w:val="24"/>
          <w:szCs w:val="24"/>
        </w:rPr>
      </w:pPr>
      <w:r>
        <w:drawing>
          <wp:inline distT="0" distB="0" distL="0" distR="0">
            <wp:extent cx="5274310" cy="2919730"/>
            <wp:effectExtent l="0" t="0" r="2540" b="0"/>
            <wp:docPr id="534048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48317" name="图片 1"/>
                    <pic:cNvPicPr>
                      <a:picLocks noChangeAspect="1"/>
                    </pic:cNvPicPr>
                  </pic:nvPicPr>
                  <pic:blipFill>
                    <a:blip r:embed="rId15"/>
                    <a:stretch>
                      <a:fillRect/>
                    </a:stretch>
                  </pic:blipFill>
                  <pic:spPr>
                    <a:xfrm>
                      <a:off x="0" y="0"/>
                      <a:ext cx="5274310" cy="2919730"/>
                    </a:xfrm>
                    <a:prstGeom prst="rect">
                      <a:avLst/>
                    </a:prstGeom>
                  </pic:spPr>
                </pic:pic>
              </a:graphicData>
            </a:graphic>
          </wp:inline>
        </w:drawing>
      </w:r>
    </w:p>
    <w:p w14:paraId="798FC7AC">
      <w:pPr>
        <w:spacing w:before="62" w:beforeLines="20" w:after="62" w:afterLines="20" w:line="360" w:lineRule="auto"/>
        <w:ind w:left="105" w:leftChars="50" w:firstLine="360" w:firstLineChars="150"/>
        <w:rPr>
          <w:sz w:val="24"/>
          <w:szCs w:val="24"/>
        </w:rPr>
      </w:pPr>
    </w:p>
    <w:p w14:paraId="1BEBF956">
      <w:pPr>
        <w:spacing w:before="62" w:beforeLines="20" w:after="62" w:afterLines="20" w:line="360" w:lineRule="auto"/>
        <w:ind w:left="105" w:leftChars="50" w:firstLine="360" w:firstLineChars="150"/>
        <w:rPr>
          <w:sz w:val="24"/>
          <w:szCs w:val="24"/>
        </w:rPr>
      </w:pPr>
      <w:r>
        <w:rPr>
          <w:rFonts w:hint="eastAsia"/>
          <w:sz w:val="24"/>
          <w:szCs w:val="24"/>
        </w:rPr>
        <w:t>在交易报名查询页面中，点击“缴纳保证金”链接，进入该项目的缴纳保证金子账号生成页面。子账号申请功能向竞买人提供获取缴纳竞买保证金的子账号，投标人可以任意选择缴纳保证金的银行。</w:t>
      </w:r>
    </w:p>
    <w:p w14:paraId="46C928CA">
      <w:pPr>
        <w:spacing w:before="62" w:beforeLines="20" w:after="62" w:afterLines="20" w:line="360" w:lineRule="auto"/>
        <w:ind w:left="105" w:leftChars="50" w:firstLine="360" w:firstLineChars="150"/>
        <w:rPr>
          <w:sz w:val="24"/>
          <w:szCs w:val="24"/>
        </w:rPr>
      </w:pPr>
      <w:r>
        <w:rPr>
          <w:sz w:val="24"/>
          <w:szCs w:val="24"/>
        </w:rPr>
        <w:drawing>
          <wp:inline distT="0" distB="0" distL="0" distR="0">
            <wp:extent cx="5274310" cy="31978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197860"/>
                    </a:xfrm>
                    <a:prstGeom prst="rect">
                      <a:avLst/>
                    </a:prstGeom>
                    <a:noFill/>
                    <a:ln>
                      <a:noFill/>
                    </a:ln>
                  </pic:spPr>
                </pic:pic>
              </a:graphicData>
            </a:graphic>
          </wp:inline>
        </w:drawing>
      </w:r>
    </w:p>
    <w:p w14:paraId="2E2EB157">
      <w:pPr>
        <w:spacing w:before="62" w:beforeLines="20" w:after="62" w:afterLines="20" w:line="360" w:lineRule="auto"/>
      </w:pPr>
      <w:r>
        <w:rPr>
          <w:sz w:val="24"/>
          <w:szCs w:val="24"/>
        </w:rPr>
        <w:t xml:space="preserve"> </w:t>
      </w:r>
      <w:r>
        <w:rPr>
          <w:rFonts w:hint="eastAsia"/>
          <w:sz w:val="24"/>
          <w:szCs w:val="24"/>
        </w:rPr>
        <w:t>点击“确认，下一步”，系统提醒是否生成保证金缴纳账号。</w:t>
      </w:r>
      <w:r>
        <w:rPr>
          <w:rFonts w:hint="eastAsia"/>
        </w:rPr>
        <w:t xml:space="preserve"> </w:t>
      </w:r>
    </w:p>
    <w:p w14:paraId="505615EB">
      <w:pPr>
        <w:spacing w:before="62" w:beforeLines="20" w:after="62" w:afterLines="20" w:line="360" w:lineRule="auto"/>
        <w:ind w:firstLine="420" w:firstLineChars="200"/>
        <w:jc w:val="center"/>
      </w:pPr>
      <w:r>
        <w:drawing>
          <wp:inline distT="0" distB="0" distL="0" distR="0">
            <wp:extent cx="2973705" cy="125666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024775" cy="1278629"/>
                    </a:xfrm>
                    <a:prstGeom prst="rect">
                      <a:avLst/>
                    </a:prstGeom>
                  </pic:spPr>
                </pic:pic>
              </a:graphicData>
            </a:graphic>
          </wp:inline>
        </w:drawing>
      </w:r>
    </w:p>
    <w:p w14:paraId="1193C4DF">
      <w:pPr>
        <w:spacing w:before="62" w:beforeLines="20" w:after="62" w:afterLines="20" w:line="360" w:lineRule="auto"/>
        <w:ind w:firstLine="420" w:firstLineChars="200"/>
        <w:jc w:val="center"/>
      </w:pPr>
    </w:p>
    <w:p w14:paraId="6CF45316">
      <w:pPr>
        <w:spacing w:before="62" w:beforeLines="20" w:after="62" w:afterLines="20" w:line="360" w:lineRule="auto"/>
        <w:ind w:firstLine="480" w:firstLineChars="200"/>
        <w:rPr>
          <w:sz w:val="24"/>
          <w:szCs w:val="24"/>
        </w:rPr>
      </w:pPr>
      <w:r>
        <w:rPr>
          <w:rFonts w:hint="eastAsia"/>
          <w:sz w:val="24"/>
          <w:szCs w:val="24"/>
        </w:rPr>
        <w:t>点击“是”，系统会生成缴纳保证金的子账号，竞投人进行缴纳保证金，竞投人必须成功缴纳保证金后，并由交易平台对账成功，</w:t>
      </w:r>
      <w:r>
        <w:rPr>
          <w:rFonts w:hint="eastAsia" w:ascii="宋体" w:hAnsi="宋体" w:eastAsia="宋体" w:cs="Times New Roman"/>
          <w:sz w:val="24"/>
          <w:szCs w:val="24"/>
        </w:rPr>
        <w:t>转账成功后系统自动更新保证金缴纳状态</w:t>
      </w:r>
      <w:r>
        <w:rPr>
          <w:rFonts w:hint="eastAsia"/>
          <w:sz w:val="24"/>
          <w:szCs w:val="24"/>
        </w:rPr>
        <w:t>，才能进行网上竞买出价。</w:t>
      </w:r>
    </w:p>
    <w:p w14:paraId="7424560B">
      <w:pPr>
        <w:spacing w:before="62" w:beforeLines="20" w:after="62" w:afterLines="20" w:line="360" w:lineRule="auto"/>
        <w:rPr>
          <w:sz w:val="24"/>
          <w:szCs w:val="24"/>
        </w:rPr>
      </w:pPr>
    </w:p>
    <w:p w14:paraId="3105E94B">
      <w:pPr>
        <w:spacing w:before="62" w:beforeLines="20" w:after="62" w:afterLines="20" w:line="360" w:lineRule="auto"/>
        <w:rPr>
          <w:color w:val="FF0000"/>
          <w:sz w:val="24"/>
          <w:szCs w:val="24"/>
        </w:rPr>
      </w:pPr>
      <w:r>
        <w:rPr>
          <w:color w:val="FF0000"/>
          <w:sz w:val="24"/>
          <w:szCs w:val="24"/>
        </w:rPr>
        <w:drawing>
          <wp:inline distT="0" distB="0" distL="0" distR="0">
            <wp:extent cx="5274310" cy="29406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2940685"/>
                    </a:xfrm>
                    <a:prstGeom prst="rect">
                      <a:avLst/>
                    </a:prstGeom>
                    <a:noFill/>
                    <a:ln>
                      <a:noFill/>
                    </a:ln>
                  </pic:spPr>
                </pic:pic>
              </a:graphicData>
            </a:graphic>
          </wp:inline>
        </w:drawing>
      </w:r>
    </w:p>
    <w:p w14:paraId="4AD3C17B">
      <w:pPr>
        <w:spacing w:before="62" w:beforeLines="20" w:after="62" w:afterLines="20" w:line="360" w:lineRule="auto"/>
        <w:rPr>
          <w:sz w:val="24"/>
          <w:szCs w:val="24"/>
        </w:rPr>
      </w:pPr>
      <w:r>
        <w:rPr>
          <w:rFonts w:hint="eastAsia" w:ascii="宋体" w:hAnsi="宋体" w:eastAsia="宋体" w:cs="Times New Roman"/>
          <w:sz w:val="24"/>
          <w:szCs w:val="24"/>
        </w:rPr>
        <w:t>点击“打印”按钮，可以下载及打印保证金缴纳信息。</w:t>
      </w:r>
    </w:p>
    <w:p w14:paraId="38B2605A">
      <w:pPr>
        <w:spacing w:before="62" w:beforeLines="20" w:after="62" w:afterLines="20" w:line="360" w:lineRule="auto"/>
        <w:rPr>
          <w:sz w:val="24"/>
          <w:szCs w:val="24"/>
        </w:rPr>
      </w:pPr>
    </w:p>
    <w:p w14:paraId="2E274047">
      <w:pPr>
        <w:spacing w:before="62" w:beforeLines="20" w:after="62" w:afterLines="20" w:line="360" w:lineRule="auto"/>
        <w:rPr>
          <w:sz w:val="24"/>
          <w:szCs w:val="24"/>
        </w:rPr>
      </w:pPr>
      <w:r>
        <w:rPr>
          <w:rFonts w:hint="eastAsia"/>
          <w:sz w:val="24"/>
          <w:szCs w:val="24"/>
        </w:rPr>
        <w:t>竞买人缴纳保证金后，系统自动发送短信提醒到报名人手机。</w:t>
      </w:r>
    </w:p>
    <w:p w14:paraId="32D9A6A1">
      <w:pPr>
        <w:spacing w:before="62" w:beforeLines="20" w:after="62" w:afterLines="20" w:line="360" w:lineRule="auto"/>
        <w:jc w:val="center"/>
        <w:rPr>
          <w:sz w:val="24"/>
          <w:szCs w:val="24"/>
        </w:rPr>
      </w:pPr>
      <w:r>
        <w:drawing>
          <wp:inline distT="0" distB="0" distL="0" distR="0">
            <wp:extent cx="1965960" cy="17075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1969705" cy="1711182"/>
                    </a:xfrm>
                    <a:prstGeom prst="rect">
                      <a:avLst/>
                    </a:prstGeom>
                  </pic:spPr>
                </pic:pic>
              </a:graphicData>
            </a:graphic>
          </wp:inline>
        </w:drawing>
      </w:r>
    </w:p>
    <w:p w14:paraId="62DA493A">
      <w:pPr>
        <w:spacing w:before="62" w:beforeLines="20" w:after="62" w:afterLines="20" w:line="360" w:lineRule="auto"/>
        <w:rPr>
          <w:sz w:val="24"/>
          <w:szCs w:val="24"/>
        </w:rPr>
      </w:pPr>
      <w:r>
        <w:rPr>
          <w:rFonts w:hint="eastAsia"/>
          <w:sz w:val="24"/>
          <w:szCs w:val="24"/>
        </w:rPr>
        <w:t>也可以登录系统点击“保证金退回 &gt;竞买人退保申请”，进入退保申请查询页面，可以查询保证金缴纳记录和退保记录。</w:t>
      </w:r>
    </w:p>
    <w:p w14:paraId="6B380EA2">
      <w:pPr>
        <w:spacing w:before="62" w:beforeLines="20" w:after="62" w:afterLines="20" w:line="360" w:lineRule="auto"/>
        <w:rPr>
          <w:sz w:val="24"/>
          <w:szCs w:val="24"/>
        </w:rPr>
      </w:pPr>
      <w:r>
        <w:drawing>
          <wp:inline distT="0" distB="0" distL="0" distR="0">
            <wp:extent cx="5274310" cy="2901315"/>
            <wp:effectExtent l="0" t="0" r="2540" b="0"/>
            <wp:docPr id="505489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89320" name="图片 1"/>
                    <pic:cNvPicPr>
                      <a:picLocks noChangeAspect="1"/>
                    </pic:cNvPicPr>
                  </pic:nvPicPr>
                  <pic:blipFill>
                    <a:blip r:embed="rId20"/>
                    <a:stretch>
                      <a:fillRect/>
                    </a:stretch>
                  </pic:blipFill>
                  <pic:spPr>
                    <a:xfrm>
                      <a:off x="0" y="0"/>
                      <a:ext cx="5274310" cy="2901315"/>
                    </a:xfrm>
                    <a:prstGeom prst="rect">
                      <a:avLst/>
                    </a:prstGeom>
                  </pic:spPr>
                </pic:pic>
              </a:graphicData>
            </a:graphic>
          </wp:inline>
        </w:drawing>
      </w:r>
    </w:p>
    <w:p w14:paraId="60965183">
      <w:pPr>
        <w:spacing w:before="62" w:beforeLines="20" w:after="62" w:afterLines="20" w:line="360" w:lineRule="auto"/>
        <w:rPr>
          <w:sz w:val="24"/>
          <w:szCs w:val="24"/>
        </w:rPr>
      </w:pPr>
    </w:p>
    <w:p w14:paraId="01C207C1">
      <w:pPr>
        <w:spacing w:before="62" w:beforeLines="20" w:after="62" w:afterLines="20" w:line="360" w:lineRule="auto"/>
        <w:rPr>
          <w:sz w:val="24"/>
          <w:szCs w:val="24"/>
        </w:rPr>
      </w:pPr>
      <w:r>
        <w:rPr>
          <w:rFonts w:hint="eastAsia"/>
          <w:sz w:val="24"/>
          <w:szCs w:val="24"/>
        </w:rPr>
        <w:t>点击“查看”按钮，查看缴纳保证金明细和退保申请明细。</w:t>
      </w:r>
    </w:p>
    <w:p w14:paraId="0BB01F94">
      <w:pPr>
        <w:spacing w:before="62" w:beforeLines="20" w:after="62" w:afterLines="20" w:line="360" w:lineRule="auto"/>
        <w:rPr>
          <w:sz w:val="24"/>
          <w:szCs w:val="24"/>
        </w:rPr>
      </w:pPr>
      <w:r>
        <w:drawing>
          <wp:inline distT="0" distB="0" distL="0" distR="0">
            <wp:extent cx="5274310" cy="2458720"/>
            <wp:effectExtent l="0" t="0" r="2540" b="0"/>
            <wp:docPr id="3868954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95406" name="图片 1"/>
                    <pic:cNvPicPr>
                      <a:picLocks noChangeAspect="1"/>
                    </pic:cNvPicPr>
                  </pic:nvPicPr>
                  <pic:blipFill>
                    <a:blip r:embed="rId21"/>
                    <a:stretch>
                      <a:fillRect/>
                    </a:stretch>
                  </pic:blipFill>
                  <pic:spPr>
                    <a:xfrm>
                      <a:off x="0" y="0"/>
                      <a:ext cx="5274310" cy="2458720"/>
                    </a:xfrm>
                    <a:prstGeom prst="rect">
                      <a:avLst/>
                    </a:prstGeom>
                  </pic:spPr>
                </pic:pic>
              </a:graphicData>
            </a:graphic>
          </wp:inline>
        </w:drawing>
      </w:r>
    </w:p>
    <w:p w14:paraId="7EB82789">
      <w:pPr>
        <w:spacing w:before="62" w:beforeLines="20" w:after="62" w:afterLines="20" w:line="360" w:lineRule="auto"/>
        <w:rPr>
          <w:color w:val="FF0000"/>
          <w:sz w:val="24"/>
          <w:szCs w:val="24"/>
        </w:rPr>
      </w:pPr>
    </w:p>
    <w:p w14:paraId="79D1C17F">
      <w:pPr>
        <w:spacing w:before="62" w:beforeLines="20" w:after="62" w:afterLines="20" w:line="360" w:lineRule="auto"/>
        <w:rPr>
          <w:color w:val="FF0000"/>
          <w:sz w:val="24"/>
          <w:szCs w:val="24"/>
        </w:rPr>
      </w:pPr>
      <w:r>
        <w:rPr>
          <w:rFonts w:hint="eastAsia"/>
          <w:color w:val="FF0000"/>
          <w:sz w:val="24"/>
          <w:szCs w:val="24"/>
        </w:rPr>
        <w:t>*注意事项</w:t>
      </w:r>
    </w:p>
    <w:p w14:paraId="7EF91719">
      <w:pPr>
        <w:spacing w:before="62" w:beforeLines="20" w:after="62" w:afterLines="20" w:line="360" w:lineRule="auto"/>
        <w:rPr>
          <w:sz w:val="24"/>
          <w:szCs w:val="24"/>
        </w:rPr>
      </w:pPr>
      <w:r>
        <w:rPr>
          <w:rFonts w:hint="eastAsia"/>
          <w:sz w:val="24"/>
          <w:szCs w:val="24"/>
        </w:rPr>
        <w:t>根据银行跨行转账时间惯例，异地跨行转账一般2个工作日到账，本地跨行转账一般1个工作日到账。为确保投标保证金有效，请投标人预留足够的异地或跨行转账时间，提前转账；</w:t>
      </w:r>
    </w:p>
    <w:p w14:paraId="34F824ED">
      <w:pPr>
        <w:spacing w:before="62" w:beforeLines="20" w:after="62" w:afterLines="20" w:line="360" w:lineRule="auto"/>
        <w:rPr>
          <w:sz w:val="24"/>
          <w:szCs w:val="24"/>
        </w:rPr>
      </w:pPr>
    </w:p>
    <w:p w14:paraId="2EAD61E7">
      <w:pPr>
        <w:pStyle w:val="3"/>
        <w:rPr>
          <w:rFonts w:ascii="宋体" w:hAnsi="宋体" w:eastAsia="宋体"/>
        </w:rPr>
      </w:pPr>
      <w:bookmarkStart w:id="6" w:name="_Toc223963342"/>
      <w:r>
        <w:rPr>
          <w:rFonts w:ascii="宋体" w:hAnsi="宋体" w:eastAsia="宋体"/>
        </w:rPr>
        <w:t xml:space="preserve">2.3 </w:t>
      </w:r>
      <w:r>
        <w:rPr>
          <w:rFonts w:hint="eastAsia" w:ascii="宋体" w:hAnsi="宋体" w:eastAsia="宋体"/>
        </w:rPr>
        <w:t>交易竞价</w:t>
      </w:r>
      <w:bookmarkEnd w:id="6"/>
    </w:p>
    <w:p w14:paraId="4C91B189">
      <w:pPr>
        <w:spacing w:before="62" w:beforeLines="20" w:after="62" w:afterLines="20" w:line="360" w:lineRule="auto"/>
        <w:ind w:firstLine="480" w:firstLineChars="200"/>
        <w:rPr>
          <w:sz w:val="24"/>
          <w:szCs w:val="24"/>
        </w:rPr>
      </w:pPr>
      <w:r>
        <w:rPr>
          <w:rFonts w:hint="eastAsia"/>
          <w:sz w:val="24"/>
          <w:szCs w:val="24"/>
        </w:rPr>
        <w:t>竞买人点击菜单“竞买人报名 &gt;报名查询”, 交易报名查询页面</w:t>
      </w:r>
      <w:r>
        <w:rPr>
          <w:sz w:val="24"/>
          <w:szCs w:val="24"/>
        </w:rPr>
        <w:t>。</w:t>
      </w:r>
    </w:p>
    <w:p w14:paraId="0C54ADB7">
      <w:pPr>
        <w:spacing w:before="62" w:beforeLines="20" w:after="62" w:afterLines="20" w:line="360" w:lineRule="auto"/>
        <w:ind w:firstLine="420" w:firstLineChars="200"/>
        <w:rPr>
          <w:sz w:val="24"/>
          <w:szCs w:val="24"/>
        </w:rPr>
      </w:pPr>
      <w:r>
        <w:drawing>
          <wp:inline distT="0" distB="0" distL="0" distR="0">
            <wp:extent cx="5274310" cy="2764155"/>
            <wp:effectExtent l="0" t="0" r="2540" b="0"/>
            <wp:docPr id="2026913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3481" name="图片 1"/>
                    <pic:cNvPicPr>
                      <a:picLocks noChangeAspect="1"/>
                    </pic:cNvPicPr>
                  </pic:nvPicPr>
                  <pic:blipFill>
                    <a:blip r:embed="rId22"/>
                    <a:stretch>
                      <a:fillRect/>
                    </a:stretch>
                  </pic:blipFill>
                  <pic:spPr>
                    <a:xfrm>
                      <a:off x="0" y="0"/>
                      <a:ext cx="5274310" cy="2764155"/>
                    </a:xfrm>
                    <a:prstGeom prst="rect">
                      <a:avLst/>
                    </a:prstGeom>
                  </pic:spPr>
                </pic:pic>
              </a:graphicData>
            </a:graphic>
          </wp:inline>
        </w:drawing>
      </w:r>
    </w:p>
    <w:p w14:paraId="2798E9E6">
      <w:pPr>
        <w:spacing w:before="62" w:beforeLines="20" w:after="62" w:afterLines="20" w:line="360" w:lineRule="auto"/>
        <w:ind w:firstLine="480" w:firstLineChars="200"/>
        <w:rPr>
          <w:sz w:val="24"/>
          <w:szCs w:val="24"/>
        </w:rPr>
      </w:pPr>
    </w:p>
    <w:p w14:paraId="3051DAAC">
      <w:pPr>
        <w:spacing w:before="62" w:beforeLines="20" w:after="62" w:afterLines="20" w:line="360" w:lineRule="auto"/>
        <w:ind w:firstLine="480" w:firstLineChars="200"/>
        <w:rPr>
          <w:sz w:val="24"/>
          <w:szCs w:val="24"/>
        </w:rPr>
      </w:pPr>
      <w:r>
        <w:rPr>
          <w:rFonts w:hint="eastAsia"/>
          <w:sz w:val="24"/>
          <w:szCs w:val="24"/>
        </w:rPr>
        <w:t>在交易报名查询页面中，点击“竞买出价”链接，进入竞买页面。</w:t>
      </w:r>
    </w:p>
    <w:p w14:paraId="4F3EC237">
      <w:pPr>
        <w:spacing w:before="62" w:beforeLines="20" w:after="62" w:afterLines="20" w:line="360" w:lineRule="auto"/>
        <w:ind w:firstLine="420" w:firstLineChars="200"/>
        <w:jc w:val="center"/>
        <w:rPr>
          <w:sz w:val="24"/>
          <w:szCs w:val="24"/>
        </w:rPr>
      </w:pPr>
      <w:r>
        <w:drawing>
          <wp:inline distT="0" distB="0" distL="0" distR="0">
            <wp:extent cx="5274310" cy="3183890"/>
            <wp:effectExtent l="0" t="0" r="2540" b="0"/>
            <wp:docPr id="18493535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53540" name="图片 1"/>
                    <pic:cNvPicPr>
                      <a:picLocks noChangeAspect="1"/>
                    </pic:cNvPicPr>
                  </pic:nvPicPr>
                  <pic:blipFill>
                    <a:blip r:embed="rId23"/>
                    <a:stretch>
                      <a:fillRect/>
                    </a:stretch>
                  </pic:blipFill>
                  <pic:spPr>
                    <a:xfrm>
                      <a:off x="0" y="0"/>
                      <a:ext cx="5274310" cy="3183890"/>
                    </a:xfrm>
                    <a:prstGeom prst="rect">
                      <a:avLst/>
                    </a:prstGeom>
                  </pic:spPr>
                </pic:pic>
              </a:graphicData>
            </a:graphic>
          </wp:inline>
        </w:drawing>
      </w:r>
    </w:p>
    <w:p w14:paraId="35AD87A1">
      <w:pPr>
        <w:spacing w:before="62" w:beforeLines="20" w:after="62" w:afterLines="20" w:line="360" w:lineRule="auto"/>
        <w:ind w:firstLine="480" w:firstLineChars="200"/>
        <w:rPr>
          <w:sz w:val="24"/>
          <w:szCs w:val="24"/>
        </w:rPr>
      </w:pPr>
    </w:p>
    <w:p w14:paraId="5D39088C">
      <w:pPr>
        <w:spacing w:before="62" w:beforeLines="20" w:after="62" w:afterLines="20" w:line="360" w:lineRule="auto"/>
        <w:ind w:firstLine="480" w:firstLineChars="200"/>
        <w:rPr>
          <w:sz w:val="24"/>
          <w:szCs w:val="24"/>
        </w:rPr>
      </w:pPr>
      <w:r>
        <w:rPr>
          <w:rFonts w:hint="eastAsia"/>
          <w:sz w:val="24"/>
          <w:szCs w:val="24"/>
        </w:rPr>
        <w:t>在竞买页面中，竞投人进行出价竞买。支持倍数报价、手工报价。</w:t>
      </w:r>
    </w:p>
    <w:p w14:paraId="7009D3A0">
      <w:pPr>
        <w:spacing w:before="62" w:beforeLines="20" w:after="62" w:afterLines="20" w:line="360" w:lineRule="auto"/>
        <w:ind w:firstLine="420" w:firstLineChars="200"/>
        <w:rPr>
          <w:sz w:val="24"/>
          <w:szCs w:val="24"/>
        </w:rPr>
      </w:pPr>
      <w:r>
        <w:drawing>
          <wp:inline distT="0" distB="0" distL="0" distR="0">
            <wp:extent cx="5274310" cy="2955925"/>
            <wp:effectExtent l="0" t="0" r="2540" b="0"/>
            <wp:docPr id="1168143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43570" name="图片 1"/>
                    <pic:cNvPicPr>
                      <a:picLocks noChangeAspect="1"/>
                    </pic:cNvPicPr>
                  </pic:nvPicPr>
                  <pic:blipFill>
                    <a:blip r:embed="rId24"/>
                    <a:stretch>
                      <a:fillRect/>
                    </a:stretch>
                  </pic:blipFill>
                  <pic:spPr>
                    <a:xfrm>
                      <a:off x="0" y="0"/>
                      <a:ext cx="5274310" cy="2955925"/>
                    </a:xfrm>
                    <a:prstGeom prst="rect">
                      <a:avLst/>
                    </a:prstGeom>
                  </pic:spPr>
                </pic:pic>
              </a:graphicData>
            </a:graphic>
          </wp:inline>
        </w:drawing>
      </w:r>
    </w:p>
    <w:p w14:paraId="44088920">
      <w:pPr>
        <w:spacing w:before="62" w:beforeLines="20" w:after="62" w:afterLines="20" w:line="360" w:lineRule="auto"/>
        <w:ind w:firstLine="420" w:firstLineChars="200"/>
        <w:rPr>
          <w:sz w:val="24"/>
          <w:szCs w:val="24"/>
        </w:rPr>
      </w:pPr>
      <w:r>
        <w:drawing>
          <wp:inline distT="0" distB="0" distL="0" distR="0">
            <wp:extent cx="5274310" cy="2946400"/>
            <wp:effectExtent l="0" t="0" r="2540" b="6350"/>
            <wp:docPr id="16110765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76564" name="图片 1"/>
                    <pic:cNvPicPr>
                      <a:picLocks noChangeAspect="1"/>
                    </pic:cNvPicPr>
                  </pic:nvPicPr>
                  <pic:blipFill>
                    <a:blip r:embed="rId25"/>
                    <a:stretch>
                      <a:fillRect/>
                    </a:stretch>
                  </pic:blipFill>
                  <pic:spPr>
                    <a:xfrm>
                      <a:off x="0" y="0"/>
                      <a:ext cx="5274310" cy="2946400"/>
                    </a:xfrm>
                    <a:prstGeom prst="rect">
                      <a:avLst/>
                    </a:prstGeom>
                  </pic:spPr>
                </pic:pic>
              </a:graphicData>
            </a:graphic>
          </wp:inline>
        </w:drawing>
      </w:r>
    </w:p>
    <w:p w14:paraId="16816EF6">
      <w:pPr>
        <w:spacing w:before="62" w:beforeLines="20" w:after="62" w:afterLines="20" w:line="360" w:lineRule="auto"/>
        <w:ind w:firstLine="480" w:firstLineChars="200"/>
        <w:rPr>
          <w:sz w:val="24"/>
          <w:szCs w:val="24"/>
        </w:rPr>
      </w:pPr>
      <w:r>
        <w:rPr>
          <w:rFonts w:hint="eastAsia"/>
          <w:sz w:val="24"/>
          <w:szCs w:val="24"/>
        </w:rPr>
        <w:t>确认出价后，出价记录页签会显示出价记录，如果是当前角色出价，会显示“我的出价”标签。</w:t>
      </w:r>
    </w:p>
    <w:p w14:paraId="7E8AA124">
      <w:pPr>
        <w:spacing w:before="62" w:beforeLines="20" w:after="62" w:afterLines="20" w:line="360" w:lineRule="auto"/>
        <w:ind w:firstLine="420" w:firstLineChars="200"/>
        <w:rPr>
          <w:sz w:val="24"/>
          <w:szCs w:val="24"/>
        </w:rPr>
      </w:pPr>
      <w:r>
        <w:drawing>
          <wp:inline distT="0" distB="0" distL="0" distR="0">
            <wp:extent cx="5274310" cy="3098800"/>
            <wp:effectExtent l="0" t="0" r="2540" b="6350"/>
            <wp:docPr id="2113994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94418" name="图片 1"/>
                    <pic:cNvPicPr>
                      <a:picLocks noChangeAspect="1"/>
                    </pic:cNvPicPr>
                  </pic:nvPicPr>
                  <pic:blipFill>
                    <a:blip r:embed="rId26"/>
                    <a:stretch>
                      <a:fillRect/>
                    </a:stretch>
                  </pic:blipFill>
                  <pic:spPr>
                    <a:xfrm>
                      <a:off x="0" y="0"/>
                      <a:ext cx="5274310" cy="3098800"/>
                    </a:xfrm>
                    <a:prstGeom prst="rect">
                      <a:avLst/>
                    </a:prstGeom>
                  </pic:spPr>
                </pic:pic>
              </a:graphicData>
            </a:graphic>
          </wp:inline>
        </w:drawing>
      </w:r>
    </w:p>
    <w:p w14:paraId="2754D0C0">
      <w:pPr>
        <w:spacing w:before="62" w:beforeLines="20" w:after="62" w:afterLines="20" w:line="360" w:lineRule="auto"/>
        <w:ind w:firstLine="480" w:firstLineChars="200"/>
        <w:rPr>
          <w:sz w:val="24"/>
          <w:szCs w:val="24"/>
        </w:rPr>
      </w:pPr>
    </w:p>
    <w:p w14:paraId="7BD91429">
      <w:pPr>
        <w:spacing w:before="62" w:beforeLines="20" w:after="62" w:afterLines="20" w:line="360" w:lineRule="auto"/>
        <w:ind w:firstLine="480" w:firstLineChars="200"/>
        <w:rPr>
          <w:sz w:val="24"/>
          <w:szCs w:val="24"/>
        </w:rPr>
      </w:pPr>
      <w:r>
        <w:rPr>
          <w:rFonts w:hint="eastAsia"/>
          <w:sz w:val="24"/>
          <w:szCs w:val="24"/>
        </w:rPr>
        <w:t>当挂牌截止时间结束后，自动进入“延时竞价中”环节，延时竞价周期5分钟。在此期间若任意竞买人有新报出价，则所有竞买人立即进入延时竞价阶段。</w:t>
      </w:r>
    </w:p>
    <w:p w14:paraId="51E774DC">
      <w:pPr>
        <w:spacing w:before="62" w:beforeLines="20" w:after="62" w:afterLines="20" w:line="360" w:lineRule="auto"/>
        <w:ind w:firstLine="420" w:firstLineChars="200"/>
        <w:rPr>
          <w:sz w:val="24"/>
          <w:szCs w:val="24"/>
        </w:rPr>
      </w:pPr>
      <w:r>
        <w:drawing>
          <wp:inline distT="0" distB="0" distL="0" distR="0">
            <wp:extent cx="5274310" cy="3291205"/>
            <wp:effectExtent l="0" t="0" r="2540" b="4445"/>
            <wp:docPr id="2112639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3990" name="图片 1"/>
                    <pic:cNvPicPr>
                      <a:picLocks noChangeAspect="1"/>
                    </pic:cNvPicPr>
                  </pic:nvPicPr>
                  <pic:blipFill>
                    <a:blip r:embed="rId27"/>
                    <a:stretch>
                      <a:fillRect/>
                    </a:stretch>
                  </pic:blipFill>
                  <pic:spPr>
                    <a:xfrm>
                      <a:off x="0" y="0"/>
                      <a:ext cx="5274310" cy="3291205"/>
                    </a:xfrm>
                    <a:prstGeom prst="rect">
                      <a:avLst/>
                    </a:prstGeom>
                  </pic:spPr>
                </pic:pic>
              </a:graphicData>
            </a:graphic>
          </wp:inline>
        </w:drawing>
      </w:r>
    </w:p>
    <w:p w14:paraId="377B0173">
      <w:pPr>
        <w:spacing w:before="62" w:beforeLines="20" w:after="62" w:afterLines="20" w:line="360" w:lineRule="auto"/>
        <w:ind w:firstLine="480" w:firstLineChars="200"/>
        <w:rPr>
          <w:sz w:val="24"/>
          <w:szCs w:val="24"/>
        </w:rPr>
      </w:pPr>
      <w:r>
        <w:rPr>
          <w:rFonts w:hint="eastAsia"/>
          <w:sz w:val="24"/>
          <w:szCs w:val="24"/>
        </w:rPr>
        <w:t>延时竞价环节结束后，系统自动显示竞价结果待公布状态，需要等待中心公布竞价结果。</w:t>
      </w:r>
    </w:p>
    <w:p w14:paraId="04F37757">
      <w:pPr>
        <w:spacing w:before="62" w:beforeLines="20" w:after="62" w:afterLines="20" w:line="360" w:lineRule="auto"/>
        <w:ind w:firstLine="420" w:firstLineChars="200"/>
        <w:rPr>
          <w:sz w:val="24"/>
          <w:szCs w:val="24"/>
        </w:rPr>
      </w:pPr>
      <w:r>
        <w:drawing>
          <wp:inline distT="0" distB="0" distL="0" distR="0">
            <wp:extent cx="5274310" cy="3121660"/>
            <wp:effectExtent l="0" t="0" r="2540" b="2540"/>
            <wp:docPr id="389519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19471" name="图片 1"/>
                    <pic:cNvPicPr>
                      <a:picLocks noChangeAspect="1"/>
                    </pic:cNvPicPr>
                  </pic:nvPicPr>
                  <pic:blipFill>
                    <a:blip r:embed="rId28"/>
                    <a:stretch>
                      <a:fillRect/>
                    </a:stretch>
                  </pic:blipFill>
                  <pic:spPr>
                    <a:xfrm>
                      <a:off x="0" y="0"/>
                      <a:ext cx="5274310" cy="3121660"/>
                    </a:xfrm>
                    <a:prstGeom prst="rect">
                      <a:avLst/>
                    </a:prstGeom>
                  </pic:spPr>
                </pic:pic>
              </a:graphicData>
            </a:graphic>
          </wp:inline>
        </w:drawing>
      </w:r>
    </w:p>
    <w:p w14:paraId="0B3600ED">
      <w:pPr>
        <w:spacing w:before="62" w:beforeLines="20" w:after="62" w:afterLines="20" w:line="360" w:lineRule="auto"/>
        <w:ind w:firstLine="480" w:firstLineChars="200"/>
        <w:jc w:val="center"/>
        <w:rPr>
          <w:sz w:val="24"/>
          <w:szCs w:val="24"/>
        </w:rPr>
      </w:pPr>
    </w:p>
    <w:p w14:paraId="31CE400B">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中心竞价结果公布后，参与竞买人可以在报名查询查看当前竞拍成功状态。是否竞拍成功。</w:t>
      </w:r>
    </w:p>
    <w:p w14:paraId="507BA576">
      <w:pPr>
        <w:spacing w:before="62" w:beforeLines="20" w:after="62" w:afterLines="20" w:line="360" w:lineRule="auto"/>
        <w:ind w:firstLine="420" w:firstLineChars="200"/>
      </w:pPr>
      <w:r>
        <w:drawing>
          <wp:inline distT="0" distB="0" distL="0" distR="0">
            <wp:extent cx="5274310" cy="2689225"/>
            <wp:effectExtent l="0" t="0" r="2540" b="0"/>
            <wp:docPr id="17953490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49048" name="图片 1"/>
                    <pic:cNvPicPr>
                      <a:picLocks noChangeAspect="1"/>
                    </pic:cNvPicPr>
                  </pic:nvPicPr>
                  <pic:blipFill>
                    <a:blip r:embed="rId29"/>
                    <a:stretch>
                      <a:fillRect/>
                    </a:stretch>
                  </pic:blipFill>
                  <pic:spPr>
                    <a:xfrm>
                      <a:off x="0" y="0"/>
                      <a:ext cx="5274310" cy="2689225"/>
                    </a:xfrm>
                    <a:prstGeom prst="rect">
                      <a:avLst/>
                    </a:prstGeom>
                  </pic:spPr>
                </pic:pic>
              </a:graphicData>
            </a:graphic>
          </wp:inline>
        </w:drawing>
      </w:r>
    </w:p>
    <w:p w14:paraId="328773F0">
      <w:pPr>
        <w:spacing w:before="62" w:beforeLines="20" w:after="62" w:afterLines="20" w:line="360" w:lineRule="auto"/>
        <w:ind w:firstLine="480" w:firstLineChars="200"/>
        <w:jc w:val="center"/>
        <w:rPr>
          <w:sz w:val="24"/>
          <w:szCs w:val="24"/>
        </w:rPr>
      </w:pPr>
    </w:p>
    <w:p w14:paraId="11779063">
      <w:pPr>
        <w:pStyle w:val="3"/>
        <w:rPr>
          <w:rFonts w:ascii="宋体" w:hAnsi="宋体" w:eastAsia="宋体"/>
        </w:rPr>
      </w:pPr>
      <w:bookmarkStart w:id="7" w:name="_Toc223963343"/>
      <w:r>
        <w:rPr>
          <w:rFonts w:ascii="宋体" w:hAnsi="宋体" w:eastAsia="宋体"/>
        </w:rPr>
        <w:t xml:space="preserve">2.4 </w:t>
      </w:r>
      <w:r>
        <w:rPr>
          <w:rFonts w:hint="eastAsia" w:ascii="宋体" w:hAnsi="宋体" w:eastAsia="宋体"/>
        </w:rPr>
        <w:t>查看成交通知书</w:t>
      </w:r>
      <w:bookmarkEnd w:id="7"/>
    </w:p>
    <w:p w14:paraId="32EAE368">
      <w:pPr>
        <w:spacing w:before="62" w:beforeLines="20" w:after="62" w:afterLines="20" w:line="360" w:lineRule="auto"/>
        <w:ind w:firstLine="480" w:firstLineChars="200"/>
        <w:rPr>
          <w:sz w:val="24"/>
          <w:szCs w:val="24"/>
        </w:rPr>
      </w:pPr>
      <w:r>
        <w:rPr>
          <w:rFonts w:hint="eastAsia" w:ascii="宋体" w:hAnsi="宋体" w:eastAsia="宋体" w:cs="Times New Roman"/>
          <w:sz w:val="24"/>
          <w:szCs w:val="24"/>
        </w:rPr>
        <w:t>中心竞价结果公布后，竞投人竞价成功的，系统将发送中选通知书给中选企业。</w:t>
      </w:r>
      <w:r>
        <w:rPr>
          <w:rFonts w:hint="eastAsia"/>
          <w:sz w:val="24"/>
          <w:szCs w:val="24"/>
        </w:rPr>
        <w:t>竞得人点击菜单“交易竞拍 &gt;查看成交通知书（竞得人）”, 接收成交通知书页面</w:t>
      </w:r>
      <w:r>
        <w:rPr>
          <w:sz w:val="24"/>
          <w:szCs w:val="24"/>
        </w:rPr>
        <w:t>。</w:t>
      </w:r>
    </w:p>
    <w:p w14:paraId="7822E485">
      <w:pPr>
        <w:spacing w:line="360" w:lineRule="auto"/>
        <w:ind w:left="594" w:leftChars="183" w:hanging="210" w:hangingChars="100"/>
      </w:pPr>
      <w:r>
        <w:drawing>
          <wp:inline distT="0" distB="0" distL="0" distR="0">
            <wp:extent cx="5274310" cy="2679700"/>
            <wp:effectExtent l="0" t="0" r="2540" b="6350"/>
            <wp:docPr id="1799979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79556" name="图片 1"/>
                    <pic:cNvPicPr>
                      <a:picLocks noChangeAspect="1"/>
                    </pic:cNvPicPr>
                  </pic:nvPicPr>
                  <pic:blipFill>
                    <a:blip r:embed="rId30"/>
                    <a:stretch>
                      <a:fillRect/>
                    </a:stretch>
                  </pic:blipFill>
                  <pic:spPr>
                    <a:xfrm>
                      <a:off x="0" y="0"/>
                      <a:ext cx="5274310" cy="2679700"/>
                    </a:xfrm>
                    <a:prstGeom prst="rect">
                      <a:avLst/>
                    </a:prstGeom>
                  </pic:spPr>
                </pic:pic>
              </a:graphicData>
            </a:graphic>
          </wp:inline>
        </w:drawing>
      </w:r>
    </w:p>
    <w:p w14:paraId="6DA5B70D">
      <w:pPr>
        <w:spacing w:line="360" w:lineRule="auto"/>
        <w:ind w:left="624" w:leftChars="183" w:hanging="240" w:hangingChars="100"/>
        <w:rPr>
          <w:rFonts w:ascii="宋体" w:hAnsi="宋体" w:eastAsia="宋体" w:cs="Times New Roman"/>
          <w:sz w:val="24"/>
          <w:szCs w:val="24"/>
        </w:rPr>
      </w:pPr>
      <w:r>
        <w:rPr>
          <w:rFonts w:hint="eastAsia" w:ascii="宋体" w:hAnsi="宋体" w:eastAsia="宋体" w:cs="Times New Roman"/>
          <w:sz w:val="24"/>
          <w:szCs w:val="24"/>
        </w:rPr>
        <w:t>进入接收成交通知书面，点击“查看”可以查看附件及下载成交通知书。</w:t>
      </w:r>
    </w:p>
    <w:p w14:paraId="096C6DEE">
      <w:pPr>
        <w:spacing w:before="62" w:beforeLines="20" w:after="62" w:afterLines="20" w:line="360" w:lineRule="auto"/>
        <w:ind w:firstLine="420" w:firstLineChars="200"/>
      </w:pPr>
      <w:r>
        <w:drawing>
          <wp:inline distT="0" distB="0" distL="0" distR="0">
            <wp:extent cx="5274310" cy="1845310"/>
            <wp:effectExtent l="0" t="0" r="2540" b="2540"/>
            <wp:docPr id="890545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45259" name="图片 1"/>
                    <pic:cNvPicPr>
                      <a:picLocks noChangeAspect="1"/>
                    </pic:cNvPicPr>
                  </pic:nvPicPr>
                  <pic:blipFill>
                    <a:blip r:embed="rId31"/>
                    <a:stretch>
                      <a:fillRect/>
                    </a:stretch>
                  </pic:blipFill>
                  <pic:spPr>
                    <a:xfrm>
                      <a:off x="0" y="0"/>
                      <a:ext cx="5274310" cy="1845310"/>
                    </a:xfrm>
                    <a:prstGeom prst="rect">
                      <a:avLst/>
                    </a:prstGeom>
                  </pic:spPr>
                </pic:pic>
              </a:graphicData>
            </a:graphic>
          </wp:inline>
        </w:drawing>
      </w:r>
    </w:p>
    <w:p w14:paraId="1FC1EED9">
      <w:pPr>
        <w:spacing w:before="62" w:beforeLines="20" w:after="62" w:afterLines="20" w:line="360" w:lineRule="auto"/>
        <w:ind w:firstLine="420" w:firstLineChars="200"/>
      </w:pPr>
    </w:p>
    <w:p w14:paraId="6DF4B4D3">
      <w:pPr>
        <w:spacing w:before="62" w:beforeLines="20" w:after="62" w:afterLines="20" w:line="360" w:lineRule="auto"/>
        <w:ind w:firstLine="420" w:firstLineChars="200"/>
      </w:pPr>
      <w:r>
        <w:drawing>
          <wp:inline distT="0" distB="0" distL="0" distR="0">
            <wp:extent cx="5274310" cy="3148965"/>
            <wp:effectExtent l="0" t="0" r="2540" b="0"/>
            <wp:docPr id="769998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98705" name="图片 1"/>
                    <pic:cNvPicPr>
                      <a:picLocks noChangeAspect="1"/>
                    </pic:cNvPicPr>
                  </pic:nvPicPr>
                  <pic:blipFill>
                    <a:blip r:embed="rId32"/>
                    <a:stretch>
                      <a:fillRect/>
                    </a:stretch>
                  </pic:blipFill>
                  <pic:spPr>
                    <a:xfrm>
                      <a:off x="0" y="0"/>
                      <a:ext cx="5274310" cy="3148965"/>
                    </a:xfrm>
                    <a:prstGeom prst="rect">
                      <a:avLst/>
                    </a:prstGeom>
                  </pic:spPr>
                </pic:pic>
              </a:graphicData>
            </a:graphic>
          </wp:inline>
        </w:drawing>
      </w:r>
    </w:p>
    <w:p w14:paraId="5FC9F31E">
      <w:pPr>
        <w:spacing w:before="62" w:beforeLines="20" w:after="62" w:afterLines="20" w:line="360" w:lineRule="auto"/>
        <w:rPr>
          <w:sz w:val="24"/>
          <w:szCs w:val="24"/>
        </w:rPr>
      </w:pPr>
    </w:p>
    <w:p w14:paraId="6180B876">
      <w:pPr>
        <w:pStyle w:val="3"/>
        <w:rPr>
          <w:rFonts w:ascii="宋体" w:hAnsi="宋体" w:eastAsia="宋体"/>
        </w:rPr>
      </w:pPr>
      <w:bookmarkStart w:id="8" w:name="_Toc223963344"/>
      <w:r>
        <w:rPr>
          <w:rFonts w:ascii="宋体" w:hAnsi="宋体" w:eastAsia="宋体"/>
        </w:rPr>
        <w:t xml:space="preserve">2.5 </w:t>
      </w:r>
      <w:r>
        <w:rPr>
          <w:rFonts w:hint="eastAsia" w:ascii="宋体" w:hAnsi="宋体" w:eastAsia="宋体"/>
        </w:rPr>
        <w:t>提交资格材料</w:t>
      </w:r>
      <w:bookmarkEnd w:id="8"/>
    </w:p>
    <w:p w14:paraId="22317CA8">
      <w:pPr>
        <w:spacing w:before="62" w:beforeLines="20" w:after="62" w:afterLines="20" w:line="360" w:lineRule="auto"/>
        <w:ind w:firstLine="480" w:firstLineChars="200"/>
        <w:rPr>
          <w:sz w:val="24"/>
          <w:szCs w:val="24"/>
        </w:rPr>
      </w:pPr>
      <w:r>
        <w:rPr>
          <w:rFonts w:hint="eastAsia"/>
          <w:sz w:val="24"/>
          <w:szCs w:val="24"/>
        </w:rPr>
        <w:t>项目资格审查方式为后审，需要竞得人补充资格审查材料，竞得人点击菜单“交易结果处理 &gt;</w:t>
      </w:r>
      <w:r>
        <w:rPr>
          <w:sz w:val="24"/>
          <w:szCs w:val="24"/>
        </w:rPr>
        <w:t xml:space="preserve"> </w:t>
      </w:r>
      <w:r>
        <w:rPr>
          <w:rFonts w:hint="eastAsia"/>
          <w:sz w:val="24"/>
          <w:szCs w:val="24"/>
        </w:rPr>
        <w:t>提交资格材料”，进入上传报名资格审查材料页面，该页面中显示需要上传资格审核的项目。</w:t>
      </w:r>
    </w:p>
    <w:p w14:paraId="5F880130">
      <w:pPr>
        <w:pStyle w:val="18"/>
        <w:ind w:left="645" w:firstLine="0" w:firstLineChars="0"/>
      </w:pPr>
    </w:p>
    <w:p w14:paraId="7FA26533">
      <w:pPr>
        <w:ind w:firstLine="420" w:firstLineChars="200"/>
      </w:pPr>
      <w:r>
        <w:drawing>
          <wp:inline distT="0" distB="0" distL="0" distR="0">
            <wp:extent cx="5274310" cy="2713355"/>
            <wp:effectExtent l="0" t="0" r="2540" b="0"/>
            <wp:docPr id="649421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21117" name="图片 1"/>
                    <pic:cNvPicPr>
                      <a:picLocks noChangeAspect="1"/>
                    </pic:cNvPicPr>
                  </pic:nvPicPr>
                  <pic:blipFill>
                    <a:blip r:embed="rId33"/>
                    <a:stretch>
                      <a:fillRect/>
                    </a:stretch>
                  </pic:blipFill>
                  <pic:spPr>
                    <a:xfrm>
                      <a:off x="0" y="0"/>
                      <a:ext cx="5274310" cy="2713355"/>
                    </a:xfrm>
                    <a:prstGeom prst="rect">
                      <a:avLst/>
                    </a:prstGeom>
                  </pic:spPr>
                </pic:pic>
              </a:graphicData>
            </a:graphic>
          </wp:inline>
        </w:drawing>
      </w:r>
    </w:p>
    <w:p w14:paraId="141162C5">
      <w:pPr>
        <w:spacing w:before="62" w:beforeLines="20" w:after="62" w:afterLines="20" w:line="360" w:lineRule="auto"/>
        <w:ind w:firstLine="480" w:firstLineChars="200"/>
        <w:rPr>
          <w:sz w:val="24"/>
          <w:szCs w:val="24"/>
        </w:rPr>
      </w:pPr>
      <w:r>
        <w:rPr>
          <w:rFonts w:hint="eastAsia"/>
          <w:sz w:val="24"/>
          <w:szCs w:val="24"/>
        </w:rPr>
        <w:t xml:space="preserve">在上传报名资格审查材料页面中点击“上传”按钮，进入竞投人报名资格材料提交页面。 </w:t>
      </w:r>
    </w:p>
    <w:p w14:paraId="7A06E22D">
      <w:pPr>
        <w:ind w:firstLine="420" w:firstLineChars="200"/>
      </w:pPr>
      <w:r>
        <w:drawing>
          <wp:inline distT="0" distB="0" distL="0" distR="0">
            <wp:extent cx="5274310" cy="2908300"/>
            <wp:effectExtent l="0" t="0" r="2540" b="6350"/>
            <wp:docPr id="2046957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57072" name="图片 1"/>
                    <pic:cNvPicPr>
                      <a:picLocks noChangeAspect="1"/>
                    </pic:cNvPicPr>
                  </pic:nvPicPr>
                  <pic:blipFill>
                    <a:blip r:embed="rId34"/>
                    <a:stretch>
                      <a:fillRect/>
                    </a:stretch>
                  </pic:blipFill>
                  <pic:spPr>
                    <a:xfrm>
                      <a:off x="0" y="0"/>
                      <a:ext cx="5274310" cy="2908300"/>
                    </a:xfrm>
                    <a:prstGeom prst="rect">
                      <a:avLst/>
                    </a:prstGeom>
                  </pic:spPr>
                </pic:pic>
              </a:graphicData>
            </a:graphic>
          </wp:inline>
        </w:drawing>
      </w:r>
    </w:p>
    <w:p w14:paraId="751FC48B">
      <w:pPr>
        <w:pStyle w:val="18"/>
        <w:ind w:left="645" w:firstLine="0" w:firstLineChars="0"/>
      </w:pPr>
    </w:p>
    <w:p w14:paraId="5EC3ED6C">
      <w:pPr>
        <w:spacing w:before="62" w:beforeLines="20" w:after="62" w:afterLines="20" w:line="360" w:lineRule="auto"/>
        <w:ind w:firstLine="480" w:firstLineChars="200"/>
        <w:rPr>
          <w:sz w:val="24"/>
          <w:szCs w:val="24"/>
        </w:rPr>
      </w:pPr>
      <w:r>
        <w:rPr>
          <w:rFonts w:hint="eastAsia"/>
          <w:sz w:val="24"/>
          <w:szCs w:val="24"/>
        </w:rPr>
        <w:t>在竞投人报名资格材料提交页面中的资格审查材料清单处，点击“上传附件”上传相应的审查材料。如果有额外资料需要上传，可以在资料附件点击“上传”其他资料附件。上传完成后，点击“提交”按钮，将待审核材料提交给出让人负责人审查。出让人审查通过后系统将发送成交确认书给中选企业进行签订。</w:t>
      </w:r>
    </w:p>
    <w:p w14:paraId="1D783BDA">
      <w:pPr>
        <w:widowControl/>
        <w:jc w:val="left"/>
        <w:rPr>
          <w:kern w:val="0"/>
          <w:sz w:val="20"/>
          <w:szCs w:val="20"/>
        </w:rPr>
      </w:pPr>
    </w:p>
    <w:p w14:paraId="289CD816">
      <w:pPr>
        <w:spacing w:before="62" w:beforeLines="20" w:after="62" w:afterLines="20" w:line="360" w:lineRule="auto"/>
        <w:ind w:firstLine="480" w:firstLineChars="200"/>
        <w:rPr>
          <w:sz w:val="24"/>
          <w:szCs w:val="24"/>
        </w:rPr>
      </w:pPr>
      <w:r>
        <w:rPr>
          <w:rFonts w:hint="eastAsia"/>
          <w:sz w:val="24"/>
          <w:szCs w:val="24"/>
        </w:rPr>
        <w:t>上传资料后系统跳转到上传报名资格审查材料页，可以查看当前提交的资料情况，在交易中心还没审查之前可以撤回重新上传在提交。</w:t>
      </w:r>
    </w:p>
    <w:p w14:paraId="241A9F2F">
      <w:pPr>
        <w:spacing w:before="62" w:beforeLines="20" w:after="62" w:afterLines="20" w:line="360" w:lineRule="auto"/>
        <w:ind w:firstLine="420" w:firstLineChars="200"/>
        <w:rPr>
          <w:sz w:val="24"/>
          <w:szCs w:val="24"/>
        </w:rPr>
      </w:pPr>
      <w:r>
        <w:drawing>
          <wp:inline distT="0" distB="0" distL="0" distR="0">
            <wp:extent cx="5274310" cy="2693035"/>
            <wp:effectExtent l="0" t="0" r="2540" b="0"/>
            <wp:docPr id="20108339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33923" name="图片 1"/>
                    <pic:cNvPicPr>
                      <a:picLocks noChangeAspect="1"/>
                    </pic:cNvPicPr>
                  </pic:nvPicPr>
                  <pic:blipFill>
                    <a:blip r:embed="rId35"/>
                    <a:stretch>
                      <a:fillRect/>
                    </a:stretch>
                  </pic:blipFill>
                  <pic:spPr>
                    <a:xfrm>
                      <a:off x="0" y="0"/>
                      <a:ext cx="5274310" cy="2693035"/>
                    </a:xfrm>
                    <a:prstGeom prst="rect">
                      <a:avLst/>
                    </a:prstGeom>
                  </pic:spPr>
                </pic:pic>
              </a:graphicData>
            </a:graphic>
          </wp:inline>
        </w:drawing>
      </w:r>
    </w:p>
    <w:p w14:paraId="2C5983B9">
      <w:pPr>
        <w:widowControl/>
        <w:ind w:firstLine="420" w:firstLineChars="200"/>
        <w:jc w:val="left"/>
        <w:rPr>
          <w:kern w:val="0"/>
          <w:sz w:val="20"/>
          <w:szCs w:val="20"/>
        </w:rPr>
      </w:pPr>
      <w:r>
        <w:drawing>
          <wp:inline distT="0" distB="0" distL="0" distR="0">
            <wp:extent cx="5274310" cy="3695065"/>
            <wp:effectExtent l="0" t="0" r="254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6"/>
                    <a:stretch>
                      <a:fillRect/>
                    </a:stretch>
                  </pic:blipFill>
                  <pic:spPr>
                    <a:xfrm>
                      <a:off x="0" y="0"/>
                      <a:ext cx="5274310" cy="3695065"/>
                    </a:xfrm>
                    <a:prstGeom prst="rect">
                      <a:avLst/>
                    </a:prstGeom>
                  </pic:spPr>
                </pic:pic>
              </a:graphicData>
            </a:graphic>
          </wp:inline>
        </w:drawing>
      </w:r>
    </w:p>
    <w:p w14:paraId="011F2C26">
      <w:pPr>
        <w:pStyle w:val="3"/>
        <w:rPr>
          <w:rFonts w:ascii="宋体" w:hAnsi="宋体" w:eastAsia="宋体"/>
        </w:rPr>
      </w:pPr>
      <w:bookmarkStart w:id="9" w:name="_Toc223963345"/>
      <w:r>
        <w:rPr>
          <w:rFonts w:hint="eastAsia" w:ascii="宋体" w:hAnsi="宋体" w:eastAsia="宋体"/>
        </w:rPr>
        <w:t>2.</w:t>
      </w:r>
      <w:r>
        <w:rPr>
          <w:rFonts w:ascii="宋体" w:hAnsi="宋体" w:eastAsia="宋体"/>
        </w:rPr>
        <w:t xml:space="preserve">6 </w:t>
      </w:r>
      <w:r>
        <w:rPr>
          <w:rFonts w:hint="eastAsia" w:ascii="宋体" w:hAnsi="宋体" w:eastAsia="宋体"/>
        </w:rPr>
        <w:t>成交确认书签订</w:t>
      </w:r>
      <w:bookmarkEnd w:id="9"/>
    </w:p>
    <w:p w14:paraId="23ED5C6A">
      <w:pPr>
        <w:spacing w:before="62" w:beforeLines="20" w:after="62" w:afterLines="20" w:line="360" w:lineRule="auto"/>
        <w:ind w:firstLine="480" w:firstLineChars="200"/>
        <w:rPr>
          <w:sz w:val="24"/>
          <w:szCs w:val="24"/>
        </w:rPr>
      </w:pPr>
      <w:r>
        <w:rPr>
          <w:rFonts w:hint="eastAsia"/>
          <w:sz w:val="24"/>
          <w:szCs w:val="24"/>
        </w:rPr>
        <w:t>竞得人点击菜单“交易结果处理 &gt;</w:t>
      </w:r>
      <w:r>
        <w:rPr>
          <w:sz w:val="24"/>
          <w:szCs w:val="24"/>
        </w:rPr>
        <w:t xml:space="preserve"> </w:t>
      </w:r>
      <w:r>
        <w:rPr>
          <w:rFonts w:hint="eastAsia"/>
          <w:sz w:val="24"/>
          <w:szCs w:val="24"/>
        </w:rPr>
        <w:t>成交确认书签章（竞得人）”，进入土地使用权出让成交确认书签章待办页面。</w:t>
      </w:r>
    </w:p>
    <w:p w14:paraId="63FF013C">
      <w:pPr>
        <w:spacing w:before="62" w:beforeLines="20" w:after="62" w:afterLines="20" w:line="360" w:lineRule="auto"/>
        <w:ind w:firstLine="420" w:firstLineChars="200"/>
        <w:rPr>
          <w:sz w:val="24"/>
          <w:szCs w:val="24"/>
        </w:rPr>
      </w:pPr>
      <w:r>
        <w:drawing>
          <wp:inline distT="0" distB="0" distL="0" distR="0">
            <wp:extent cx="5274310" cy="2693035"/>
            <wp:effectExtent l="0" t="0" r="2540" b="0"/>
            <wp:docPr id="1278182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82888" name="图片 1"/>
                    <pic:cNvPicPr>
                      <a:picLocks noChangeAspect="1"/>
                    </pic:cNvPicPr>
                  </pic:nvPicPr>
                  <pic:blipFill>
                    <a:blip r:embed="rId37"/>
                    <a:stretch>
                      <a:fillRect/>
                    </a:stretch>
                  </pic:blipFill>
                  <pic:spPr>
                    <a:xfrm>
                      <a:off x="0" y="0"/>
                      <a:ext cx="5274310" cy="2693035"/>
                    </a:xfrm>
                    <a:prstGeom prst="rect">
                      <a:avLst/>
                    </a:prstGeom>
                  </pic:spPr>
                </pic:pic>
              </a:graphicData>
            </a:graphic>
          </wp:inline>
        </w:drawing>
      </w:r>
    </w:p>
    <w:p w14:paraId="48DF3F03">
      <w:pPr>
        <w:spacing w:before="62" w:beforeLines="20" w:after="62" w:afterLines="20" w:line="360" w:lineRule="auto"/>
        <w:ind w:firstLine="480" w:firstLineChars="200"/>
        <w:rPr>
          <w:sz w:val="24"/>
          <w:szCs w:val="24"/>
        </w:rPr>
      </w:pPr>
      <w:r>
        <w:rPr>
          <w:rFonts w:hint="eastAsia"/>
          <w:sz w:val="24"/>
          <w:szCs w:val="24"/>
        </w:rPr>
        <w:t>在土地使用权出让成交确认书签章待办页面中，点击“签章”按钮，选中并进入该项目的土地使用权成交确认书签章页面。</w:t>
      </w:r>
    </w:p>
    <w:p w14:paraId="378140F0">
      <w:pPr>
        <w:spacing w:before="62" w:beforeLines="20" w:after="62" w:afterLines="20" w:line="360" w:lineRule="auto"/>
        <w:ind w:left="210" w:hanging="210" w:hangingChars="100"/>
        <w:rPr>
          <w:sz w:val="24"/>
          <w:szCs w:val="24"/>
        </w:rPr>
      </w:pPr>
      <w:r>
        <w:t xml:space="preserve">  </w:t>
      </w:r>
      <w:r>
        <w:drawing>
          <wp:inline distT="0" distB="0" distL="0" distR="0">
            <wp:extent cx="5274310" cy="2654300"/>
            <wp:effectExtent l="0" t="0" r="2540" b="0"/>
            <wp:docPr id="7726932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93249" name="图片 1"/>
                    <pic:cNvPicPr>
                      <a:picLocks noChangeAspect="1"/>
                    </pic:cNvPicPr>
                  </pic:nvPicPr>
                  <pic:blipFill>
                    <a:blip r:embed="rId38"/>
                    <a:stretch>
                      <a:fillRect/>
                    </a:stretch>
                  </pic:blipFill>
                  <pic:spPr>
                    <a:xfrm>
                      <a:off x="0" y="0"/>
                      <a:ext cx="5274310" cy="2654300"/>
                    </a:xfrm>
                    <a:prstGeom prst="rect">
                      <a:avLst/>
                    </a:prstGeom>
                  </pic:spPr>
                </pic:pic>
              </a:graphicData>
            </a:graphic>
          </wp:inline>
        </w:drawing>
      </w:r>
    </w:p>
    <w:p w14:paraId="74A511C6">
      <w:pPr>
        <w:spacing w:before="62" w:beforeLines="20" w:after="62" w:afterLines="20" w:line="360" w:lineRule="auto"/>
        <w:ind w:firstLine="480" w:firstLineChars="200"/>
        <w:rPr>
          <w:sz w:val="24"/>
          <w:szCs w:val="24"/>
        </w:rPr>
      </w:pPr>
      <w:r>
        <w:rPr>
          <w:rFonts w:hint="eastAsia"/>
          <w:sz w:val="24"/>
          <w:szCs w:val="24"/>
        </w:rPr>
        <w:t>在项目成交确认书签章页面中查看项目信息以及下载签章确认书文件，核对信息无误将签章确认书文件再次上传进行线上电子签章，点击“提交签章”，流转到出让人进行签章。</w:t>
      </w:r>
    </w:p>
    <w:p w14:paraId="4E2CDB76">
      <w:pPr>
        <w:pStyle w:val="3"/>
        <w:rPr>
          <w:rFonts w:ascii="宋体" w:hAnsi="宋体" w:eastAsia="宋体"/>
        </w:rPr>
      </w:pPr>
      <w:bookmarkStart w:id="10" w:name="_Toc223963346"/>
      <w:r>
        <w:rPr>
          <w:rFonts w:hint="eastAsia" w:ascii="宋体" w:hAnsi="宋体" w:eastAsia="宋体"/>
        </w:rPr>
        <w:t>2.</w:t>
      </w:r>
      <w:r>
        <w:rPr>
          <w:rFonts w:ascii="宋体" w:hAnsi="宋体" w:eastAsia="宋体"/>
        </w:rPr>
        <w:t xml:space="preserve">7 </w:t>
      </w:r>
      <w:r>
        <w:rPr>
          <w:rFonts w:hint="eastAsia" w:ascii="宋体" w:hAnsi="宋体" w:eastAsia="宋体"/>
        </w:rPr>
        <w:t>合同签章确认</w:t>
      </w:r>
      <w:bookmarkEnd w:id="10"/>
    </w:p>
    <w:p w14:paraId="364A88B2">
      <w:pPr>
        <w:spacing w:before="62" w:beforeLines="20" w:after="62" w:afterLines="20" w:line="360" w:lineRule="auto"/>
        <w:ind w:firstLine="480" w:firstLineChars="200"/>
        <w:rPr>
          <w:sz w:val="24"/>
          <w:szCs w:val="24"/>
        </w:rPr>
      </w:pPr>
      <w:bookmarkStart w:id="11" w:name="_Hlk223961909"/>
      <w:r>
        <w:rPr>
          <w:rFonts w:hint="eastAsia"/>
          <w:sz w:val="24"/>
          <w:szCs w:val="24"/>
        </w:rPr>
        <w:t>竞得人点击菜单“合同签订 &gt;</w:t>
      </w:r>
      <w:r>
        <w:rPr>
          <w:sz w:val="24"/>
          <w:szCs w:val="24"/>
        </w:rPr>
        <w:t xml:space="preserve"> </w:t>
      </w:r>
      <w:r>
        <w:rPr>
          <w:rFonts w:hint="eastAsia"/>
          <w:sz w:val="24"/>
          <w:szCs w:val="24"/>
        </w:rPr>
        <w:t>合同签章”，进入土地使用权出让成交合同签章待办页面。</w:t>
      </w:r>
    </w:p>
    <w:p w14:paraId="6DD086B1">
      <w:pPr>
        <w:spacing w:before="62" w:beforeLines="20" w:after="62" w:afterLines="20" w:line="360" w:lineRule="auto"/>
        <w:ind w:firstLine="420" w:firstLineChars="200"/>
        <w:rPr>
          <w:sz w:val="24"/>
          <w:szCs w:val="24"/>
        </w:rPr>
      </w:pPr>
      <w:r>
        <w:drawing>
          <wp:inline distT="0" distB="0" distL="0" distR="0">
            <wp:extent cx="5274310" cy="2491105"/>
            <wp:effectExtent l="0" t="0" r="2540" b="4445"/>
            <wp:docPr id="15413327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32709" name="图片 1"/>
                    <pic:cNvPicPr>
                      <a:picLocks noChangeAspect="1"/>
                    </pic:cNvPicPr>
                  </pic:nvPicPr>
                  <pic:blipFill>
                    <a:blip r:embed="rId39"/>
                    <a:stretch>
                      <a:fillRect/>
                    </a:stretch>
                  </pic:blipFill>
                  <pic:spPr>
                    <a:xfrm>
                      <a:off x="0" y="0"/>
                      <a:ext cx="5274310" cy="2491105"/>
                    </a:xfrm>
                    <a:prstGeom prst="rect">
                      <a:avLst/>
                    </a:prstGeom>
                  </pic:spPr>
                </pic:pic>
              </a:graphicData>
            </a:graphic>
          </wp:inline>
        </w:drawing>
      </w:r>
    </w:p>
    <w:p w14:paraId="34F2E334">
      <w:pPr>
        <w:spacing w:before="62" w:beforeLines="20" w:after="62" w:afterLines="20" w:line="360" w:lineRule="auto"/>
        <w:ind w:firstLine="480" w:firstLineChars="200"/>
        <w:rPr>
          <w:sz w:val="24"/>
          <w:szCs w:val="24"/>
        </w:rPr>
      </w:pPr>
      <w:r>
        <w:rPr>
          <w:rFonts w:hint="eastAsia"/>
          <w:sz w:val="24"/>
          <w:szCs w:val="24"/>
        </w:rPr>
        <w:t>在合同签章待办页面中，点击“签章”按钮，选中并进入该项目的土地使用权成交竞得人签章处理页面。</w:t>
      </w:r>
    </w:p>
    <w:p w14:paraId="6885F92B">
      <w:pPr>
        <w:spacing w:before="62" w:beforeLines="20" w:after="62" w:afterLines="20" w:line="360" w:lineRule="auto"/>
        <w:ind w:firstLine="420" w:firstLineChars="200"/>
        <w:rPr>
          <w:sz w:val="24"/>
          <w:szCs w:val="24"/>
        </w:rPr>
      </w:pPr>
      <w:r>
        <w:drawing>
          <wp:inline distT="0" distB="0" distL="0" distR="0">
            <wp:extent cx="5274310" cy="3406775"/>
            <wp:effectExtent l="0" t="0" r="2540" b="3175"/>
            <wp:docPr id="995218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18807" name="图片 1"/>
                    <pic:cNvPicPr>
                      <a:picLocks noChangeAspect="1"/>
                    </pic:cNvPicPr>
                  </pic:nvPicPr>
                  <pic:blipFill>
                    <a:blip r:embed="rId40"/>
                    <a:stretch>
                      <a:fillRect/>
                    </a:stretch>
                  </pic:blipFill>
                  <pic:spPr>
                    <a:xfrm>
                      <a:off x="0" y="0"/>
                      <a:ext cx="5274310" cy="3406775"/>
                    </a:xfrm>
                    <a:prstGeom prst="rect">
                      <a:avLst/>
                    </a:prstGeom>
                  </pic:spPr>
                </pic:pic>
              </a:graphicData>
            </a:graphic>
          </wp:inline>
        </w:drawing>
      </w:r>
    </w:p>
    <w:p w14:paraId="397934E7">
      <w:pPr>
        <w:spacing w:before="62" w:beforeLines="20" w:after="62" w:afterLines="20" w:line="360" w:lineRule="auto"/>
        <w:ind w:firstLine="480" w:firstLineChars="200"/>
        <w:rPr>
          <w:sz w:val="24"/>
          <w:szCs w:val="24"/>
        </w:rPr>
      </w:pPr>
      <w:r>
        <w:rPr>
          <w:rFonts w:hint="eastAsia"/>
          <w:sz w:val="24"/>
          <w:szCs w:val="24"/>
        </w:rPr>
        <w:t>在项目交易合同竞得人签章处理页面中查看交易合同信息以及下载出让合同文件，核对信息无误将出让合同文件再次上传进行线上电子签章，点击“竞得人签章”，流转到出让人进行合同确认。</w:t>
      </w:r>
    </w:p>
    <w:bookmarkEnd w:id="11"/>
    <w:p w14:paraId="7FE4C05D">
      <w:pPr>
        <w:spacing w:before="62" w:beforeLines="20" w:after="62" w:afterLines="20" w:line="360" w:lineRule="auto"/>
        <w:rPr>
          <w:rFonts w:hint="eastAsia"/>
          <w:sz w:val="24"/>
          <w:szCs w:val="24"/>
        </w:rPr>
      </w:pPr>
    </w:p>
    <w:p w14:paraId="6EFA3946">
      <w:pPr>
        <w:pStyle w:val="3"/>
        <w:rPr>
          <w:rFonts w:ascii="宋体" w:hAnsi="宋体" w:eastAsia="宋体"/>
        </w:rPr>
      </w:pPr>
      <w:bookmarkStart w:id="12" w:name="_Toc223963347"/>
      <w:r>
        <w:rPr>
          <w:rFonts w:ascii="宋体" w:hAnsi="宋体" w:eastAsia="宋体"/>
        </w:rPr>
        <w:t xml:space="preserve">2.8 </w:t>
      </w:r>
      <w:r>
        <w:rPr>
          <w:rFonts w:hint="eastAsia" w:ascii="宋体" w:hAnsi="宋体" w:eastAsia="宋体"/>
        </w:rPr>
        <w:t>退保证金</w:t>
      </w:r>
      <w:bookmarkEnd w:id="12"/>
    </w:p>
    <w:p w14:paraId="10742AD8">
      <w:pPr>
        <w:spacing w:before="62" w:beforeLines="20" w:after="62" w:afterLines="20" w:line="360" w:lineRule="auto"/>
        <w:ind w:firstLine="240" w:firstLineChars="100"/>
        <w:rPr>
          <w:sz w:val="24"/>
          <w:szCs w:val="24"/>
        </w:rPr>
      </w:pPr>
      <w:r>
        <w:rPr>
          <w:rFonts w:hint="eastAsia"/>
          <w:sz w:val="24"/>
          <w:szCs w:val="24"/>
        </w:rPr>
        <w:t>竞得人退保方式：是由出让人发起》经办受理 》部长审核 》</w:t>
      </w:r>
      <w:r>
        <w:rPr>
          <w:sz w:val="24"/>
          <w:szCs w:val="24"/>
        </w:rPr>
        <w:t xml:space="preserve"> </w:t>
      </w:r>
      <w:r>
        <w:rPr>
          <w:rFonts w:hint="eastAsia"/>
          <w:sz w:val="24"/>
          <w:szCs w:val="24"/>
        </w:rPr>
        <w:t>财务经办 》财务主管 》分管领导审核后流转到银行端，银行端自动退保。</w:t>
      </w:r>
    </w:p>
    <w:p w14:paraId="539C500C">
      <w:pPr>
        <w:spacing w:before="62" w:beforeLines="20" w:after="62" w:afterLines="20" w:line="360" w:lineRule="auto"/>
        <w:ind w:firstLine="240" w:firstLineChars="100"/>
        <w:rPr>
          <w:sz w:val="24"/>
          <w:szCs w:val="24"/>
        </w:rPr>
      </w:pPr>
      <w:r>
        <w:rPr>
          <w:sz w:val="24"/>
          <w:szCs w:val="24"/>
        </w:rPr>
        <w:t xml:space="preserve"> </w:t>
      </w:r>
      <w:r>
        <w:rPr>
          <w:rFonts w:hint="eastAsia"/>
          <w:sz w:val="24"/>
          <w:szCs w:val="24"/>
        </w:rPr>
        <w:t xml:space="preserve"> </w:t>
      </w:r>
    </w:p>
    <w:p w14:paraId="2EB7C350">
      <w:pPr>
        <w:spacing w:before="62" w:beforeLines="20" w:after="62" w:afterLines="20" w:line="360" w:lineRule="auto"/>
        <w:ind w:firstLine="240" w:firstLineChars="100"/>
        <w:rPr>
          <w:sz w:val="24"/>
          <w:szCs w:val="24"/>
        </w:rPr>
      </w:pPr>
      <w:r>
        <w:rPr>
          <w:rFonts w:hint="eastAsia"/>
          <w:sz w:val="24"/>
          <w:szCs w:val="24"/>
        </w:rPr>
        <w:t>未竞得人退保方式：是竞价结束后系统发起退保批次》经办提交 》部长审核 》</w:t>
      </w:r>
      <w:r>
        <w:rPr>
          <w:sz w:val="24"/>
          <w:szCs w:val="24"/>
        </w:rPr>
        <w:t xml:space="preserve"> </w:t>
      </w:r>
      <w:r>
        <w:rPr>
          <w:rFonts w:hint="eastAsia"/>
          <w:sz w:val="24"/>
          <w:szCs w:val="24"/>
        </w:rPr>
        <w:t>财务经办 》财务主管 》分管领导审核后流转到银行端，银行端自动退保。</w:t>
      </w:r>
    </w:p>
    <w:p w14:paraId="5ACC9D91">
      <w:pPr>
        <w:pStyle w:val="3"/>
        <w:spacing w:line="240" w:lineRule="auto"/>
      </w:pPr>
      <w:bookmarkStart w:id="13" w:name="_Toc223963348"/>
      <w:bookmarkStart w:id="14" w:name="_Toc44691330"/>
      <w:r>
        <w:rPr>
          <w:rFonts w:hint="eastAsia"/>
        </w:rPr>
        <w:t>2.</w:t>
      </w:r>
      <w:r>
        <w:t xml:space="preserve">9 </w:t>
      </w:r>
      <w:r>
        <w:rPr>
          <w:rFonts w:hint="eastAsia"/>
        </w:rPr>
        <w:t>技术支持</w:t>
      </w:r>
      <w:bookmarkEnd w:id="13"/>
      <w:bookmarkEnd w:id="14"/>
    </w:p>
    <w:p w14:paraId="76C5A4C8">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技术支持联系人：廖工、何工</w:t>
      </w:r>
    </w:p>
    <w:p w14:paraId="174F7615">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电话：0766-8819989</w:t>
      </w:r>
    </w:p>
    <w:p w14:paraId="5E71CCFB">
      <w:pPr>
        <w:spacing w:before="62" w:beforeLines="20" w:after="62" w:afterLines="2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QQ：2648788988</w:t>
      </w:r>
    </w:p>
    <w:p w14:paraId="4ED1B2B7">
      <w:pPr>
        <w:spacing w:before="62" w:beforeLines="20" w:after="62" w:afterLines="20" w:line="360" w:lineRule="auto"/>
        <w:ind w:firstLine="480" w:firstLineChars="200"/>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F563A9"/>
    <w:multiLevelType w:val="multilevel"/>
    <w:tmpl w:val="37F563A9"/>
    <w:lvl w:ilvl="0" w:tentative="0">
      <w:start w:val="1"/>
      <w:numFmt w:val="decimal"/>
      <w:lvlText w:val="%1."/>
      <w:lvlJc w:val="left"/>
      <w:pPr>
        <w:ind w:left="360" w:hanging="360"/>
      </w:pPr>
      <w:rPr>
        <w:rFonts w:hint="default"/>
      </w:rPr>
    </w:lvl>
    <w:lvl w:ilvl="1" w:tentative="0">
      <w:start w:val="3"/>
      <w:numFmt w:val="decimal"/>
      <w:isLgl/>
      <w:lvlText w:val="%1.%2"/>
      <w:lvlJc w:val="left"/>
      <w:pPr>
        <w:ind w:left="645" w:hanging="645"/>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mMjM4MmY2MTMwN2FmMmYxMWYzYzRkODA0OGNhMTYifQ=="/>
  </w:docVars>
  <w:rsids>
    <w:rsidRoot w:val="00FD3A10"/>
    <w:rsid w:val="00030550"/>
    <w:rsid w:val="0003300B"/>
    <w:rsid w:val="000351A4"/>
    <w:rsid w:val="00042A61"/>
    <w:rsid w:val="000470FF"/>
    <w:rsid w:val="000665F5"/>
    <w:rsid w:val="00093B4D"/>
    <w:rsid w:val="00094892"/>
    <w:rsid w:val="00096CBA"/>
    <w:rsid w:val="000A4AD4"/>
    <w:rsid w:val="000B1CD1"/>
    <w:rsid w:val="000D2B9A"/>
    <w:rsid w:val="000D42DB"/>
    <w:rsid w:val="001017DB"/>
    <w:rsid w:val="00103156"/>
    <w:rsid w:val="00103F9C"/>
    <w:rsid w:val="00107FAF"/>
    <w:rsid w:val="00131966"/>
    <w:rsid w:val="00140E8B"/>
    <w:rsid w:val="00151A61"/>
    <w:rsid w:val="001553F4"/>
    <w:rsid w:val="0015726C"/>
    <w:rsid w:val="00174962"/>
    <w:rsid w:val="001A459E"/>
    <w:rsid w:val="001C122E"/>
    <w:rsid w:val="001C1E32"/>
    <w:rsid w:val="001F1161"/>
    <w:rsid w:val="001F5EDA"/>
    <w:rsid w:val="00206331"/>
    <w:rsid w:val="00214FA4"/>
    <w:rsid w:val="00230263"/>
    <w:rsid w:val="00244B17"/>
    <w:rsid w:val="00251D9B"/>
    <w:rsid w:val="00272CDC"/>
    <w:rsid w:val="00272D7B"/>
    <w:rsid w:val="00286012"/>
    <w:rsid w:val="00286F0B"/>
    <w:rsid w:val="002913D3"/>
    <w:rsid w:val="002A5EFE"/>
    <w:rsid w:val="002B4ECC"/>
    <w:rsid w:val="002C0FA3"/>
    <w:rsid w:val="002C5F45"/>
    <w:rsid w:val="002D0DE0"/>
    <w:rsid w:val="002D5FB7"/>
    <w:rsid w:val="002E56CA"/>
    <w:rsid w:val="002F4430"/>
    <w:rsid w:val="0030384E"/>
    <w:rsid w:val="003163D7"/>
    <w:rsid w:val="003325E3"/>
    <w:rsid w:val="00333560"/>
    <w:rsid w:val="003B23DD"/>
    <w:rsid w:val="003B4A3D"/>
    <w:rsid w:val="003D4C46"/>
    <w:rsid w:val="003F3D72"/>
    <w:rsid w:val="003F4201"/>
    <w:rsid w:val="00401340"/>
    <w:rsid w:val="00412B8C"/>
    <w:rsid w:val="0042342D"/>
    <w:rsid w:val="00431D38"/>
    <w:rsid w:val="0043704B"/>
    <w:rsid w:val="00476C98"/>
    <w:rsid w:val="00487185"/>
    <w:rsid w:val="00495D6A"/>
    <w:rsid w:val="004A23B5"/>
    <w:rsid w:val="004A6C4D"/>
    <w:rsid w:val="004A7B49"/>
    <w:rsid w:val="004B2968"/>
    <w:rsid w:val="004C2C06"/>
    <w:rsid w:val="004D4B2E"/>
    <w:rsid w:val="004E6C3E"/>
    <w:rsid w:val="00503034"/>
    <w:rsid w:val="00504F1D"/>
    <w:rsid w:val="00505B0D"/>
    <w:rsid w:val="005279A1"/>
    <w:rsid w:val="005304F4"/>
    <w:rsid w:val="005376BA"/>
    <w:rsid w:val="00554033"/>
    <w:rsid w:val="005611C5"/>
    <w:rsid w:val="00581FF6"/>
    <w:rsid w:val="00595095"/>
    <w:rsid w:val="00595F24"/>
    <w:rsid w:val="00597287"/>
    <w:rsid w:val="005A5533"/>
    <w:rsid w:val="005C6B00"/>
    <w:rsid w:val="005D64CF"/>
    <w:rsid w:val="005E070F"/>
    <w:rsid w:val="005F0D52"/>
    <w:rsid w:val="00625D9B"/>
    <w:rsid w:val="00627364"/>
    <w:rsid w:val="00636581"/>
    <w:rsid w:val="006420A6"/>
    <w:rsid w:val="00645F81"/>
    <w:rsid w:val="00654636"/>
    <w:rsid w:val="00654E0F"/>
    <w:rsid w:val="00685FE5"/>
    <w:rsid w:val="00691701"/>
    <w:rsid w:val="006A1161"/>
    <w:rsid w:val="006B17D2"/>
    <w:rsid w:val="006C0E48"/>
    <w:rsid w:val="006E60A3"/>
    <w:rsid w:val="006F06A2"/>
    <w:rsid w:val="006F392D"/>
    <w:rsid w:val="00712A0C"/>
    <w:rsid w:val="0072255C"/>
    <w:rsid w:val="0077436C"/>
    <w:rsid w:val="007A2AEC"/>
    <w:rsid w:val="007B3487"/>
    <w:rsid w:val="007B6720"/>
    <w:rsid w:val="007B7414"/>
    <w:rsid w:val="007B7475"/>
    <w:rsid w:val="007E04C2"/>
    <w:rsid w:val="007E58D1"/>
    <w:rsid w:val="007E5A90"/>
    <w:rsid w:val="007E7B83"/>
    <w:rsid w:val="007F36AC"/>
    <w:rsid w:val="007F3E1E"/>
    <w:rsid w:val="008272D9"/>
    <w:rsid w:val="00835A51"/>
    <w:rsid w:val="008411D7"/>
    <w:rsid w:val="00843179"/>
    <w:rsid w:val="00844109"/>
    <w:rsid w:val="00857598"/>
    <w:rsid w:val="008621DB"/>
    <w:rsid w:val="00885567"/>
    <w:rsid w:val="00892CBF"/>
    <w:rsid w:val="008A04FA"/>
    <w:rsid w:val="008A1E3F"/>
    <w:rsid w:val="008A549E"/>
    <w:rsid w:val="008C37EC"/>
    <w:rsid w:val="008D009B"/>
    <w:rsid w:val="00907BDE"/>
    <w:rsid w:val="009165F7"/>
    <w:rsid w:val="009248FF"/>
    <w:rsid w:val="009277D6"/>
    <w:rsid w:val="00933108"/>
    <w:rsid w:val="009376F2"/>
    <w:rsid w:val="00941A6E"/>
    <w:rsid w:val="00946EC7"/>
    <w:rsid w:val="00952136"/>
    <w:rsid w:val="0095449E"/>
    <w:rsid w:val="00956A19"/>
    <w:rsid w:val="009719AC"/>
    <w:rsid w:val="00985EA5"/>
    <w:rsid w:val="009B2C96"/>
    <w:rsid w:val="009C3B82"/>
    <w:rsid w:val="009E4705"/>
    <w:rsid w:val="009E6E57"/>
    <w:rsid w:val="009F4AD6"/>
    <w:rsid w:val="00A023E0"/>
    <w:rsid w:val="00A07003"/>
    <w:rsid w:val="00A212D3"/>
    <w:rsid w:val="00A24D80"/>
    <w:rsid w:val="00A25376"/>
    <w:rsid w:val="00A32282"/>
    <w:rsid w:val="00A5233F"/>
    <w:rsid w:val="00A65721"/>
    <w:rsid w:val="00A975C6"/>
    <w:rsid w:val="00AA227E"/>
    <w:rsid w:val="00AA3547"/>
    <w:rsid w:val="00AB22B6"/>
    <w:rsid w:val="00AB2377"/>
    <w:rsid w:val="00AE3A2E"/>
    <w:rsid w:val="00B073DC"/>
    <w:rsid w:val="00B30E22"/>
    <w:rsid w:val="00B4019C"/>
    <w:rsid w:val="00B444AE"/>
    <w:rsid w:val="00B51FCD"/>
    <w:rsid w:val="00B70FC0"/>
    <w:rsid w:val="00B72E01"/>
    <w:rsid w:val="00B73D13"/>
    <w:rsid w:val="00B84BE0"/>
    <w:rsid w:val="00B8672D"/>
    <w:rsid w:val="00B91E1A"/>
    <w:rsid w:val="00B927AC"/>
    <w:rsid w:val="00BB1854"/>
    <w:rsid w:val="00BE65EC"/>
    <w:rsid w:val="00C05154"/>
    <w:rsid w:val="00C079E1"/>
    <w:rsid w:val="00C128B2"/>
    <w:rsid w:val="00C15939"/>
    <w:rsid w:val="00C273F2"/>
    <w:rsid w:val="00C52BDC"/>
    <w:rsid w:val="00C933A5"/>
    <w:rsid w:val="00CB472E"/>
    <w:rsid w:val="00CC7BE8"/>
    <w:rsid w:val="00CD4065"/>
    <w:rsid w:val="00CE02B5"/>
    <w:rsid w:val="00D13586"/>
    <w:rsid w:val="00D16B9D"/>
    <w:rsid w:val="00D16D7F"/>
    <w:rsid w:val="00D40931"/>
    <w:rsid w:val="00D44184"/>
    <w:rsid w:val="00D60D17"/>
    <w:rsid w:val="00DB2563"/>
    <w:rsid w:val="00DB7559"/>
    <w:rsid w:val="00DB7561"/>
    <w:rsid w:val="00DC7D72"/>
    <w:rsid w:val="00DD50F3"/>
    <w:rsid w:val="00DF6181"/>
    <w:rsid w:val="00E07E06"/>
    <w:rsid w:val="00E36506"/>
    <w:rsid w:val="00E36DFD"/>
    <w:rsid w:val="00E42B07"/>
    <w:rsid w:val="00E61817"/>
    <w:rsid w:val="00E64E36"/>
    <w:rsid w:val="00E70618"/>
    <w:rsid w:val="00E72E1B"/>
    <w:rsid w:val="00E77F8A"/>
    <w:rsid w:val="00E87D3F"/>
    <w:rsid w:val="00E93CED"/>
    <w:rsid w:val="00EB0976"/>
    <w:rsid w:val="00EC2743"/>
    <w:rsid w:val="00EE6FF7"/>
    <w:rsid w:val="00EF1003"/>
    <w:rsid w:val="00EF5DD5"/>
    <w:rsid w:val="00F10470"/>
    <w:rsid w:val="00F12A77"/>
    <w:rsid w:val="00F204A8"/>
    <w:rsid w:val="00F439FA"/>
    <w:rsid w:val="00F452C6"/>
    <w:rsid w:val="00F53FD3"/>
    <w:rsid w:val="00F62483"/>
    <w:rsid w:val="00F8741A"/>
    <w:rsid w:val="00FA1252"/>
    <w:rsid w:val="00FB7A03"/>
    <w:rsid w:val="00FC273B"/>
    <w:rsid w:val="00FC79A4"/>
    <w:rsid w:val="00FD3A10"/>
    <w:rsid w:val="00FD7D09"/>
    <w:rsid w:val="00FE1223"/>
    <w:rsid w:val="06DD5C60"/>
    <w:rsid w:val="23526EE3"/>
    <w:rsid w:val="456115AC"/>
    <w:rsid w:val="4B075D68"/>
    <w:rsid w:val="63A633A5"/>
    <w:rsid w:val="718B48B3"/>
    <w:rsid w:val="755A1EB0"/>
    <w:rsid w:val="765974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cs="Times New Roman"/>
      <w:kern w:val="0"/>
      <w:sz w:val="22"/>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after="100" w:line="259" w:lineRule="auto"/>
      <w:jc w:val="left"/>
    </w:pPr>
    <w:rPr>
      <w:rFonts w:cs="Times New Roman"/>
      <w:kern w:val="0"/>
      <w:sz w:val="22"/>
    </w:rPr>
  </w:style>
  <w:style w:type="paragraph" w:styleId="9">
    <w:name w:val="toc 2"/>
    <w:basedOn w:val="1"/>
    <w:next w:val="1"/>
    <w:unhideWhenUsed/>
    <w:qFormat/>
    <w:uiPriority w:val="39"/>
    <w:pPr>
      <w:widowControl/>
      <w:spacing w:after="100" w:line="259" w:lineRule="auto"/>
      <w:ind w:left="220"/>
      <w:jc w:val="left"/>
    </w:pPr>
    <w:rPr>
      <w:rFonts w:cs="Times New Roman"/>
      <w:kern w:val="0"/>
      <w:sz w:val="22"/>
    </w:r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页眉 字符"/>
    <w:basedOn w:val="11"/>
    <w:link w:val="7"/>
    <w:qFormat/>
    <w:uiPriority w:val="99"/>
    <w:rPr>
      <w:sz w:val="18"/>
      <w:szCs w:val="18"/>
    </w:rPr>
  </w:style>
  <w:style w:type="character" w:customStyle="1" w:styleId="14">
    <w:name w:val="页脚 字符"/>
    <w:basedOn w:val="11"/>
    <w:link w:val="6"/>
    <w:qFormat/>
    <w:uiPriority w:val="99"/>
    <w:rPr>
      <w:sz w:val="18"/>
      <w:szCs w:val="18"/>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标题 3 字符"/>
    <w:basedOn w:val="11"/>
    <w:link w:val="4"/>
    <w:qFormat/>
    <w:uiPriority w:val="9"/>
    <w:rPr>
      <w:b/>
      <w:bCs/>
      <w:sz w:val="32"/>
      <w:szCs w:val="32"/>
    </w:rPr>
  </w:style>
  <w:style w:type="paragraph" w:styleId="18">
    <w:name w:val="List Paragraph"/>
    <w:basedOn w:val="1"/>
    <w:qFormat/>
    <w:uiPriority w:val="34"/>
    <w:pPr>
      <w:ind w:firstLine="420" w:firstLineChars="200"/>
    </w:p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0">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247BC-CAF4-473E-8022-F0CFA19761C2}">
  <ds:schemaRefs/>
</ds:datastoreItem>
</file>

<file path=docProps/app.xml><?xml version="1.0" encoding="utf-8"?>
<Properties xmlns="http://schemas.openxmlformats.org/officeDocument/2006/extended-properties" xmlns:vt="http://schemas.openxmlformats.org/officeDocument/2006/docPropsVTypes">
  <Template>Normal.dotm</Template>
  <Pages>21</Pages>
  <Words>2709</Words>
  <Characters>2842</Characters>
  <Lines>28</Lines>
  <Paragraphs>7</Paragraphs>
  <TotalTime>69</TotalTime>
  <ScaleCrop>false</ScaleCrop>
  <LinksUpToDate>false</LinksUpToDate>
  <CharactersWithSpaces>2948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2020-07-15T01:20:00Z</dcterms:created>
  <dc:creator>admin</dc:creator>
  <cp:lastModifiedBy>MeLoWing</cp:lastModifiedBy>
  <dcterms:modified xsi:type="dcterms:W3CDTF">2026-03-12T08:50:33Z</dcterms:modified>
  <cp:revision>465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51FC185892AE4BB6B7E8A880FFE1E3BC_13</vt:lpwstr>
  </property>
  <property fmtid="{D5CDD505-2E9C-101B-9397-08002B2CF9AE}" pid="4" name="KSOTemplateDocerSaveRecord">
    <vt:lpwstr>eyJoZGlkIjoiYmNhMWYwMGRjZmMyYTJiZjRlMzhhNWZhYWM0NTY1YTciLCJ1c2VySWQiOiIzNzYwNjAzODQifQ==</vt:lpwstr>
  </property>
</Properties>
</file>